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Management reporting pack - commentary and page specifications</w:t>
      </w:r>
    </w:p>
    <w:p>
      <w:pPr>
        <w:spacing w:after="120"/>
      </w:pPr>
      <w:r>
        <w:rPr>
          <w:b w:val="0"/>
          <w:i/>
          <w:color w:val="595959"/>
          <w:sz w:val="22"/>
        </w:rPr>
        <w:t>Capstone 2: the live pack that replaces the eight-day Excel pack</w:t>
      </w:r>
    </w:p>
    <w:p>
      <w:pPr>
        <w:spacing w:before="80"/>
      </w:pPr>
      <w:r>
        <w:rPr>
          <w:color w:val="595959"/>
          <w:sz w:val="17"/>
        </w:rPr>
        <w:t>Client: Mhondoro Manufacturing (Pvt) Ltd    |    Period: 1 January 2024 to 30 September 2025    |    Issued: 08 October 2025    |    Reference: MX-2025-MR01    |    Classification: Confidential</w:t>
      </w:r>
    </w:p>
    <w:p>
      <w:pPr>
        <w:spacing w:before="0" w:after="160"/>
        <w:pBdr>
          <w:bottom w:val="single" w:sz="8" w:color="008B8B"/>
        </w:pBdr>
      </w:pPr>
    </w:p>
    <w:p>
      <w:pPr>
        <w:pStyle w:val="Heading2"/>
      </w:pPr>
      <w:r>
        <w:t>1. Headline</w:t>
      </w:r>
    </w:p>
    <w:p>
      <w:pPr>
        <w:spacing w:after="120"/>
      </w:pPr>
      <w:r>
        <w:rPr>
          <w:b w:val="0"/>
          <w:i w:val="0"/>
          <w:sz w:val="21"/>
        </w:rPr>
        <w:t>Revenue for the nine months to 30 September 2025 was $10,543,059.22 against $13,786,572.99 for the whole of FY2024. On a monthly average the business is trading below last year ($1,171,451.02 a month against $1,148,881.08), gross margin has improved to 50.5% from 49.3%, and operating expenses have absorbed the whole of the improvement: the nine-month result is a loss of $61,866.98 against a full-year profit of $447,052.47 in FY2024.</w:t>
      </w:r>
    </w:p>
    <w:p>
      <w:pPr>
        <w:pStyle w:val="Heading2"/>
      </w:pPr>
      <w:r>
        <w:t>2. The five variances that need explaining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608"/>
            <w:shd w:val="clear" w:color="auto" w:fill="0B2E4F"/>
          </w:tcPr>
          <w:p>
            <w:r/>
            <w:r>
              <w:rPr>
                <w:b/>
                <w:color w:val="FFFFFF"/>
                <w:sz w:val="17"/>
              </w:rPr>
              <w:t>Adverse variance</w:t>
            </w:r>
          </w:p>
        </w:tc>
        <w:tc>
          <w:tcPr>
            <w:tcW w:type="dxa" w:w="1361"/>
            <w:shd w:val="clear" w:color="auto" w:fill="0B2E4F"/>
          </w:tcPr>
          <w:p>
            <w:r/>
            <w:r>
              <w:rPr>
                <w:b/>
                <w:color w:val="FFFFFF"/>
                <w:sz w:val="17"/>
              </w:rPr>
              <w:t>Budget</w:t>
            </w:r>
          </w:p>
        </w:tc>
        <w:tc>
          <w:tcPr>
            <w:tcW w:type="dxa" w:w="1361"/>
            <w:shd w:val="clear" w:color="auto" w:fill="0B2E4F"/>
          </w:tcPr>
          <w:p>
            <w:r/>
            <w:r>
              <w:rPr>
                <w:b/>
                <w:color w:val="FFFFFF"/>
                <w:sz w:val="17"/>
              </w:rPr>
              <w:t>Actual</w:t>
            </w:r>
          </w:p>
        </w:tc>
        <w:tc>
          <w:tcPr>
            <w:tcW w:type="dxa" w:w="1361"/>
            <w:shd w:val="clear" w:color="auto" w:fill="0B2E4F"/>
          </w:tcPr>
          <w:p>
            <w:r/>
            <w:r>
              <w:rPr>
                <w:b/>
                <w:color w:val="FFFFFF"/>
                <w:sz w:val="17"/>
              </w:rPr>
              <w:t>Variance</w:t>
            </w:r>
          </w:p>
        </w:tc>
        <w:tc>
          <w:tcPr>
            <w:tcW w:type="dxa" w:w="2948"/>
            <w:shd w:val="clear" w:color="auto" w:fill="0B2E4F"/>
          </w:tcPr>
          <w:p>
            <w:r/>
            <w:r>
              <w:rPr>
                <w:b/>
                <w:color w:val="FFFFFF"/>
                <w:sz w:val="17"/>
              </w:rPr>
              <w:t>Commentary</w:t>
            </w:r>
          </w:p>
        </w:tc>
      </w:tr>
      <w:tr>
        <w:tc>
          <w:tcPr>
            <w:tcW w:type="dxa" w:w="2608"/>
          </w:tcPr>
          <w:p>
            <w:pPr>
              <w:spacing w:after="20"/>
            </w:pPr>
            <w:r/>
            <w:r>
              <w:rPr>
                <w:b w:val="0"/>
                <w:sz w:val="17"/>
              </w:rPr>
              <w:t>Trade Payables</w:t>
            </w:r>
          </w:p>
        </w:tc>
        <w:tc>
          <w:tcPr>
            <w:tcW w:type="dxa" w:w="1361"/>
          </w:tcPr>
          <w:p>
            <w:pPr>
              <w:spacing w:after="20"/>
              <w:jc w:val="right"/>
            </w:pPr>
            <w:r/>
            <w:r>
              <w:rPr>
                <w:b w:val="0"/>
                <w:sz w:val="17"/>
              </w:rPr>
              <w:t>0.00</w:t>
            </w:r>
          </w:p>
        </w:tc>
        <w:tc>
          <w:tcPr>
            <w:tcW w:type="dxa" w:w="1361"/>
          </w:tcPr>
          <w:p>
            <w:pPr>
              <w:spacing w:after="20"/>
              <w:jc w:val="right"/>
            </w:pPr>
            <w:r/>
            <w:r>
              <w:rPr>
                <w:b w:val="0"/>
                <w:sz w:val="17"/>
              </w:rPr>
              <w:t>-666,649.78</w:t>
            </w:r>
          </w:p>
        </w:tc>
        <w:tc>
          <w:tcPr>
            <w:tcW w:type="dxa" w:w="1361"/>
          </w:tcPr>
          <w:p>
            <w:pPr>
              <w:spacing w:after="20"/>
              <w:jc w:val="right"/>
            </w:pPr>
            <w:r/>
            <w:r>
              <w:rPr>
                <w:b w:val="0"/>
                <w:sz w:val="17"/>
              </w:rPr>
              <w:t>-666,649.78</w:t>
            </w:r>
          </w:p>
        </w:tc>
        <w:tc>
          <w:tcPr>
            <w:tcW w:type="dxa" w:w="2948"/>
          </w:tcPr>
          <w:p>
            <w:pPr>
              <w:spacing w:after="20"/>
            </w:pPr>
            <w:r/>
            <w:r>
              <w:rPr>
                <w:b w:val="0"/>
                <w:sz w:val="17"/>
              </w:rPr>
              <w:t>Over budget by $666,649.78 (0%). Confirm whether this is timing or a run-rate change before the next period.</w:t>
            </w:r>
          </w:p>
        </w:tc>
      </w:tr>
      <w:tr>
        <w:tc>
          <w:tcPr>
            <w:tcW w:type="dxa" w:w="2608"/>
            <w:shd w:val="clear" w:color="auto" w:fill="F5F8FA"/>
          </w:tcPr>
          <w:p>
            <w:pPr>
              <w:spacing w:after="20"/>
            </w:pPr>
            <w:r/>
            <w:r>
              <w:rPr>
                <w:b w:val="0"/>
                <w:sz w:val="17"/>
              </w:rPr>
              <w:t>Accruals</w:t>
            </w:r>
          </w:p>
        </w:tc>
        <w:tc>
          <w:tcPr>
            <w:tcW w:type="dxa" w:w="1361"/>
            <w:shd w:val="clear" w:color="auto" w:fill="F5F8FA"/>
          </w:tcPr>
          <w:p>
            <w:pPr>
              <w:spacing w:after="20"/>
              <w:jc w:val="right"/>
            </w:pPr>
            <w:r/>
            <w:r>
              <w:rPr>
                <w:b w:val="0"/>
                <w:sz w:val="17"/>
              </w:rPr>
              <w:t>0.00</w:t>
            </w:r>
          </w:p>
        </w:tc>
        <w:tc>
          <w:tcPr>
            <w:tcW w:type="dxa" w:w="1361"/>
            <w:shd w:val="clear" w:color="auto" w:fill="F5F8FA"/>
          </w:tcPr>
          <w:p>
            <w:pPr>
              <w:spacing w:after="20"/>
              <w:jc w:val="right"/>
            </w:pPr>
            <w:r/>
            <w:r>
              <w:rPr>
                <w:b w:val="0"/>
                <w:sz w:val="17"/>
              </w:rPr>
              <w:t>-160,093.34</w:t>
            </w:r>
          </w:p>
        </w:tc>
        <w:tc>
          <w:tcPr>
            <w:tcW w:type="dxa" w:w="1361"/>
            <w:shd w:val="clear" w:color="auto" w:fill="F5F8FA"/>
          </w:tcPr>
          <w:p>
            <w:pPr>
              <w:spacing w:after="20"/>
              <w:jc w:val="right"/>
            </w:pPr>
            <w:r/>
            <w:r>
              <w:rPr>
                <w:b w:val="0"/>
                <w:sz w:val="17"/>
              </w:rPr>
              <w:t>-160,093.34</w:t>
            </w:r>
          </w:p>
        </w:tc>
        <w:tc>
          <w:tcPr>
            <w:tcW w:type="dxa" w:w="2948"/>
            <w:shd w:val="clear" w:color="auto" w:fill="F5F8FA"/>
          </w:tcPr>
          <w:p>
            <w:pPr>
              <w:spacing w:after="20"/>
            </w:pPr>
            <w:r/>
            <w:r>
              <w:rPr>
                <w:b w:val="0"/>
                <w:sz w:val="17"/>
              </w:rPr>
              <w:t>Over budget by $160,093.34 (0%). Confirm whether this is timing or a run-rate change before the next period.</w:t>
            </w:r>
          </w:p>
        </w:tc>
      </w:tr>
      <w:tr>
        <w:tc>
          <w:tcPr>
            <w:tcW w:type="dxa" w:w="2608"/>
          </w:tcPr>
          <w:p>
            <w:pPr>
              <w:spacing w:after="20"/>
            </w:pPr>
            <w:r/>
            <w:r>
              <w:rPr>
                <w:b w:val="0"/>
                <w:sz w:val="17"/>
              </w:rPr>
              <w:t>Income Tax Payable</w:t>
            </w:r>
          </w:p>
        </w:tc>
        <w:tc>
          <w:tcPr>
            <w:tcW w:type="dxa" w:w="1361"/>
          </w:tcPr>
          <w:p>
            <w:pPr>
              <w:spacing w:after="20"/>
              <w:jc w:val="right"/>
            </w:pPr>
            <w:r/>
            <w:r>
              <w:rPr>
                <w:b w:val="0"/>
                <w:sz w:val="17"/>
              </w:rPr>
              <w:t>0.00</w:t>
            </w:r>
          </w:p>
        </w:tc>
        <w:tc>
          <w:tcPr>
            <w:tcW w:type="dxa" w:w="1361"/>
          </w:tcPr>
          <w:p>
            <w:pPr>
              <w:spacing w:after="20"/>
              <w:jc w:val="right"/>
            </w:pPr>
            <w:r/>
            <w:r>
              <w:rPr>
                <w:b w:val="0"/>
                <w:sz w:val="17"/>
              </w:rPr>
              <w:t>-143,673.62</w:t>
            </w:r>
          </w:p>
        </w:tc>
        <w:tc>
          <w:tcPr>
            <w:tcW w:type="dxa" w:w="1361"/>
          </w:tcPr>
          <w:p>
            <w:pPr>
              <w:spacing w:after="20"/>
              <w:jc w:val="right"/>
            </w:pPr>
            <w:r/>
            <w:r>
              <w:rPr>
                <w:b w:val="0"/>
                <w:sz w:val="17"/>
              </w:rPr>
              <w:t>-143,673.62</w:t>
            </w:r>
          </w:p>
        </w:tc>
        <w:tc>
          <w:tcPr>
            <w:tcW w:type="dxa" w:w="2948"/>
          </w:tcPr>
          <w:p>
            <w:pPr>
              <w:spacing w:after="20"/>
            </w:pPr>
            <w:r/>
            <w:r>
              <w:rPr>
                <w:b w:val="0"/>
                <w:sz w:val="17"/>
              </w:rPr>
              <w:t>Over budget by $143,673.62 (0%). Confirm whether this is timing or a run-rate change before the next period.</w:t>
            </w:r>
          </w:p>
        </w:tc>
      </w:tr>
      <w:tr>
        <w:tc>
          <w:tcPr>
            <w:tcW w:type="dxa" w:w="2608"/>
            <w:shd w:val="clear" w:color="auto" w:fill="F5F8FA"/>
          </w:tcPr>
          <w:p>
            <w:pPr>
              <w:spacing w:after="20"/>
            </w:pPr>
            <w:r/>
            <w:r>
              <w:rPr>
                <w:b w:val="0"/>
                <w:sz w:val="17"/>
              </w:rPr>
              <w:t>Bank - CBZ USD Current</w:t>
            </w:r>
          </w:p>
        </w:tc>
        <w:tc>
          <w:tcPr>
            <w:tcW w:type="dxa" w:w="1361"/>
            <w:shd w:val="clear" w:color="auto" w:fill="F5F8FA"/>
          </w:tcPr>
          <w:p>
            <w:pPr>
              <w:spacing w:after="20"/>
              <w:jc w:val="right"/>
            </w:pPr>
            <w:r/>
            <w:r>
              <w:rPr>
                <w:b w:val="0"/>
                <w:sz w:val="17"/>
              </w:rPr>
              <w:t>0.00</w:t>
            </w:r>
          </w:p>
        </w:tc>
        <w:tc>
          <w:tcPr>
            <w:tcW w:type="dxa" w:w="1361"/>
            <w:shd w:val="clear" w:color="auto" w:fill="F5F8FA"/>
          </w:tcPr>
          <w:p>
            <w:pPr>
              <w:spacing w:after="20"/>
              <w:jc w:val="right"/>
            </w:pPr>
            <w:r/>
            <w:r>
              <w:rPr>
                <w:b w:val="0"/>
                <w:sz w:val="17"/>
              </w:rPr>
              <w:t>-132,878.67</w:t>
            </w:r>
          </w:p>
        </w:tc>
        <w:tc>
          <w:tcPr>
            <w:tcW w:type="dxa" w:w="1361"/>
            <w:shd w:val="clear" w:color="auto" w:fill="F5F8FA"/>
          </w:tcPr>
          <w:p>
            <w:pPr>
              <w:spacing w:after="20"/>
              <w:jc w:val="right"/>
            </w:pPr>
            <w:r/>
            <w:r>
              <w:rPr>
                <w:b w:val="0"/>
                <w:sz w:val="17"/>
              </w:rPr>
              <w:t>-132,878.67</w:t>
            </w:r>
          </w:p>
        </w:tc>
        <w:tc>
          <w:tcPr>
            <w:tcW w:type="dxa" w:w="2948"/>
            <w:shd w:val="clear" w:color="auto" w:fill="F5F8FA"/>
          </w:tcPr>
          <w:p>
            <w:pPr>
              <w:spacing w:after="20"/>
            </w:pPr>
            <w:r/>
            <w:r>
              <w:rPr>
                <w:b w:val="0"/>
                <w:sz w:val="17"/>
              </w:rPr>
              <w:t>Over budget by $132,878.67 (0%). Confirm whether this is timing or a run-rate change before the next period.</w:t>
            </w:r>
          </w:p>
        </w:tc>
      </w:tr>
      <w:tr>
        <w:tc>
          <w:tcPr>
            <w:tcW w:type="dxa" w:w="2608"/>
          </w:tcPr>
          <w:p>
            <w:pPr>
              <w:spacing w:after="20"/>
            </w:pPr>
            <w:r/>
            <w:r>
              <w:rPr>
                <w:b w:val="0"/>
                <w:sz w:val="17"/>
              </w:rPr>
              <w:t>Other Receivables</w:t>
            </w:r>
          </w:p>
        </w:tc>
        <w:tc>
          <w:tcPr>
            <w:tcW w:type="dxa" w:w="1361"/>
          </w:tcPr>
          <w:p>
            <w:pPr>
              <w:spacing w:after="20"/>
              <w:jc w:val="right"/>
            </w:pPr>
            <w:r/>
            <w:r>
              <w:rPr>
                <w:b w:val="0"/>
                <w:sz w:val="17"/>
              </w:rPr>
              <w:t>0.00</w:t>
            </w:r>
          </w:p>
        </w:tc>
        <w:tc>
          <w:tcPr>
            <w:tcW w:type="dxa" w:w="1361"/>
          </w:tcPr>
          <w:p>
            <w:pPr>
              <w:spacing w:after="20"/>
              <w:jc w:val="right"/>
            </w:pPr>
            <w:r/>
            <w:r>
              <w:rPr>
                <w:b w:val="0"/>
                <w:sz w:val="17"/>
              </w:rPr>
              <w:t>-115,721.62</w:t>
            </w:r>
          </w:p>
        </w:tc>
        <w:tc>
          <w:tcPr>
            <w:tcW w:type="dxa" w:w="1361"/>
          </w:tcPr>
          <w:p>
            <w:pPr>
              <w:spacing w:after="20"/>
              <w:jc w:val="right"/>
            </w:pPr>
            <w:r/>
            <w:r>
              <w:rPr>
                <w:b w:val="0"/>
                <w:sz w:val="17"/>
              </w:rPr>
              <w:t>-115,721.62</w:t>
            </w:r>
          </w:p>
        </w:tc>
        <w:tc>
          <w:tcPr>
            <w:tcW w:type="dxa" w:w="2948"/>
          </w:tcPr>
          <w:p>
            <w:pPr>
              <w:spacing w:after="20"/>
            </w:pPr>
            <w:r/>
            <w:r>
              <w:rPr>
                <w:b w:val="0"/>
                <w:sz w:val="17"/>
              </w:rPr>
              <w:t>Over budget by $115,721.62 (0%). Confirm whether this is timing or a run-rate change before the next period.</w:t>
            </w:r>
          </w:p>
        </w:tc>
      </w:tr>
    </w:tbl>
    <w:p>
      <w:pPr>
        <w:spacing w:after="40"/>
      </w:pP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608"/>
            <w:shd w:val="clear" w:color="auto" w:fill="0B2E4F"/>
          </w:tcPr>
          <w:p>
            <w:r/>
            <w:r>
              <w:rPr>
                <w:b/>
                <w:color w:val="FFFFFF"/>
                <w:sz w:val="17"/>
              </w:rPr>
              <w:t>Favourable variance</w:t>
            </w:r>
          </w:p>
        </w:tc>
        <w:tc>
          <w:tcPr>
            <w:tcW w:type="dxa" w:w="1361"/>
            <w:shd w:val="clear" w:color="auto" w:fill="0B2E4F"/>
          </w:tcPr>
          <w:p>
            <w:r/>
            <w:r>
              <w:rPr>
                <w:b/>
                <w:color w:val="FFFFFF"/>
                <w:sz w:val="17"/>
              </w:rPr>
              <w:t>Budget</w:t>
            </w:r>
          </w:p>
        </w:tc>
        <w:tc>
          <w:tcPr>
            <w:tcW w:type="dxa" w:w="1361"/>
            <w:shd w:val="clear" w:color="auto" w:fill="0B2E4F"/>
          </w:tcPr>
          <w:p>
            <w:r/>
            <w:r>
              <w:rPr>
                <w:b/>
                <w:color w:val="FFFFFF"/>
                <w:sz w:val="17"/>
              </w:rPr>
              <w:t>Actual</w:t>
            </w:r>
          </w:p>
        </w:tc>
        <w:tc>
          <w:tcPr>
            <w:tcW w:type="dxa" w:w="1361"/>
            <w:shd w:val="clear" w:color="auto" w:fill="0B2E4F"/>
          </w:tcPr>
          <w:p>
            <w:r/>
            <w:r>
              <w:rPr>
                <w:b/>
                <w:color w:val="FFFFFF"/>
                <w:sz w:val="17"/>
              </w:rPr>
              <w:t>Variance</w:t>
            </w:r>
          </w:p>
        </w:tc>
        <w:tc>
          <w:tcPr>
            <w:tcW w:type="dxa" w:w="2948"/>
            <w:shd w:val="clear" w:color="auto" w:fill="0B2E4F"/>
          </w:tcPr>
          <w:p>
            <w:r/>
            <w:r>
              <w:rPr>
                <w:b/>
                <w:color w:val="FFFFFF"/>
                <w:sz w:val="17"/>
              </w:rPr>
              <w:t>Commentary</w:t>
            </w:r>
          </w:p>
        </w:tc>
      </w:tr>
      <w:tr>
        <w:tc>
          <w:tcPr>
            <w:tcW w:type="dxa" w:w="2608"/>
          </w:tcPr>
          <w:p>
            <w:pPr>
              <w:spacing w:after="20"/>
            </w:pPr>
            <w:r/>
            <w:r>
              <w:rPr>
                <w:b w:val="0"/>
                <w:sz w:val="17"/>
              </w:rPr>
              <w:t>Trade Receivables</w:t>
            </w:r>
          </w:p>
        </w:tc>
        <w:tc>
          <w:tcPr>
            <w:tcW w:type="dxa" w:w="1361"/>
          </w:tcPr>
          <w:p>
            <w:pPr>
              <w:spacing w:after="20"/>
              <w:jc w:val="right"/>
            </w:pPr>
            <w:r/>
            <w:r>
              <w:rPr>
                <w:b w:val="0"/>
                <w:sz w:val="17"/>
              </w:rPr>
              <w:t>0.00</w:t>
            </w:r>
          </w:p>
        </w:tc>
        <w:tc>
          <w:tcPr>
            <w:tcW w:type="dxa" w:w="1361"/>
          </w:tcPr>
          <w:p>
            <w:pPr>
              <w:spacing w:after="20"/>
              <w:jc w:val="right"/>
            </w:pPr>
            <w:r/>
            <w:r>
              <w:rPr>
                <w:b w:val="0"/>
                <w:sz w:val="17"/>
              </w:rPr>
              <w:t>1,218,446.65</w:t>
            </w:r>
          </w:p>
        </w:tc>
        <w:tc>
          <w:tcPr>
            <w:tcW w:type="dxa" w:w="1361"/>
          </w:tcPr>
          <w:p>
            <w:pPr>
              <w:spacing w:after="20"/>
              <w:jc w:val="right"/>
            </w:pPr>
            <w:r/>
            <w:r>
              <w:rPr>
                <w:b w:val="0"/>
                <w:sz w:val="17"/>
              </w:rPr>
              <w:t>1,218,446.65</w:t>
            </w:r>
          </w:p>
        </w:tc>
        <w:tc>
          <w:tcPr>
            <w:tcW w:type="dxa" w:w="2948"/>
          </w:tcPr>
          <w:p>
            <w:pPr>
              <w:spacing w:after="20"/>
            </w:pPr>
            <w:r/>
            <w:r>
              <w:rPr>
                <w:b w:val="0"/>
                <w:sz w:val="17"/>
              </w:rPr>
              <w:t>Under budget by $1,218,446.65 (0%). Confirm the saving is real and not deferred spend.</w:t>
            </w:r>
          </w:p>
        </w:tc>
      </w:tr>
      <w:tr>
        <w:tc>
          <w:tcPr>
            <w:tcW w:type="dxa" w:w="2608"/>
            <w:shd w:val="clear" w:color="auto" w:fill="F5F8FA"/>
          </w:tcPr>
          <w:p>
            <w:pPr>
              <w:spacing w:after="20"/>
            </w:pPr>
            <w:r/>
            <w:r>
              <w:rPr>
                <w:b w:val="0"/>
                <w:sz w:val="17"/>
              </w:rPr>
              <w:t>Repairs and Maintenance</w:t>
            </w:r>
          </w:p>
        </w:tc>
        <w:tc>
          <w:tcPr>
            <w:tcW w:type="dxa" w:w="1361"/>
            <w:shd w:val="clear" w:color="auto" w:fill="F5F8FA"/>
          </w:tcPr>
          <w:p>
            <w:pPr>
              <w:spacing w:after="20"/>
              <w:jc w:val="right"/>
            </w:pPr>
            <w:r/>
            <w:r>
              <w:rPr>
                <w:b w:val="0"/>
                <w:sz w:val="17"/>
              </w:rPr>
              <w:t>540,975.59</w:t>
            </w:r>
          </w:p>
        </w:tc>
        <w:tc>
          <w:tcPr>
            <w:tcW w:type="dxa" w:w="1361"/>
            <w:shd w:val="clear" w:color="auto" w:fill="F5F8FA"/>
          </w:tcPr>
          <w:p>
            <w:pPr>
              <w:spacing w:after="20"/>
              <w:jc w:val="right"/>
            </w:pPr>
            <w:r/>
            <w:r>
              <w:rPr>
                <w:b w:val="0"/>
                <w:sz w:val="17"/>
              </w:rPr>
              <w:t>129,973.83</w:t>
            </w:r>
          </w:p>
        </w:tc>
        <w:tc>
          <w:tcPr>
            <w:tcW w:type="dxa" w:w="1361"/>
            <w:shd w:val="clear" w:color="auto" w:fill="F5F8FA"/>
          </w:tcPr>
          <w:p>
            <w:pPr>
              <w:spacing w:after="20"/>
              <w:jc w:val="right"/>
            </w:pPr>
            <w:r/>
            <w:r>
              <w:rPr>
                <w:b w:val="0"/>
                <w:sz w:val="17"/>
              </w:rPr>
              <w:t>411,001.76</w:t>
            </w:r>
          </w:p>
        </w:tc>
        <w:tc>
          <w:tcPr>
            <w:tcW w:type="dxa" w:w="2948"/>
            <w:shd w:val="clear" w:color="auto" w:fill="F5F8FA"/>
          </w:tcPr>
          <w:p>
            <w:pPr>
              <w:spacing w:after="20"/>
            </w:pPr>
            <w:r/>
            <w:r>
              <w:rPr>
                <w:b w:val="0"/>
                <w:sz w:val="17"/>
              </w:rPr>
              <w:t>Under budget by $411,001.76 (76%). Confirm the saving is real and not deferred spend.</w:t>
            </w:r>
          </w:p>
        </w:tc>
      </w:tr>
      <w:tr>
        <w:tc>
          <w:tcPr>
            <w:tcW w:type="dxa" w:w="2608"/>
          </w:tcPr>
          <w:p>
            <w:pPr>
              <w:spacing w:after="20"/>
            </w:pPr>
            <w:r/>
            <w:r>
              <w:rPr>
                <w:b w:val="0"/>
                <w:sz w:val="17"/>
              </w:rPr>
              <w:t>Electricity and Water</w:t>
            </w:r>
          </w:p>
        </w:tc>
        <w:tc>
          <w:tcPr>
            <w:tcW w:type="dxa" w:w="1361"/>
          </w:tcPr>
          <w:p>
            <w:pPr>
              <w:spacing w:after="20"/>
              <w:jc w:val="right"/>
            </w:pPr>
            <w:r/>
            <w:r>
              <w:rPr>
                <w:b w:val="0"/>
                <w:sz w:val="17"/>
              </w:rPr>
              <w:t>462,090.49</w:t>
            </w:r>
          </w:p>
        </w:tc>
        <w:tc>
          <w:tcPr>
            <w:tcW w:type="dxa" w:w="1361"/>
          </w:tcPr>
          <w:p>
            <w:pPr>
              <w:spacing w:after="20"/>
              <w:jc w:val="right"/>
            </w:pPr>
            <w:r/>
            <w:r>
              <w:rPr>
                <w:b w:val="0"/>
                <w:sz w:val="17"/>
              </w:rPr>
              <w:t>235,694.70</w:t>
            </w:r>
          </w:p>
        </w:tc>
        <w:tc>
          <w:tcPr>
            <w:tcW w:type="dxa" w:w="1361"/>
          </w:tcPr>
          <w:p>
            <w:pPr>
              <w:spacing w:after="20"/>
              <w:jc w:val="right"/>
            </w:pPr>
            <w:r/>
            <w:r>
              <w:rPr>
                <w:b w:val="0"/>
                <w:sz w:val="17"/>
              </w:rPr>
              <w:t>226,395.79</w:t>
            </w:r>
          </w:p>
        </w:tc>
        <w:tc>
          <w:tcPr>
            <w:tcW w:type="dxa" w:w="2948"/>
          </w:tcPr>
          <w:p>
            <w:pPr>
              <w:spacing w:after="20"/>
            </w:pPr>
            <w:r/>
            <w:r>
              <w:rPr>
                <w:b w:val="0"/>
                <w:sz w:val="17"/>
              </w:rPr>
              <w:t>Under budget by $226,395.79 (49%). Confirm the saving is real and not deferred spend.</w:t>
            </w:r>
          </w:p>
        </w:tc>
      </w:tr>
      <w:tr>
        <w:tc>
          <w:tcPr>
            <w:tcW w:type="dxa" w:w="2608"/>
            <w:shd w:val="clear" w:color="auto" w:fill="F5F8FA"/>
          </w:tcPr>
          <w:p>
            <w:pPr>
              <w:spacing w:after="20"/>
            </w:pPr>
            <w:r/>
            <w:r>
              <w:rPr>
                <w:b w:val="0"/>
                <w:sz w:val="17"/>
              </w:rPr>
              <w:t>Fuel and Motor Vehicle Costs</w:t>
            </w:r>
          </w:p>
        </w:tc>
        <w:tc>
          <w:tcPr>
            <w:tcW w:type="dxa" w:w="1361"/>
            <w:shd w:val="clear" w:color="auto" w:fill="F5F8FA"/>
          </w:tcPr>
          <w:p>
            <w:pPr>
              <w:spacing w:after="20"/>
              <w:jc w:val="right"/>
            </w:pPr>
            <w:r/>
            <w:r>
              <w:rPr>
                <w:b w:val="0"/>
                <w:sz w:val="17"/>
              </w:rPr>
              <w:t>297,097.42</w:t>
            </w:r>
          </w:p>
        </w:tc>
        <w:tc>
          <w:tcPr>
            <w:tcW w:type="dxa" w:w="1361"/>
            <w:shd w:val="clear" w:color="auto" w:fill="F5F8FA"/>
          </w:tcPr>
          <w:p>
            <w:pPr>
              <w:spacing w:after="20"/>
              <w:jc w:val="right"/>
            </w:pPr>
            <w:r/>
            <w:r>
              <w:rPr>
                <w:b w:val="0"/>
                <w:sz w:val="17"/>
              </w:rPr>
              <w:t>120,750.66</w:t>
            </w:r>
          </w:p>
        </w:tc>
        <w:tc>
          <w:tcPr>
            <w:tcW w:type="dxa" w:w="1361"/>
            <w:shd w:val="clear" w:color="auto" w:fill="F5F8FA"/>
          </w:tcPr>
          <w:p>
            <w:pPr>
              <w:spacing w:after="20"/>
              <w:jc w:val="right"/>
            </w:pPr>
            <w:r/>
            <w:r>
              <w:rPr>
                <w:b w:val="0"/>
                <w:sz w:val="17"/>
              </w:rPr>
              <w:t>176,346.76</w:t>
            </w:r>
          </w:p>
        </w:tc>
        <w:tc>
          <w:tcPr>
            <w:tcW w:type="dxa" w:w="2948"/>
            <w:shd w:val="clear" w:color="auto" w:fill="F5F8FA"/>
          </w:tcPr>
          <w:p>
            <w:pPr>
              <w:spacing w:after="20"/>
            </w:pPr>
            <w:r/>
            <w:r>
              <w:rPr>
                <w:b w:val="0"/>
                <w:sz w:val="17"/>
              </w:rPr>
              <w:t>Under budget by $176,346.76 (59%). Confirm the saving is real and not deferred spend.</w:t>
            </w:r>
          </w:p>
        </w:tc>
      </w:tr>
      <w:tr>
        <w:tc>
          <w:tcPr>
            <w:tcW w:type="dxa" w:w="2608"/>
          </w:tcPr>
          <w:p>
            <w:pPr>
              <w:spacing w:after="20"/>
            </w:pPr>
            <w:r/>
            <w:r>
              <w:rPr>
                <w:b w:val="0"/>
                <w:sz w:val="17"/>
              </w:rPr>
              <w:t>Dividends Declared</w:t>
            </w:r>
          </w:p>
        </w:tc>
        <w:tc>
          <w:tcPr>
            <w:tcW w:type="dxa" w:w="1361"/>
          </w:tcPr>
          <w:p>
            <w:pPr>
              <w:spacing w:after="20"/>
              <w:jc w:val="right"/>
            </w:pPr>
            <w:r/>
            <w:r>
              <w:rPr>
                <w:b w:val="0"/>
                <w:sz w:val="17"/>
              </w:rPr>
              <w:t>0.00</w:t>
            </w:r>
          </w:p>
        </w:tc>
        <w:tc>
          <w:tcPr>
            <w:tcW w:type="dxa" w:w="1361"/>
          </w:tcPr>
          <w:p>
            <w:pPr>
              <w:spacing w:after="20"/>
              <w:jc w:val="right"/>
            </w:pPr>
            <w:r/>
            <w:r>
              <w:rPr>
                <w:b w:val="0"/>
                <w:sz w:val="17"/>
              </w:rPr>
              <w:t>120,000.00</w:t>
            </w:r>
          </w:p>
        </w:tc>
        <w:tc>
          <w:tcPr>
            <w:tcW w:type="dxa" w:w="1361"/>
          </w:tcPr>
          <w:p>
            <w:pPr>
              <w:spacing w:after="20"/>
              <w:jc w:val="right"/>
            </w:pPr>
            <w:r/>
            <w:r>
              <w:rPr>
                <w:b w:val="0"/>
                <w:sz w:val="17"/>
              </w:rPr>
              <w:t>120,000.00</w:t>
            </w:r>
          </w:p>
        </w:tc>
        <w:tc>
          <w:tcPr>
            <w:tcW w:type="dxa" w:w="2948"/>
          </w:tcPr>
          <w:p>
            <w:pPr>
              <w:spacing w:after="20"/>
            </w:pPr>
            <w:r/>
            <w:r>
              <w:rPr>
                <w:b w:val="0"/>
                <w:sz w:val="17"/>
              </w:rPr>
              <w:t>Under budget by $120,000.00 (0%). Confirm the saving is real and not deferred spend.</w:t>
            </w:r>
          </w:p>
        </w:tc>
      </w:tr>
    </w:tbl>
    <w:p>
      <w:pPr>
        <w:spacing w:after="40"/>
      </w:pPr>
    </w:p>
    <w:p>
      <w:pPr>
        <w:pStyle w:val="Heading2"/>
      </w:pPr>
      <w:r>
        <w:t>3. Working capital</w:t>
      </w:r>
    </w:p>
    <w:p>
      <w:pPr>
        <w:spacing w:after="120"/>
      </w:pPr>
      <w:r>
        <w:rPr>
          <w:b w:val="0"/>
          <w:i w:val="0"/>
          <w:sz w:val="21"/>
        </w:rPr>
        <w:t>Cash fell from $925,427.00 at 31 December 2024 to $792,548.41, a reduction of $132,878.59, while receivables grew by $1,034,956.73. The cash conversion cycle is 20 days, which looks efficient but is only achievable because suppliers are being stretched to 124 days to fund customers who pay in 98. That is a fragile position: it depends on both sides staying tolerant.</w:t>
      </w:r>
    </w:p>
    <w:tbl>
      <w:tblPr>
        <w:tblStyle w:val="TableGrid"/>
        <w:tblW w:type="auto" w:w="0"/>
        <w:jc w:val="center"/>
        <w:tblLook w:firstColumn="1" w:firstRow="1" w:lastColumn="0" w:lastRow="0" w:noHBand="0" w:noVBand="1" w:val="04A0"/>
      </w:tblPr>
      <w:tblGrid>
        <w:gridCol w:w="3324"/>
        <w:gridCol w:w="3324"/>
        <w:gridCol w:w="3324"/>
      </w:tblGrid>
      <w:tr>
        <w:tc>
          <w:tcPr>
            <w:tcW w:type="dxa" w:w="1361"/>
            <w:shd w:val="clear" w:color="auto" w:fill="0B2E4F"/>
          </w:tcPr>
          <w:p>
            <w:r/>
            <w:r>
              <w:rPr>
                <w:b/>
                <w:color w:val="FFFFFF"/>
                <w:sz w:val="17"/>
              </w:rPr>
              <w:t>Ratio</w:t>
            </w:r>
          </w:p>
        </w:tc>
        <w:tc>
          <w:tcPr>
            <w:tcW w:type="dxa" w:w="1474"/>
            <w:shd w:val="clear" w:color="auto" w:fill="0B2E4F"/>
          </w:tcPr>
          <w:p>
            <w:r/>
            <w:r>
              <w:rPr>
                <w:b/>
                <w:color w:val="FFFFFF"/>
                <w:sz w:val="17"/>
              </w:rPr>
              <w:t>Value</w:t>
            </w:r>
          </w:p>
        </w:tc>
        <w:tc>
          <w:tcPr>
            <w:tcW w:type="dxa" w:w="6803"/>
            <w:shd w:val="clear" w:color="auto" w:fill="0B2E4F"/>
          </w:tcPr>
          <w:p>
            <w:r/>
            <w:r>
              <w:rPr>
                <w:b/>
                <w:color w:val="FFFFFF"/>
                <w:sz w:val="17"/>
              </w:rPr>
              <w:t>Definition</w:t>
            </w:r>
          </w:p>
        </w:tc>
      </w:tr>
      <w:tr>
        <w:tc>
          <w:tcPr>
            <w:tcW w:type="dxa" w:w="1361"/>
          </w:tcPr>
          <w:p>
            <w:pPr>
              <w:spacing w:after="20"/>
            </w:pPr>
            <w:r/>
            <w:r>
              <w:rPr>
                <w:b w:val="0"/>
                <w:sz w:val="18"/>
              </w:rPr>
              <w:t>DSO</w:t>
            </w:r>
          </w:p>
        </w:tc>
        <w:tc>
          <w:tcPr>
            <w:tcW w:type="dxa" w:w="1474"/>
          </w:tcPr>
          <w:p>
            <w:pPr>
              <w:spacing w:after="20"/>
            </w:pPr>
            <w:r/>
            <w:r>
              <w:rPr>
                <w:b w:val="0"/>
                <w:sz w:val="18"/>
              </w:rPr>
              <w:t>98 days</w:t>
            </w:r>
          </w:p>
        </w:tc>
        <w:tc>
          <w:tcPr>
            <w:tcW w:type="dxa" w:w="6803"/>
          </w:tcPr>
          <w:p>
            <w:pPr>
              <w:spacing w:after="20"/>
            </w:pPr>
            <w:r/>
            <w:r>
              <w:rPr>
                <w:b w:val="0"/>
                <w:sz w:val="18"/>
              </w:rPr>
              <w:t>Closing trade receivables (1100) / nine-month revenue x 273 days elapsed</w:t>
            </w:r>
          </w:p>
        </w:tc>
      </w:tr>
      <w:tr>
        <w:tc>
          <w:tcPr>
            <w:tcW w:type="dxa" w:w="1361"/>
            <w:shd w:val="clear" w:color="auto" w:fill="F5F8FA"/>
          </w:tcPr>
          <w:p>
            <w:pPr>
              <w:spacing w:after="20"/>
            </w:pPr>
            <w:r/>
            <w:r>
              <w:rPr>
                <w:b w:val="0"/>
                <w:sz w:val="18"/>
              </w:rPr>
              <w:t>DPO</w:t>
            </w:r>
          </w:p>
        </w:tc>
        <w:tc>
          <w:tcPr>
            <w:tcW w:type="dxa" w:w="1474"/>
            <w:shd w:val="clear" w:color="auto" w:fill="F5F8FA"/>
          </w:tcPr>
          <w:p>
            <w:pPr>
              <w:spacing w:after="20"/>
            </w:pPr>
            <w:r/>
            <w:r>
              <w:rPr>
                <w:b w:val="0"/>
                <w:sz w:val="18"/>
              </w:rPr>
              <w:t>124 days</w:t>
            </w:r>
          </w:p>
        </w:tc>
        <w:tc>
          <w:tcPr>
            <w:tcW w:type="dxa" w:w="6803"/>
            <w:shd w:val="clear" w:color="auto" w:fill="F5F8FA"/>
          </w:tcPr>
          <w:p>
            <w:pPr>
              <w:spacing w:after="20"/>
            </w:pPr>
            <w:r/>
            <w:r>
              <w:rPr>
                <w:b w:val="0"/>
                <w:sz w:val="18"/>
              </w:rPr>
              <w:t>Closing trade payables (2000) / nine-month cost of sales x 273 days elapsed</w:t>
            </w:r>
          </w:p>
        </w:tc>
      </w:tr>
      <w:tr>
        <w:tc>
          <w:tcPr>
            <w:tcW w:type="dxa" w:w="1361"/>
          </w:tcPr>
          <w:p>
            <w:pPr>
              <w:spacing w:after="20"/>
            </w:pPr>
            <w:r/>
            <w:r>
              <w:rPr>
                <w:b w:val="0"/>
                <w:sz w:val="18"/>
              </w:rPr>
              <w:t>DIO</w:t>
            </w:r>
          </w:p>
        </w:tc>
        <w:tc>
          <w:tcPr>
            <w:tcW w:type="dxa" w:w="1474"/>
          </w:tcPr>
          <w:p>
            <w:pPr>
              <w:spacing w:after="20"/>
            </w:pPr>
            <w:r/>
            <w:r>
              <w:rPr>
                <w:b w:val="0"/>
                <w:sz w:val="18"/>
              </w:rPr>
              <w:t>46 days</w:t>
            </w:r>
          </w:p>
        </w:tc>
        <w:tc>
          <w:tcPr>
            <w:tcW w:type="dxa" w:w="6803"/>
          </w:tcPr>
          <w:p>
            <w:pPr>
              <w:spacing w:after="20"/>
            </w:pPr>
            <w:r/>
            <w:r>
              <w:rPr>
                <w:b w:val="0"/>
                <w:sz w:val="18"/>
              </w:rPr>
              <w:t>Closing inventories net of provision (1200+1210+1220-1230) / nine-month cost of sales x 273 days elapsed</w:t>
            </w:r>
          </w:p>
        </w:tc>
      </w:tr>
      <w:tr>
        <w:tc>
          <w:tcPr>
            <w:tcW w:type="dxa" w:w="1361"/>
            <w:shd w:val="clear" w:color="auto" w:fill="F5F8FA"/>
          </w:tcPr>
          <w:p>
            <w:pPr>
              <w:spacing w:after="20"/>
            </w:pPr>
            <w:r/>
            <w:r>
              <w:rPr>
                <w:b w:val="0"/>
                <w:sz w:val="18"/>
              </w:rPr>
              <w:t>CCC</w:t>
            </w:r>
          </w:p>
        </w:tc>
        <w:tc>
          <w:tcPr>
            <w:tcW w:type="dxa" w:w="1474"/>
            <w:shd w:val="clear" w:color="auto" w:fill="F5F8FA"/>
          </w:tcPr>
          <w:p>
            <w:pPr>
              <w:spacing w:after="20"/>
            </w:pPr>
            <w:r/>
            <w:r>
              <w:rPr>
                <w:b w:val="0"/>
                <w:sz w:val="18"/>
              </w:rPr>
              <w:t>20 days</w:t>
            </w:r>
          </w:p>
        </w:tc>
        <w:tc>
          <w:tcPr>
            <w:tcW w:type="dxa" w:w="6803"/>
            <w:shd w:val="clear" w:color="auto" w:fill="F5F8FA"/>
          </w:tcPr>
          <w:p>
            <w:pPr>
              <w:spacing w:after="20"/>
            </w:pPr>
            <w:r/>
            <w:r>
              <w:rPr>
                <w:b w:val="0"/>
                <w:sz w:val="18"/>
              </w:rPr>
              <w:t>DSO + DIO - DPO</w:t>
            </w:r>
          </w:p>
        </w:tc>
      </w:tr>
      <w:tr>
        <w:tc>
          <w:tcPr>
            <w:tcW w:type="dxa" w:w="1361"/>
          </w:tcPr>
          <w:p>
            <w:pPr>
              <w:spacing w:after="20"/>
            </w:pPr>
            <w:r/>
            <w:r>
              <w:rPr>
                <w:b w:val="0"/>
                <w:sz w:val="18"/>
              </w:rPr>
              <w:t>Current ratio</w:t>
            </w:r>
          </w:p>
        </w:tc>
        <w:tc>
          <w:tcPr>
            <w:tcW w:type="dxa" w:w="1474"/>
          </w:tcPr>
          <w:p>
            <w:pPr>
              <w:spacing w:after="20"/>
            </w:pPr>
            <w:r/>
            <w:r>
              <w:rPr>
                <w:b w:val="0"/>
                <w:sz w:val="18"/>
              </w:rPr>
              <w:t>1.35</w:t>
            </w:r>
          </w:p>
        </w:tc>
        <w:tc>
          <w:tcPr>
            <w:tcW w:type="dxa" w:w="6803"/>
          </w:tcPr>
          <w:p>
            <w:pPr>
              <w:spacing w:after="20"/>
            </w:pPr>
            <w:r/>
            <w:r>
              <w:rPr>
                <w:b w:val="0"/>
                <w:sz w:val="18"/>
              </w:rPr>
              <w:t>$5,606,400.40 / $4,147,757.75</w:t>
            </w:r>
          </w:p>
        </w:tc>
      </w:tr>
    </w:tbl>
    <w:p>
      <w:pPr>
        <w:spacing w:after="40"/>
      </w:pPr>
    </w:p>
    <w:p>
      <w:pPr>
        <w:pStyle w:val="Heading2"/>
      </w:pPr>
      <w:r>
        <w:t>4. What the close pack says</w:t>
      </w:r>
    </w:p>
    <w:p>
      <w:pPr>
        <w:spacing w:after="120"/>
      </w:pPr>
      <w:r>
        <w:rPr>
          <w:b w:val="0"/>
          <w:i w:val="0"/>
          <w:sz w:val="21"/>
        </w:rPr>
        <w:t>Nine model-integrity checks tie: debits equal credits, every journal balances, no orphan keys, the balance sheet checks to zero, the cash flow ties to the cash accounts, the trial balance agrees to the client's, and the current-year result equals the movement in retained earnings. Three business exceptions are reported rather than hidden: the suspense account holds $51,058.87; 129 bank items worth $1,884,271.16 are unreconciled; and 168 of 520 creditor invoices fail the three-way match.</w:t>
      </w:r>
    </w:p>
    <w:p>
      <w:pPr>
        <w:pStyle w:val="Heading2"/>
      </w:pPr>
      <w:r>
        <w:t>5. Page specifications delivered</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val="clear" w:color="auto" w:fill="0B2E4F"/>
          </w:tcPr>
          <w:p>
            <w:r/>
            <w:r>
              <w:rPr>
                <w:b/>
                <w:color w:val="FFFFFF"/>
                <w:sz w:val="17"/>
              </w:rPr>
              <w:t>Page</w:t>
            </w:r>
          </w:p>
        </w:tc>
        <w:tc>
          <w:tcPr>
            <w:tcW w:type="dxa" w:w="5329"/>
            <w:shd w:val="clear" w:color="auto" w:fill="0B2E4F"/>
          </w:tcPr>
          <w:p>
            <w:r/>
            <w:r>
              <w:rPr>
                <w:b/>
                <w:color w:val="FFFFFF"/>
                <w:sz w:val="17"/>
              </w:rPr>
              <w:t>Content</w:t>
            </w:r>
          </w:p>
        </w:tc>
        <w:tc>
          <w:tcPr>
            <w:tcW w:type="dxa" w:w="2494"/>
            <w:shd w:val="clear" w:color="auto" w:fill="0B2E4F"/>
          </w:tcPr>
          <w:p>
            <w:r/>
            <w:r>
              <w:rPr>
                <w:b/>
                <w:color w:val="FFFFFF"/>
                <w:sz w:val="17"/>
              </w:rPr>
              <w:t>Requirement satisfied</w:t>
            </w:r>
          </w:p>
        </w:tc>
      </w:tr>
      <w:tr>
        <w:tc>
          <w:tcPr>
            <w:tcW w:type="dxa" w:w="1814"/>
          </w:tcPr>
          <w:p>
            <w:pPr>
              <w:spacing w:after="20"/>
            </w:pPr>
            <w:r/>
            <w:r>
              <w:rPr>
                <w:b w:val="0"/>
                <w:sz w:val="17"/>
              </w:rPr>
              <w:t>1. Executive summary</w:t>
            </w:r>
          </w:p>
        </w:tc>
        <w:tc>
          <w:tcPr>
            <w:tcW w:type="dxa" w:w="5329"/>
          </w:tcPr>
          <w:p>
            <w:pPr>
              <w:spacing w:after="20"/>
            </w:pPr>
            <w:r/>
            <w:r>
              <w:rPr>
                <w:b w:val="0"/>
                <w:sz w:val="17"/>
              </w:rPr>
              <w:t>KPI strip (revenue and YoY, gross margin, operating profit, cash, DSO, overdue &gt;90 days), revenue trend with a three-month projection, top five adverse variances, cash trend, prepared-by / data-as-at footer</w:t>
            </w:r>
          </w:p>
        </w:tc>
        <w:tc>
          <w:tcPr>
            <w:tcW w:type="dxa" w:w="2494"/>
          </w:tcPr>
          <w:p>
            <w:pPr>
              <w:spacing w:after="20"/>
            </w:pPr>
            <w:r/>
            <w:r>
              <w:rPr>
                <w:b w:val="0"/>
                <w:sz w:val="17"/>
              </w:rPr>
              <w:t>One page, board-ready</w:t>
            </w:r>
          </w:p>
        </w:tc>
      </w:tr>
      <w:tr>
        <w:tc>
          <w:tcPr>
            <w:tcW w:type="dxa" w:w="1814"/>
            <w:shd w:val="clear" w:color="auto" w:fill="F5F8FA"/>
          </w:tcPr>
          <w:p>
            <w:pPr>
              <w:spacing w:after="20"/>
            </w:pPr>
            <w:r/>
            <w:r>
              <w:rPr>
                <w:b w:val="0"/>
                <w:sz w:val="17"/>
              </w:rPr>
              <w:t>2. Profit or loss</w:t>
            </w:r>
          </w:p>
        </w:tc>
        <w:tc>
          <w:tcPr>
            <w:tcW w:type="dxa" w:w="5329"/>
            <w:shd w:val="clear" w:color="auto" w:fill="F5F8FA"/>
          </w:tcPr>
          <w:p>
            <w:pPr>
              <w:spacing w:after="20"/>
            </w:pPr>
            <w:r/>
            <w:r>
              <w:rPr>
                <w:b w:val="0"/>
                <w:sz w:val="17"/>
              </w:rPr>
              <w:t>Statement matrix in FS order with months as columns, budget, variance $ and variance %, adverse red / favourable green, waterfall bridge, auto commentary card</w:t>
            </w:r>
          </w:p>
        </w:tc>
        <w:tc>
          <w:tcPr>
            <w:tcW w:type="dxa" w:w="2494"/>
            <w:shd w:val="clear" w:color="auto" w:fill="F5F8FA"/>
          </w:tcPr>
          <w:p>
            <w:pPr>
              <w:spacing w:after="20"/>
            </w:pPr>
            <w:r/>
            <w:r>
              <w:rPr>
                <w:b w:val="0"/>
                <w:sz w:val="17"/>
              </w:rPr>
              <w:t>Variance analysis</w:t>
            </w:r>
          </w:p>
        </w:tc>
      </w:tr>
      <w:tr>
        <w:tc>
          <w:tcPr>
            <w:tcW w:type="dxa" w:w="1814"/>
          </w:tcPr>
          <w:p>
            <w:pPr>
              <w:spacing w:after="20"/>
            </w:pPr>
            <w:r/>
            <w:r>
              <w:rPr>
                <w:b w:val="0"/>
                <w:sz w:val="17"/>
              </w:rPr>
              <w:t>3. Balance sheet</w:t>
            </w:r>
          </w:p>
        </w:tc>
        <w:tc>
          <w:tcPr>
            <w:tcW w:type="dxa" w:w="5329"/>
          </w:tcPr>
          <w:p>
            <w:pPr>
              <w:spacing w:after="20"/>
            </w:pPr>
            <w:r/>
            <w:r>
              <w:rPr>
                <w:b w:val="0"/>
                <w:sz w:val="17"/>
              </w:rPr>
              <w:t>Opening / movement / closing columns, subtotals, the check card, working-capital trend</w:t>
            </w:r>
          </w:p>
        </w:tc>
        <w:tc>
          <w:tcPr>
            <w:tcW w:type="dxa" w:w="2494"/>
          </w:tcPr>
          <w:p>
            <w:pPr>
              <w:spacing w:after="20"/>
            </w:pPr>
            <w:r/>
            <w:r>
              <w:rPr>
                <w:b w:val="0"/>
                <w:sz w:val="17"/>
              </w:rPr>
              <w:t>Reconciliation</w:t>
            </w:r>
          </w:p>
        </w:tc>
      </w:tr>
      <w:tr>
        <w:tc>
          <w:tcPr>
            <w:tcW w:type="dxa" w:w="1814"/>
            <w:shd w:val="clear" w:color="auto" w:fill="F5F8FA"/>
          </w:tcPr>
          <w:p>
            <w:pPr>
              <w:spacing w:after="20"/>
            </w:pPr>
            <w:r/>
            <w:r>
              <w:rPr>
                <w:b w:val="0"/>
                <w:sz w:val="17"/>
              </w:rPr>
              <w:t>4. Cash flow</w:t>
            </w:r>
          </w:p>
        </w:tc>
        <w:tc>
          <w:tcPr>
            <w:tcW w:type="dxa" w:w="5329"/>
            <w:shd w:val="clear" w:color="auto" w:fill="F5F8FA"/>
          </w:tcPr>
          <w:p>
            <w:pPr>
              <w:spacing w:after="20"/>
            </w:pPr>
            <w:r/>
            <w:r>
              <w:rPr>
                <w:b w:val="0"/>
                <w:sz w:val="17"/>
              </w:rPr>
              <w:t>Sources-and-uses waterfall reconciling to the movement in cash, plus the indirect reconciliation from profit after tax</w:t>
            </w:r>
          </w:p>
        </w:tc>
        <w:tc>
          <w:tcPr>
            <w:tcW w:type="dxa" w:w="2494"/>
            <w:shd w:val="clear" w:color="auto" w:fill="F5F8FA"/>
          </w:tcPr>
          <w:p>
            <w:pPr>
              <w:spacing w:after="20"/>
            </w:pPr>
            <w:r/>
            <w:r>
              <w:rPr>
                <w:b w:val="0"/>
                <w:sz w:val="17"/>
              </w:rPr>
              <w:t>Reconciliation</w:t>
            </w:r>
          </w:p>
        </w:tc>
      </w:tr>
      <w:tr>
        <w:tc>
          <w:tcPr>
            <w:tcW w:type="dxa" w:w="1814"/>
          </w:tcPr>
          <w:p>
            <w:pPr>
              <w:spacing w:after="20"/>
            </w:pPr>
            <w:r/>
            <w:r>
              <w:rPr>
                <w:b w:val="0"/>
                <w:sz w:val="17"/>
              </w:rPr>
              <w:t>5. Close pack</w:t>
            </w:r>
          </w:p>
        </w:tc>
        <w:tc>
          <w:tcPr>
            <w:tcW w:type="dxa" w:w="5329"/>
          </w:tcPr>
          <w:p>
            <w:pPr>
              <w:spacing w:after="20"/>
            </w:pPr>
            <w:r/>
            <w:r>
              <w:rPr>
                <w:b w:val="0"/>
                <w:sz w:val="17"/>
              </w:rPr>
              <w:t>Twelve control cards with expected values and a Ties / Investigate status, plus the unreconciled bank items and three-way-match exception lists</w:t>
            </w:r>
          </w:p>
        </w:tc>
        <w:tc>
          <w:tcPr>
            <w:tcW w:type="dxa" w:w="2494"/>
          </w:tcPr>
          <w:p>
            <w:pPr>
              <w:spacing w:after="20"/>
            </w:pPr>
            <w:r/>
            <w:r>
              <w:rPr>
                <w:b w:val="0"/>
                <w:sz w:val="17"/>
              </w:rPr>
              <w:t>Proof that the pack ties</w:t>
            </w:r>
          </w:p>
        </w:tc>
      </w:tr>
      <w:tr>
        <w:tc>
          <w:tcPr>
            <w:tcW w:type="dxa" w:w="1814"/>
            <w:shd w:val="clear" w:color="auto" w:fill="F5F8FA"/>
          </w:tcPr>
          <w:p>
            <w:pPr>
              <w:spacing w:after="20"/>
            </w:pPr>
            <w:r/>
            <w:r>
              <w:rPr>
                <w:b w:val="0"/>
                <w:sz w:val="17"/>
              </w:rPr>
              <w:t>Hidden. Data quality</w:t>
            </w:r>
          </w:p>
        </w:tc>
        <w:tc>
          <w:tcPr>
            <w:tcW w:type="dxa" w:w="5329"/>
            <w:shd w:val="clear" w:color="auto" w:fill="F5F8FA"/>
          </w:tcPr>
          <w:p>
            <w:pPr>
              <w:spacing w:after="20"/>
            </w:pPr>
            <w:r/>
            <w:r>
              <w:rPr>
                <w:b w:val="0"/>
                <w:sz w:val="17"/>
              </w:rPr>
              <w:t>Orphan keys, unbalanced journals, missing documents, period coverage, sub-ledger exceptions</w:t>
            </w:r>
          </w:p>
        </w:tc>
        <w:tc>
          <w:tcPr>
            <w:tcW w:type="dxa" w:w="2494"/>
            <w:shd w:val="clear" w:color="auto" w:fill="F5F8FA"/>
          </w:tcPr>
          <w:p>
            <w:pPr>
              <w:spacing w:after="20"/>
            </w:pPr>
            <w:r/>
            <w:r>
              <w:rPr>
                <w:b w:val="0"/>
                <w:sz w:val="17"/>
              </w:rPr>
              <w:t>Disclosure, not concealment</w:t>
            </w:r>
          </w:p>
        </w:tc>
      </w:tr>
    </w:tbl>
    <w:p>
      <w:pPr>
        <w:spacing w:after="40"/>
      </w:pPr>
    </w:p>
    <w:p>
      <w:pPr>
        <w:pStyle w:val="Heading2"/>
      </w:pPr>
      <w:r>
        <w:t>6. User guide (one page)</w:t>
      </w:r>
    </w:p>
    <w:p>
      <w:pPr>
        <w:pStyle w:val="ListBullet"/>
        <w:spacing w:after="40"/>
      </w:pPr>
      <w:r>
        <w:rPr>
          <w:sz w:val="21"/>
        </w:rPr>
        <w:t>Period slicer at the top of every page controls the whole pack. It is synchronised; changing it on one page changes it everywhere.</w:t>
      </w:r>
    </w:p>
    <w:p>
      <w:pPr>
        <w:pStyle w:val="ListBullet"/>
        <w:spacing w:after="40"/>
      </w:pPr>
      <w:r>
        <w:rPr>
          <w:sz w:val="21"/>
        </w:rPr>
        <w:t>Right-click any statement line and choose Drillthrough &gt; Journal lines to see the ledger entries behind the number.</w:t>
      </w:r>
    </w:p>
    <w:p>
      <w:pPr>
        <w:pStyle w:val="ListBullet"/>
        <w:spacing w:after="40"/>
      </w:pPr>
      <w:r>
        <w:rPr>
          <w:sz w:val="21"/>
        </w:rPr>
        <w:t>Every ratio shows its formula in the tooltip. If a number and its definition disagree, the definition is right - tell us and we will fix the measure.</w:t>
      </w:r>
    </w:p>
    <w:p>
      <w:pPr>
        <w:pStyle w:val="ListBullet"/>
        <w:spacing w:after="40"/>
      </w:pPr>
      <w:r>
        <w:rPr>
          <w:sz w:val="21"/>
        </w:rPr>
        <w:t>Refresh: drop the new extract into the landing folder, set pAsAtDate, press Refresh, then check the close-pack page. Do not publish if any check reads Investigate.</w:t>
      </w:r>
    </w:p>
    <w:p>
      <w:pPr>
        <w:pStyle w:val="ListBullet"/>
        <w:spacing w:after="40"/>
      </w:pPr>
      <w:r>
        <w:rPr>
          <w:sz w:val="21"/>
        </w:rPr>
        <w:t>The pack is due five working days after month end. If the extract is late, the pack is late - the model is not the constraint.</w:t>
      </w:r>
    </w:p>
    <w:p>
      <w:pPr>
        <w:pStyle w:val="ListBullet"/>
        <w:spacing w:after="40"/>
      </w:pPr>
      <w:r>
        <w:rPr>
          <w:sz w:val="21"/>
        </w:rPr>
        <w:t>Who to call: the Financial Controller for data, Maxhub for the model.</w:t>
      </w: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management reporting commentary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