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Procurement, receivables and cash analytics - findings memo</w:t>
      </w:r>
    </w:p>
    <w:p>
      <w:pPr>
        <w:spacing w:after="120"/>
      </w:pPr>
      <w:r>
        <w:rPr>
          <w:b w:val="0"/>
          <w:i/>
          <w:color w:val="595959"/>
          <w:sz w:val="22"/>
        </w:rPr>
        <w:t>Capstone 3: seven analyses, each answering one client question</w:t>
      </w:r>
    </w:p>
    <w:p>
      <w:pPr>
        <w:spacing w:before="80"/>
      </w:pPr>
      <w:r>
        <w:rPr>
          <w:color w:val="595959"/>
          <w:sz w:val="17"/>
        </w:rPr>
        <w:t>Client: Mhondoro Manufacturing (Pvt) Ltd    |    Period: 1 January 2024 to 30 September 2025    |    Issued: 08 October 2025    |    Reference: MX-2025-AN01    |    Classification: Confidential</w:t>
      </w:r>
    </w:p>
    <w:p>
      <w:pPr>
        <w:spacing w:before="0" w:after="160"/>
        <w:pBdr>
          <w:bottom w:val="single" w:sz="8" w:color="008B8B"/>
        </w:pBdr>
      </w:pPr>
    </w:p>
    <w:p>
      <w:pPr>
        <w:pStyle w:val="Heading2"/>
      </w:pPr>
      <w:r>
        <w:t>1. Scope and reconciliation</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Population</w:t>
            </w:r>
          </w:p>
        </w:tc>
        <w:tc>
          <w:tcPr>
            <w:tcW w:type="dxa" w:w="6803"/>
          </w:tcPr>
          <w:p>
            <w:r/>
            <w:r>
              <w:rPr>
                <w:sz w:val="19"/>
              </w:rPr>
              <w:t>100% of the general ledger (13,929 lines) plus the sub-ledgers provided</w:t>
            </w:r>
          </w:p>
        </w:tc>
      </w:tr>
      <w:tr>
        <w:tc>
          <w:tcPr>
            <w:tcW w:type="dxa" w:w="2608"/>
            <w:shd w:val="clear" w:color="auto" w:fill="EAF1F6"/>
          </w:tcPr>
          <w:p>
            <w:r/>
            <w:r>
              <w:rPr>
                <w:b/>
                <w:sz w:val="19"/>
              </w:rPr>
              <w:t>Reconciliation</w:t>
            </w:r>
          </w:p>
        </w:tc>
        <w:tc>
          <w:tcPr>
            <w:tcW w:type="dxa" w:w="6803"/>
          </w:tcPr>
          <w:p>
            <w:r/>
            <w:r>
              <w:rPr>
                <w:sz w:val="19"/>
              </w:rPr>
              <w:t>Debits = credits = $122,878,886.54; GL-derived trial balance agrees to the client's on all 64 accounts used</w:t>
            </w:r>
          </w:p>
        </w:tc>
      </w:tr>
      <w:tr>
        <w:tc>
          <w:tcPr>
            <w:tcW w:type="dxa" w:w="2608"/>
            <w:shd w:val="clear" w:color="auto" w:fill="EAF1F6"/>
          </w:tcPr>
          <w:p>
            <w:r/>
            <w:r>
              <w:rPr>
                <w:b/>
                <w:sz w:val="19"/>
              </w:rPr>
              <w:t>Limitation</w:t>
            </w:r>
          </w:p>
        </w:tc>
        <w:tc>
          <w:tcPr>
            <w:tcW w:type="dxa" w:w="6803"/>
          </w:tcPr>
          <w:p>
            <w:r/>
            <w:r>
              <w:rPr>
                <w:sz w:val="19"/>
              </w:rPr>
              <w:t>The creditor extract is 520 invoices ($6,188,968.40); GL spend to vendors is $30,505,968.04. Procurement concentration is measured on the GL; three-way-match statistics are measured on the extract and labelled as such.</w:t>
            </w:r>
          </w:p>
        </w:tc>
      </w:tr>
    </w:tbl>
    <w:p>
      <w:pPr>
        <w:spacing w:after="40"/>
      </w:pPr>
    </w:p>
    <w:p>
      <w:pPr>
        <w:pStyle w:val="Heading2"/>
      </w:pPr>
      <w:r>
        <w:t>2. The seven analyses</w:t>
      </w:r>
    </w:p>
    <w:p>
      <w:pPr>
        <w:pStyle w:val="Heading3"/>
      </w:pPr>
      <w:r>
        <w:t>Analysis 1 - Spend concentration and vendor profile</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Where is our non-payroll money going, and who are we dependent on?</w:t>
            </w:r>
          </w:p>
        </w:tc>
      </w:tr>
      <w:tr>
        <w:tc>
          <w:tcPr>
            <w:tcW w:type="dxa" w:w="1928"/>
            <w:shd w:val="clear" w:color="auto" w:fill="EAF1F6"/>
          </w:tcPr>
          <w:p>
            <w:r/>
            <w:r>
              <w:rPr>
                <w:b/>
                <w:sz w:val="18"/>
              </w:rPr>
              <w:t>Finding</w:t>
            </w:r>
          </w:p>
        </w:tc>
        <w:tc>
          <w:tcPr>
            <w:tcW w:type="dxa" w:w="7710"/>
          </w:tcPr>
          <w:p>
            <w:r/>
            <w:r>
              <w:rPr>
                <w:sz w:val="18"/>
              </w:rPr>
              <w:t>Supplier spend is $30,505,968.04 across 26 vendors. The largest is 5.3% and the top five are 24.6%; it takes 19 vendors to reach 80% of spend. That is unusually flat: no vendor relationship is being managed strategically, and a flat profile makes a duplicate or related-party vendor easy to hide.</w:t>
            </w:r>
          </w:p>
        </w:tc>
      </w:tr>
      <w:tr>
        <w:tc>
          <w:tcPr>
            <w:tcW w:type="dxa" w:w="1928"/>
            <w:shd w:val="clear" w:color="auto" w:fill="EAF1F6"/>
          </w:tcPr>
          <w:p>
            <w:r/>
            <w:r>
              <w:rPr>
                <w:b/>
                <w:sz w:val="18"/>
              </w:rPr>
              <w:t>Recommendation</w:t>
            </w:r>
          </w:p>
        </w:tc>
        <w:tc>
          <w:tcPr>
            <w:tcW w:type="dxa" w:w="7710"/>
          </w:tcPr>
          <w:p>
            <w:r/>
            <w:r>
              <w:rPr>
                <w:sz w:val="18"/>
              </w:rPr>
              <w:t>Introduce a vendor tiering policy; assign an owner to the top ten; require annual re-validation of vendor master data.</w:t>
            </w:r>
          </w:p>
        </w:tc>
      </w:tr>
    </w:tbl>
    <w:p>
      <w:pPr>
        <w:spacing w:after="40"/>
      </w:pPr>
    </w:p>
    <w:p>
      <w:pPr>
        <w:pStyle w:val="Heading3"/>
      </w:pPr>
      <w:r>
        <w:t>Analysis 2 - Procurement control testing</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Are we paying for things we did not order or receive?</w:t>
            </w:r>
          </w:p>
        </w:tc>
      </w:tr>
      <w:tr>
        <w:tc>
          <w:tcPr>
            <w:tcW w:type="dxa" w:w="1928"/>
            <w:shd w:val="clear" w:color="auto" w:fill="EAF1F6"/>
          </w:tcPr>
          <w:p>
            <w:r/>
            <w:r>
              <w:rPr>
                <w:b/>
                <w:sz w:val="18"/>
              </w:rPr>
              <w:t>Finding</w:t>
            </w:r>
          </w:p>
        </w:tc>
        <w:tc>
          <w:tcPr>
            <w:tcW w:type="dxa" w:w="7710"/>
          </w:tcPr>
          <w:p>
            <w:r/>
            <w:r>
              <w:rPr>
                <w:sz w:val="18"/>
              </w:rPr>
              <w:t>168 of 520 invoices (32%, $2,024,957.52) fail the three-way match. 109 invoices have no purchase order at all and 59 have a PO but no goods-received note. 18 are flagged as suspected duplicates.</w:t>
            </w:r>
          </w:p>
        </w:tc>
      </w:tr>
      <w:tr>
        <w:tc>
          <w:tcPr>
            <w:tcW w:type="dxa" w:w="1928"/>
            <w:shd w:val="clear" w:color="auto" w:fill="EAF1F6"/>
          </w:tcPr>
          <w:p>
            <w:r/>
            <w:r>
              <w:rPr>
                <w:b/>
                <w:sz w:val="18"/>
              </w:rPr>
              <w:t>Recommendation</w:t>
            </w:r>
          </w:p>
        </w:tc>
        <w:tc>
          <w:tcPr>
            <w:tcW w:type="dxa" w:w="7710"/>
          </w:tcPr>
          <w:p>
            <w:r/>
            <w:r>
              <w:rPr>
                <w:sz w:val="18"/>
              </w:rPr>
              <w:t>Mandate a PO for every purchase; block payment where a GRN is missing; run the exception list monthly with the Procurement Manager.</w:t>
            </w:r>
          </w:p>
        </w:tc>
      </w:tr>
    </w:tbl>
    <w:p>
      <w:pPr>
        <w:spacing w:after="40"/>
      </w:pPr>
    </w:p>
    <w:p>
      <w:pPr>
        <w:pStyle w:val="Heading3"/>
      </w:pPr>
      <w:r>
        <w:t>Analysis 3 - Vendor master quality</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Has anyone created a supplier we do not actually have?</w:t>
            </w:r>
          </w:p>
        </w:tc>
      </w:tr>
      <w:tr>
        <w:tc>
          <w:tcPr>
            <w:tcW w:type="dxa" w:w="1928"/>
            <w:shd w:val="clear" w:color="auto" w:fill="EAF1F6"/>
          </w:tcPr>
          <w:p>
            <w:r/>
            <w:r>
              <w:rPr>
                <w:b/>
                <w:sz w:val="18"/>
              </w:rPr>
              <w:t>Finding</w:t>
            </w:r>
          </w:p>
        </w:tc>
        <w:tc>
          <w:tcPr>
            <w:tcW w:type="dxa" w:w="7710"/>
          </w:tcPr>
          <w:p>
            <w:r/>
            <w:r>
              <w:rPr>
                <w:sz w:val="18"/>
              </w:rPr>
              <w:t>Four vendors are flagged employee-linked in the master, created July-August 2024, with no tax clearance and seven-day terms; $2,773,799.20 has been paid to them. Name-similarity testing of the 26-vendor master returns no near-duplicates at an 80% threshold, so the exposure is related-party, not duplicate-master.</w:t>
            </w:r>
          </w:p>
        </w:tc>
      </w:tr>
      <w:tr>
        <w:tc>
          <w:tcPr>
            <w:tcW w:type="dxa" w:w="1928"/>
            <w:shd w:val="clear" w:color="auto" w:fill="EAF1F6"/>
          </w:tcPr>
          <w:p>
            <w:r/>
            <w:r>
              <w:rPr>
                <w:b/>
                <w:sz w:val="18"/>
              </w:rPr>
              <w:t>Recommendation</w:t>
            </w:r>
          </w:p>
        </w:tc>
        <w:tc>
          <w:tcPr>
            <w:tcW w:type="dxa" w:w="7710"/>
          </w:tcPr>
          <w:p>
            <w:r/>
            <w:r>
              <w:rPr>
                <w:sz w:val="18"/>
              </w:rPr>
              <w:t>Verify ownership of the four vendors against the employee master; require independent approval for any vendor created within 180 days of its first payment.</w:t>
            </w:r>
          </w:p>
        </w:tc>
      </w:tr>
    </w:tbl>
    <w:p>
      <w:pPr>
        <w:spacing w:after="40"/>
      </w:pPr>
    </w:p>
    <w:p>
      <w:pPr>
        <w:pStyle w:val="Heading3"/>
      </w:pPr>
      <w:r>
        <w:t>Analysis 4 - DSO and the ageing bridge</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Is the debt real and is it being collected?</w:t>
            </w:r>
          </w:p>
        </w:tc>
      </w:tr>
      <w:tr>
        <w:tc>
          <w:tcPr>
            <w:tcW w:type="dxa" w:w="1928"/>
            <w:shd w:val="clear" w:color="auto" w:fill="EAF1F6"/>
          </w:tcPr>
          <w:p>
            <w:r/>
            <w:r>
              <w:rPr>
                <w:b/>
                <w:sz w:val="18"/>
              </w:rPr>
              <w:t>Finding</w:t>
            </w:r>
          </w:p>
        </w:tc>
        <w:tc>
          <w:tcPr>
            <w:tcW w:type="dxa" w:w="7710"/>
          </w:tcPr>
          <w:p>
            <w:r/>
            <w:r>
              <w:rPr>
                <w:sz w:val="18"/>
              </w:rPr>
              <w:t>Closing receivables $3,790,173.74 against nine-month revenue $10,543,059.22: DSO 98 days. 11 accounts are disputed. The ageing bridge ties to the control account.</w:t>
            </w:r>
          </w:p>
        </w:tc>
      </w:tr>
      <w:tr>
        <w:tc>
          <w:tcPr>
            <w:tcW w:type="dxa" w:w="1928"/>
            <w:shd w:val="clear" w:color="auto" w:fill="EAF1F6"/>
          </w:tcPr>
          <w:p>
            <w:r/>
            <w:r>
              <w:rPr>
                <w:b/>
                <w:sz w:val="18"/>
              </w:rPr>
              <w:t>Recommendation</w:t>
            </w:r>
          </w:p>
        </w:tc>
        <w:tc>
          <w:tcPr>
            <w:tcW w:type="dxa" w:w="7710"/>
          </w:tcPr>
          <w:p>
            <w:r/>
            <w:r>
              <w:rPr>
                <w:sz w:val="18"/>
              </w:rPr>
              <w:t>Work the collections priority list weekly; resolve disputes before chasing them; review credit limits quarterly.</w:t>
            </w:r>
          </w:p>
        </w:tc>
      </w:tr>
    </w:tbl>
    <w:p>
      <w:pPr>
        <w:spacing w:after="40"/>
      </w:pPr>
    </w:p>
    <w:p>
      <w:pPr>
        <w:pStyle w:val="Heading3"/>
      </w:pPr>
      <w:r>
        <w:t>Analysis 5 - Collections priority</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Who do I call on Monday morning?</w:t>
            </w:r>
          </w:p>
        </w:tc>
      </w:tr>
      <w:tr>
        <w:tc>
          <w:tcPr>
            <w:tcW w:type="dxa" w:w="1928"/>
            <w:shd w:val="clear" w:color="auto" w:fill="EAF1F6"/>
          </w:tcPr>
          <w:p>
            <w:r/>
            <w:r>
              <w:rPr>
                <w:b/>
                <w:sz w:val="18"/>
              </w:rPr>
              <w:t>Finding</w:t>
            </w:r>
          </w:p>
        </w:tc>
        <w:tc>
          <w:tcPr>
            <w:tcW w:type="dxa" w:w="7710"/>
          </w:tcPr>
          <w:p>
            <w:r/>
            <w:r>
              <w:rPr>
                <w:sz w:val="18"/>
              </w:rPr>
              <w:t>391 open invoices ranked by a documented score (outstanding x (1 + days overdue / 90) x dispute multiplier). The top 25 are $1,741,511.65. The list is deliberately not ranked by size: a disputed large balance is worth less this month than an undisputed small one that is 180 days old.</w:t>
            </w:r>
          </w:p>
        </w:tc>
      </w:tr>
      <w:tr>
        <w:tc>
          <w:tcPr>
            <w:tcW w:type="dxa" w:w="1928"/>
            <w:shd w:val="clear" w:color="auto" w:fill="EAF1F6"/>
          </w:tcPr>
          <w:p>
            <w:r/>
            <w:r>
              <w:rPr>
                <w:b/>
                <w:sz w:val="18"/>
              </w:rPr>
              <w:t>Recommendation</w:t>
            </w:r>
          </w:p>
        </w:tc>
        <w:tc>
          <w:tcPr>
            <w:tcW w:type="dxa" w:w="7710"/>
          </w:tcPr>
          <w:p>
            <w:r/>
            <w:r>
              <w:rPr>
                <w:sz w:val="18"/>
              </w:rPr>
              <w:t>Assign the top 25 to named collectors with a contact date; report the movement weekly.</w:t>
            </w:r>
          </w:p>
        </w:tc>
      </w:tr>
    </w:tbl>
    <w:p>
      <w:pPr>
        <w:spacing w:after="40"/>
      </w:pPr>
    </w:p>
    <w:p>
      <w:pPr>
        <w:pStyle w:val="Heading3"/>
      </w:pPr>
      <w:r>
        <w:t>Analysis 6 - Bank reconciliation exceptions</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Is our cash real, and are we missing payments or receipts?</w:t>
            </w:r>
          </w:p>
        </w:tc>
      </w:tr>
      <w:tr>
        <w:tc>
          <w:tcPr>
            <w:tcW w:type="dxa" w:w="1928"/>
            <w:shd w:val="clear" w:color="auto" w:fill="EAF1F6"/>
          </w:tcPr>
          <w:p>
            <w:r/>
            <w:r>
              <w:rPr>
                <w:b/>
                <w:sz w:val="18"/>
              </w:rPr>
              <w:t>Finding</w:t>
            </w:r>
          </w:p>
        </w:tc>
        <w:tc>
          <w:tcPr>
            <w:tcW w:type="dxa" w:w="7710"/>
          </w:tcPr>
          <w:p>
            <w:r/>
            <w:r>
              <w:rPr>
                <w:sz w:val="18"/>
              </w:rPr>
              <w:t>129 of 1400 bank items ($1,884,271.16) are unreconciled; 27 are over 90 days old and the oldest is 210 days. The suspense account holds $51,058.87.</w:t>
            </w:r>
          </w:p>
        </w:tc>
      </w:tr>
      <w:tr>
        <w:tc>
          <w:tcPr>
            <w:tcW w:type="dxa" w:w="1928"/>
            <w:shd w:val="clear" w:color="auto" w:fill="EAF1F6"/>
          </w:tcPr>
          <w:p>
            <w:r/>
            <w:r>
              <w:rPr>
                <w:b/>
                <w:sz w:val="18"/>
              </w:rPr>
              <w:t>Recommendation</w:t>
            </w:r>
          </w:p>
        </w:tc>
        <w:tc>
          <w:tcPr>
            <w:tcW w:type="dxa" w:w="7710"/>
          </w:tcPr>
          <w:p>
            <w:r/>
            <w:r>
              <w:rPr>
                <w:sz w:val="18"/>
              </w:rPr>
              <w:t>Clear items over 90 days within two weeks; reconcile monthly; allocate every suspense item in writing before month end.</w:t>
            </w:r>
          </w:p>
        </w:tc>
      </w:tr>
    </w:tbl>
    <w:p>
      <w:pPr>
        <w:spacing w:after="40"/>
      </w:pPr>
    </w:p>
    <w:p>
      <w:pPr>
        <w:pStyle w:val="Heading3"/>
      </w:pPr>
      <w:r>
        <w:t>Analysis 7 - Working capital and cash conversion</w:t>
      </w:r>
    </w:p>
    <w:tbl>
      <w:tblPr>
        <w:tblStyle w:val="TableGrid"/>
        <w:tblW w:type="auto" w:w="0"/>
        <w:tblLook w:firstColumn="1" w:firstRow="1" w:lastColumn="0" w:lastRow="0" w:noHBand="0" w:noVBand="1" w:val="04A0"/>
      </w:tblPr>
      <w:tblGrid>
        <w:gridCol w:w="4986"/>
        <w:gridCol w:w="4986"/>
      </w:tblGrid>
      <w:tr>
        <w:tc>
          <w:tcPr>
            <w:tcW w:type="dxa" w:w="1928"/>
            <w:shd w:val="clear" w:color="auto" w:fill="EAF1F6"/>
          </w:tcPr>
          <w:p>
            <w:r/>
            <w:r>
              <w:rPr>
                <w:b/>
                <w:sz w:val="18"/>
              </w:rPr>
              <w:t>Client question</w:t>
            </w:r>
          </w:p>
        </w:tc>
        <w:tc>
          <w:tcPr>
            <w:tcW w:type="dxa" w:w="7710"/>
          </w:tcPr>
          <w:p>
            <w:r/>
            <w:r>
              <w:rPr>
                <w:sz w:val="18"/>
              </w:rPr>
              <w:t>How much cash is trapped, and what does fixing it release?</w:t>
            </w:r>
          </w:p>
        </w:tc>
      </w:tr>
      <w:tr>
        <w:tc>
          <w:tcPr>
            <w:tcW w:type="dxa" w:w="1928"/>
            <w:shd w:val="clear" w:color="auto" w:fill="EAF1F6"/>
          </w:tcPr>
          <w:p>
            <w:r/>
            <w:r>
              <w:rPr>
                <w:b/>
                <w:sz w:val="18"/>
              </w:rPr>
              <w:t>Finding</w:t>
            </w:r>
          </w:p>
        </w:tc>
        <w:tc>
          <w:tcPr>
            <w:tcW w:type="dxa" w:w="7710"/>
          </w:tcPr>
          <w:p>
            <w:r/>
            <w:r>
              <w:rPr>
                <w:sz w:val="18"/>
              </w:rPr>
              <w:t>DSO 98, DIO 46, DPO 124 gives a cycle of 20 days. It looks efficient, but only because suppliers are stretched to 124 days to fund customers who pay in 98. Improving collections to 60 days releases $1,473,017.87; normalising DPO to 90 days would consume $653,865.49.</w:t>
            </w:r>
          </w:p>
        </w:tc>
      </w:tr>
      <w:tr>
        <w:tc>
          <w:tcPr>
            <w:tcW w:type="dxa" w:w="1928"/>
            <w:shd w:val="clear" w:color="auto" w:fill="EAF1F6"/>
          </w:tcPr>
          <w:p>
            <w:r/>
            <w:r>
              <w:rPr>
                <w:b/>
                <w:sz w:val="18"/>
              </w:rPr>
              <w:t>Recommendation</w:t>
            </w:r>
          </w:p>
        </w:tc>
        <w:tc>
          <w:tcPr>
            <w:tcW w:type="dxa" w:w="7710"/>
          </w:tcPr>
          <w:p>
            <w:r/>
            <w:r>
              <w:rPr>
                <w:sz w:val="18"/>
              </w:rPr>
              <w:t>Fix collections first, then normalise supplier terms; report the cycle monthly with both scenarios.</w:t>
            </w:r>
          </w:p>
        </w:tc>
      </w:tr>
    </w:tbl>
    <w:p>
      <w:pPr>
        <w:spacing w:after="40"/>
      </w:pPr>
    </w:p>
    <w:p>
      <w:pPr>
        <w:pStyle w:val="Heading2"/>
      </w:pPr>
      <w:r>
        <w:t>3. Priced scope of work</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742"/>
            <w:shd w:val="clear" w:color="auto" w:fill="0B2E4F"/>
          </w:tcPr>
          <w:p>
            <w:r/>
            <w:r>
              <w:rPr>
                <w:b/>
                <w:color w:val="FFFFFF"/>
                <w:sz w:val="17"/>
              </w:rPr>
              <w:t>Phase</w:t>
            </w:r>
          </w:p>
        </w:tc>
        <w:tc>
          <w:tcPr>
            <w:tcW w:type="dxa" w:w="907"/>
            <w:shd w:val="clear" w:color="auto" w:fill="0B2E4F"/>
          </w:tcPr>
          <w:p>
            <w:r/>
            <w:r>
              <w:rPr>
                <w:b/>
                <w:color w:val="FFFFFF"/>
                <w:sz w:val="17"/>
              </w:rPr>
              <w:t>Hours</w:t>
            </w:r>
          </w:p>
        </w:tc>
        <w:tc>
          <w:tcPr>
            <w:tcW w:type="dxa" w:w="1701"/>
            <w:shd w:val="clear" w:color="auto" w:fill="0B2E4F"/>
          </w:tcPr>
          <w:p>
            <w:r/>
            <w:r>
              <w:rPr>
                <w:b/>
                <w:color w:val="FFFFFF"/>
                <w:sz w:val="17"/>
              </w:rPr>
              <w:t>Role</w:t>
            </w:r>
          </w:p>
        </w:tc>
        <w:tc>
          <w:tcPr>
            <w:tcW w:type="dxa" w:w="1361"/>
            <w:shd w:val="clear" w:color="auto" w:fill="0B2E4F"/>
          </w:tcPr>
          <w:p>
            <w:r/>
            <w:r>
              <w:rPr>
                <w:b/>
                <w:color w:val="FFFFFF"/>
                <w:sz w:val="17"/>
              </w:rPr>
              <w:t>Rate</w:t>
            </w:r>
          </w:p>
        </w:tc>
        <w:tc>
          <w:tcPr>
            <w:tcW w:type="dxa" w:w="1928"/>
            <w:shd w:val="clear" w:color="auto" w:fill="0B2E4F"/>
          </w:tcPr>
          <w:p>
            <w:r/>
            <w:r>
              <w:rPr>
                <w:b/>
                <w:color w:val="FFFFFF"/>
                <w:sz w:val="17"/>
              </w:rPr>
              <w:t>Fee</w:t>
            </w:r>
          </w:p>
        </w:tc>
      </w:tr>
      <w:tr>
        <w:tc>
          <w:tcPr>
            <w:tcW w:type="dxa" w:w="3742"/>
          </w:tcPr>
          <w:p>
            <w:pPr>
              <w:spacing w:after="20"/>
            </w:pPr>
            <w:r/>
            <w:r>
              <w:rPr>
                <w:b w:val="0"/>
                <w:sz w:val="18"/>
              </w:rPr>
              <w:t>Data preparation and integrity</w:t>
            </w:r>
          </w:p>
        </w:tc>
        <w:tc>
          <w:tcPr>
            <w:tcW w:type="dxa" w:w="907"/>
          </w:tcPr>
          <w:p>
            <w:pPr>
              <w:spacing w:after="20"/>
              <w:jc w:val="right"/>
            </w:pPr>
            <w:r/>
            <w:r>
              <w:rPr>
                <w:b w:val="0"/>
                <w:sz w:val="18"/>
              </w:rPr>
              <w:t>6</w:t>
            </w:r>
          </w:p>
        </w:tc>
        <w:tc>
          <w:tcPr>
            <w:tcW w:type="dxa" w:w="1701"/>
          </w:tcPr>
          <w:p>
            <w:pPr>
              <w:spacing w:after="20"/>
            </w:pPr>
            <w:r/>
            <w:r>
              <w:rPr>
                <w:b w:val="0"/>
                <w:sz w:val="18"/>
              </w:rPr>
              <w:t>Analyst</w:t>
            </w:r>
          </w:p>
        </w:tc>
        <w:tc>
          <w:tcPr>
            <w:tcW w:type="dxa" w:w="1361"/>
          </w:tcPr>
          <w:p>
            <w:pPr>
              <w:spacing w:after="20"/>
              <w:jc w:val="right"/>
            </w:pPr>
            <w:r/>
            <w:r>
              <w:rPr>
                <w:b w:val="0"/>
                <w:sz w:val="18"/>
              </w:rPr>
              <w:t>$120.00</w:t>
            </w:r>
          </w:p>
        </w:tc>
        <w:tc>
          <w:tcPr>
            <w:tcW w:type="dxa" w:w="1928"/>
          </w:tcPr>
          <w:p>
            <w:pPr>
              <w:spacing w:after="20"/>
              <w:jc w:val="right"/>
            </w:pPr>
            <w:r/>
            <w:r>
              <w:rPr>
                <w:b w:val="0"/>
                <w:sz w:val="18"/>
              </w:rPr>
              <w:t>$720.00</w:t>
            </w:r>
          </w:p>
        </w:tc>
      </w:tr>
      <w:tr>
        <w:tc>
          <w:tcPr>
            <w:tcW w:type="dxa" w:w="3742"/>
            <w:shd w:val="clear" w:color="auto" w:fill="F5F8FA"/>
          </w:tcPr>
          <w:p>
            <w:pPr>
              <w:spacing w:after="20"/>
            </w:pPr>
            <w:r/>
            <w:r>
              <w:rPr>
                <w:b w:val="0"/>
                <w:sz w:val="18"/>
              </w:rPr>
              <w:t>Procurement analytics</w:t>
            </w:r>
          </w:p>
        </w:tc>
        <w:tc>
          <w:tcPr>
            <w:tcW w:type="dxa" w:w="907"/>
            <w:shd w:val="clear" w:color="auto" w:fill="F5F8FA"/>
          </w:tcPr>
          <w:p>
            <w:pPr>
              <w:spacing w:after="20"/>
              <w:jc w:val="right"/>
            </w:pPr>
            <w:r/>
            <w:r>
              <w:rPr>
                <w:b w:val="0"/>
                <w:sz w:val="18"/>
              </w:rPr>
              <w:t>8</w:t>
            </w:r>
          </w:p>
        </w:tc>
        <w:tc>
          <w:tcPr>
            <w:tcW w:type="dxa" w:w="1701"/>
            <w:shd w:val="clear" w:color="auto" w:fill="F5F8FA"/>
          </w:tcPr>
          <w:p>
            <w:pPr>
              <w:spacing w:after="20"/>
            </w:pPr>
            <w:r/>
            <w:r>
              <w:rPr>
                <w:b w:val="0"/>
                <w:sz w:val="18"/>
              </w:rPr>
              <w:t>Senior Analyst</w:t>
            </w:r>
          </w:p>
        </w:tc>
        <w:tc>
          <w:tcPr>
            <w:tcW w:type="dxa" w:w="1361"/>
            <w:shd w:val="clear" w:color="auto" w:fill="F5F8FA"/>
          </w:tcPr>
          <w:p>
            <w:pPr>
              <w:spacing w:after="20"/>
              <w:jc w:val="right"/>
            </w:pPr>
            <w:r/>
            <w:r>
              <w:rPr>
                <w:b w:val="0"/>
                <w:sz w:val="18"/>
              </w:rPr>
              <w:t>$150.00</w:t>
            </w:r>
          </w:p>
        </w:tc>
        <w:tc>
          <w:tcPr>
            <w:tcW w:type="dxa" w:w="1928"/>
            <w:shd w:val="clear" w:color="auto" w:fill="F5F8FA"/>
          </w:tcPr>
          <w:p>
            <w:pPr>
              <w:spacing w:after="20"/>
              <w:jc w:val="right"/>
            </w:pPr>
            <w:r/>
            <w:r>
              <w:rPr>
                <w:b w:val="0"/>
                <w:sz w:val="18"/>
              </w:rPr>
              <w:t>$1,200.00</w:t>
            </w:r>
          </w:p>
        </w:tc>
      </w:tr>
      <w:tr>
        <w:tc>
          <w:tcPr>
            <w:tcW w:type="dxa" w:w="3742"/>
          </w:tcPr>
          <w:p>
            <w:pPr>
              <w:spacing w:after="20"/>
            </w:pPr>
            <w:r/>
            <w:r>
              <w:rPr>
                <w:b w:val="0"/>
                <w:sz w:val="18"/>
              </w:rPr>
              <w:t>Receivables and collections</w:t>
            </w:r>
          </w:p>
        </w:tc>
        <w:tc>
          <w:tcPr>
            <w:tcW w:type="dxa" w:w="907"/>
          </w:tcPr>
          <w:p>
            <w:pPr>
              <w:spacing w:after="20"/>
              <w:jc w:val="right"/>
            </w:pPr>
            <w:r/>
            <w:r>
              <w:rPr>
                <w:b w:val="0"/>
                <w:sz w:val="18"/>
              </w:rPr>
              <w:t>8</w:t>
            </w:r>
          </w:p>
        </w:tc>
        <w:tc>
          <w:tcPr>
            <w:tcW w:type="dxa" w:w="1701"/>
          </w:tcPr>
          <w:p>
            <w:pPr>
              <w:spacing w:after="20"/>
            </w:pPr>
            <w:r/>
            <w:r>
              <w:rPr>
                <w:b w:val="0"/>
                <w:sz w:val="18"/>
              </w:rPr>
              <w:t>Senior</w:t>
            </w:r>
          </w:p>
        </w:tc>
        <w:tc>
          <w:tcPr>
            <w:tcW w:type="dxa" w:w="1361"/>
          </w:tcPr>
          <w:p>
            <w:pPr>
              <w:spacing w:after="20"/>
              <w:jc w:val="right"/>
            </w:pPr>
            <w:r/>
            <w:r>
              <w:rPr>
                <w:b w:val="0"/>
                <w:sz w:val="18"/>
              </w:rPr>
              <w:t>$200.00</w:t>
            </w:r>
          </w:p>
        </w:tc>
        <w:tc>
          <w:tcPr>
            <w:tcW w:type="dxa" w:w="1928"/>
          </w:tcPr>
          <w:p>
            <w:pPr>
              <w:spacing w:after="20"/>
              <w:jc w:val="right"/>
            </w:pPr>
            <w:r/>
            <w:r>
              <w:rPr>
                <w:b w:val="0"/>
                <w:sz w:val="18"/>
              </w:rPr>
              <w:t>$1,600.00</w:t>
            </w:r>
          </w:p>
        </w:tc>
      </w:tr>
      <w:tr>
        <w:tc>
          <w:tcPr>
            <w:tcW w:type="dxa" w:w="3742"/>
            <w:shd w:val="clear" w:color="auto" w:fill="F5F8FA"/>
          </w:tcPr>
          <w:p>
            <w:pPr>
              <w:spacing w:after="20"/>
            </w:pPr>
            <w:r/>
            <w:r>
              <w:rPr>
                <w:b w:val="0"/>
                <w:sz w:val="18"/>
              </w:rPr>
              <w:t>Cash and working capital</w:t>
            </w:r>
          </w:p>
        </w:tc>
        <w:tc>
          <w:tcPr>
            <w:tcW w:type="dxa" w:w="907"/>
            <w:shd w:val="clear" w:color="auto" w:fill="F5F8FA"/>
          </w:tcPr>
          <w:p>
            <w:pPr>
              <w:spacing w:after="20"/>
              <w:jc w:val="right"/>
            </w:pPr>
            <w:r/>
            <w:r>
              <w:rPr>
                <w:b w:val="0"/>
                <w:sz w:val="18"/>
              </w:rPr>
              <w:t>6</w:t>
            </w:r>
          </w:p>
        </w:tc>
        <w:tc>
          <w:tcPr>
            <w:tcW w:type="dxa" w:w="1701"/>
            <w:shd w:val="clear" w:color="auto" w:fill="F5F8FA"/>
          </w:tcPr>
          <w:p>
            <w:pPr>
              <w:spacing w:after="20"/>
            </w:pPr>
            <w:r/>
            <w:r>
              <w:rPr>
                <w:b w:val="0"/>
                <w:sz w:val="18"/>
              </w:rPr>
              <w:t>Senior</w:t>
            </w:r>
          </w:p>
        </w:tc>
        <w:tc>
          <w:tcPr>
            <w:tcW w:type="dxa" w:w="1361"/>
            <w:shd w:val="clear" w:color="auto" w:fill="F5F8FA"/>
          </w:tcPr>
          <w:p>
            <w:pPr>
              <w:spacing w:after="20"/>
              <w:jc w:val="right"/>
            </w:pPr>
            <w:r/>
            <w:r>
              <w:rPr>
                <w:b w:val="0"/>
                <w:sz w:val="18"/>
              </w:rPr>
              <w:t>$200.00</w:t>
            </w:r>
          </w:p>
        </w:tc>
        <w:tc>
          <w:tcPr>
            <w:tcW w:type="dxa" w:w="1928"/>
            <w:shd w:val="clear" w:color="auto" w:fill="F5F8FA"/>
          </w:tcPr>
          <w:p>
            <w:pPr>
              <w:spacing w:after="20"/>
              <w:jc w:val="right"/>
            </w:pPr>
            <w:r/>
            <w:r>
              <w:rPr>
                <w:b w:val="0"/>
                <w:sz w:val="18"/>
              </w:rPr>
              <w:t>$1,200.00</w:t>
            </w:r>
          </w:p>
        </w:tc>
      </w:tr>
      <w:tr>
        <w:tc>
          <w:tcPr>
            <w:tcW w:type="dxa" w:w="3742"/>
          </w:tcPr>
          <w:p>
            <w:pPr>
              <w:spacing w:after="20"/>
            </w:pPr>
            <w:r/>
            <w:r>
              <w:rPr>
                <w:b w:val="0"/>
                <w:sz w:val="18"/>
              </w:rPr>
              <w:t>Model build and reconciliation</w:t>
            </w:r>
          </w:p>
        </w:tc>
        <w:tc>
          <w:tcPr>
            <w:tcW w:type="dxa" w:w="907"/>
          </w:tcPr>
          <w:p>
            <w:pPr>
              <w:spacing w:after="20"/>
              <w:jc w:val="right"/>
            </w:pPr>
            <w:r/>
            <w:r>
              <w:rPr>
                <w:b w:val="0"/>
                <w:sz w:val="18"/>
              </w:rPr>
              <w:t>10</w:t>
            </w:r>
          </w:p>
        </w:tc>
        <w:tc>
          <w:tcPr>
            <w:tcW w:type="dxa" w:w="1701"/>
          </w:tcPr>
          <w:p>
            <w:pPr>
              <w:spacing w:after="20"/>
            </w:pPr>
            <w:r/>
            <w:r>
              <w:rPr>
                <w:b w:val="0"/>
                <w:sz w:val="18"/>
              </w:rPr>
              <w:t>Senior</w:t>
            </w:r>
          </w:p>
        </w:tc>
        <w:tc>
          <w:tcPr>
            <w:tcW w:type="dxa" w:w="1361"/>
          </w:tcPr>
          <w:p>
            <w:pPr>
              <w:spacing w:after="20"/>
              <w:jc w:val="right"/>
            </w:pPr>
            <w:r/>
            <w:r>
              <w:rPr>
                <w:b w:val="0"/>
                <w:sz w:val="18"/>
              </w:rPr>
              <w:t>$200.00</w:t>
            </w:r>
          </w:p>
        </w:tc>
        <w:tc>
          <w:tcPr>
            <w:tcW w:type="dxa" w:w="1928"/>
          </w:tcPr>
          <w:p>
            <w:pPr>
              <w:spacing w:after="20"/>
              <w:jc w:val="right"/>
            </w:pPr>
            <w:r/>
            <w:r>
              <w:rPr>
                <w:b w:val="0"/>
                <w:sz w:val="18"/>
              </w:rPr>
              <w:t>$2,000.00</w:t>
            </w:r>
          </w:p>
        </w:tc>
      </w:tr>
      <w:tr>
        <w:tc>
          <w:tcPr>
            <w:tcW w:type="dxa" w:w="3742"/>
            <w:shd w:val="clear" w:color="auto" w:fill="F5F8FA"/>
          </w:tcPr>
          <w:p>
            <w:pPr>
              <w:spacing w:after="20"/>
            </w:pPr>
            <w:r/>
            <w:r>
              <w:rPr>
                <w:b w:val="0"/>
                <w:sz w:val="18"/>
              </w:rPr>
              <w:t>Committee pack and presentation</w:t>
            </w:r>
          </w:p>
        </w:tc>
        <w:tc>
          <w:tcPr>
            <w:tcW w:type="dxa" w:w="907"/>
            <w:shd w:val="clear" w:color="auto" w:fill="F5F8FA"/>
          </w:tcPr>
          <w:p>
            <w:pPr>
              <w:spacing w:after="20"/>
              <w:jc w:val="right"/>
            </w:pPr>
            <w:r/>
            <w:r>
              <w:rPr>
                <w:b w:val="0"/>
                <w:sz w:val="18"/>
              </w:rPr>
              <w:t>6</w:t>
            </w:r>
          </w:p>
        </w:tc>
        <w:tc>
          <w:tcPr>
            <w:tcW w:type="dxa" w:w="1701"/>
            <w:shd w:val="clear" w:color="auto" w:fill="F5F8FA"/>
          </w:tcPr>
          <w:p>
            <w:pPr>
              <w:spacing w:after="20"/>
            </w:pPr>
            <w:r/>
            <w:r>
              <w:rPr>
                <w:b w:val="0"/>
                <w:sz w:val="18"/>
              </w:rPr>
              <w:t>Manager</w:t>
            </w:r>
          </w:p>
        </w:tc>
        <w:tc>
          <w:tcPr>
            <w:tcW w:type="dxa" w:w="1361"/>
            <w:shd w:val="clear" w:color="auto" w:fill="F5F8FA"/>
          </w:tcPr>
          <w:p>
            <w:pPr>
              <w:spacing w:after="20"/>
              <w:jc w:val="right"/>
            </w:pPr>
            <w:r/>
            <w:r>
              <w:rPr>
                <w:b w:val="0"/>
                <w:sz w:val="18"/>
              </w:rPr>
              <w:t>$280.00</w:t>
            </w:r>
          </w:p>
        </w:tc>
        <w:tc>
          <w:tcPr>
            <w:tcW w:type="dxa" w:w="1928"/>
            <w:shd w:val="clear" w:color="auto" w:fill="F5F8FA"/>
          </w:tcPr>
          <w:p>
            <w:pPr>
              <w:spacing w:after="20"/>
              <w:jc w:val="right"/>
            </w:pPr>
            <w:r/>
            <w:r>
              <w:rPr>
                <w:b w:val="0"/>
                <w:sz w:val="18"/>
              </w:rPr>
              <w:t>$1,680.00</w:t>
            </w:r>
          </w:p>
        </w:tc>
      </w:tr>
      <w:tr>
        <w:tc>
          <w:tcPr>
            <w:tcW w:type="dxa" w:w="3742"/>
          </w:tcPr>
          <w:p>
            <w:pPr>
              <w:spacing w:after="20"/>
            </w:pPr>
            <w:r/>
            <w:r>
              <w:rPr>
                <w:b w:val="0"/>
                <w:sz w:val="18"/>
              </w:rPr>
              <w:t>Peer review and QC</w:t>
            </w:r>
          </w:p>
        </w:tc>
        <w:tc>
          <w:tcPr>
            <w:tcW w:type="dxa" w:w="907"/>
          </w:tcPr>
          <w:p>
            <w:pPr>
              <w:spacing w:after="20"/>
              <w:jc w:val="right"/>
            </w:pPr>
            <w:r/>
            <w:r>
              <w:rPr>
                <w:b w:val="0"/>
                <w:sz w:val="18"/>
              </w:rPr>
              <w:t>4</w:t>
            </w:r>
          </w:p>
        </w:tc>
        <w:tc>
          <w:tcPr>
            <w:tcW w:type="dxa" w:w="1701"/>
          </w:tcPr>
          <w:p>
            <w:pPr>
              <w:spacing w:after="20"/>
            </w:pPr>
            <w:r/>
            <w:r>
              <w:rPr>
                <w:b w:val="0"/>
                <w:sz w:val="18"/>
              </w:rPr>
              <w:t>Partner</w:t>
            </w:r>
          </w:p>
        </w:tc>
        <w:tc>
          <w:tcPr>
            <w:tcW w:type="dxa" w:w="1361"/>
          </w:tcPr>
          <w:p>
            <w:pPr>
              <w:spacing w:after="20"/>
              <w:jc w:val="right"/>
            </w:pPr>
            <w:r/>
            <w:r>
              <w:rPr>
                <w:b w:val="0"/>
                <w:sz w:val="18"/>
              </w:rPr>
              <w:t>$450.00</w:t>
            </w:r>
          </w:p>
        </w:tc>
        <w:tc>
          <w:tcPr>
            <w:tcW w:type="dxa" w:w="1928"/>
          </w:tcPr>
          <w:p>
            <w:pPr>
              <w:spacing w:after="20"/>
              <w:jc w:val="right"/>
            </w:pPr>
            <w:r/>
            <w:r>
              <w:rPr>
                <w:b w:val="0"/>
                <w:sz w:val="18"/>
              </w:rPr>
              <w:t>$1,800.00</w:t>
            </w:r>
          </w:p>
        </w:tc>
      </w:tr>
      <w:tr>
        <w:tc>
          <w:tcPr>
            <w:tcW w:type="dxa" w:w="3742"/>
            <w:shd w:val="clear" w:color="auto" w:fill="F5F8FA"/>
          </w:tcPr>
          <w:p>
            <w:pPr>
              <w:spacing w:after="20"/>
            </w:pPr>
            <w:r/>
            <w:r>
              <w:rPr>
                <w:b/>
                <w:sz w:val="18"/>
              </w:rPr>
              <w:t>Total</w:t>
            </w:r>
          </w:p>
        </w:tc>
        <w:tc>
          <w:tcPr>
            <w:tcW w:type="dxa" w:w="907"/>
            <w:shd w:val="clear" w:color="auto" w:fill="F5F8FA"/>
          </w:tcPr>
          <w:p>
            <w:pPr>
              <w:spacing w:after="20"/>
              <w:jc w:val="right"/>
            </w:pPr>
            <w:r/>
            <w:r>
              <w:rPr>
                <w:b/>
                <w:sz w:val="18"/>
              </w:rPr>
              <w:t>48</w:t>
            </w:r>
          </w:p>
        </w:tc>
        <w:tc>
          <w:tcPr>
            <w:tcW w:type="dxa" w:w="1701"/>
            <w:shd w:val="clear" w:color="auto" w:fill="F5F8FA"/>
          </w:tcPr>
          <w:p>
            <w:pPr>
              <w:spacing w:after="20"/>
            </w:pPr>
            <w:r/>
            <w:r>
              <w:rPr>
                <w:b w:val="0"/>
                <w:sz w:val="18"/>
              </w:rPr>
            </w:r>
          </w:p>
        </w:tc>
        <w:tc>
          <w:tcPr>
            <w:tcW w:type="dxa" w:w="1361"/>
            <w:shd w:val="clear" w:color="auto" w:fill="F5F8FA"/>
          </w:tcPr>
          <w:p>
            <w:pPr>
              <w:spacing w:after="20"/>
              <w:jc w:val="right"/>
            </w:pPr>
            <w:r/>
            <w:r>
              <w:rPr>
                <w:b w:val="0"/>
                <w:sz w:val="18"/>
              </w:rPr>
            </w:r>
          </w:p>
        </w:tc>
        <w:tc>
          <w:tcPr>
            <w:tcW w:type="dxa" w:w="1928"/>
            <w:shd w:val="clear" w:color="auto" w:fill="F5F8FA"/>
          </w:tcPr>
          <w:p>
            <w:pPr>
              <w:spacing w:after="20"/>
              <w:jc w:val="right"/>
            </w:pPr>
            <w:r/>
            <w:r>
              <w:rPr>
                <w:b/>
                <w:sz w:val="18"/>
              </w:rPr>
              <w:t>$10,200.00</w:t>
            </w:r>
          </w:p>
        </w:tc>
      </w:tr>
    </w:tbl>
    <w:p>
      <w:pPr>
        <w:spacing w:after="40"/>
      </w:pPr>
    </w:p>
    <w:p>
      <w:pPr>
        <w:spacing w:after="120"/>
      </w:pPr>
      <w:r>
        <w:rPr>
          <w:b w:val="0"/>
          <w:i w:val="0"/>
          <w:sz w:val="21"/>
        </w:rPr>
        <w:t>Benchmark: the Service Catalogue prices a data analytics engagement at $6,000-$18,000 and working capital analytics at $3,000-$9,000. $10,200.00 for 48 hours sits inside both.</w:t>
      </w:r>
    </w:p>
    <w:p>
      <w:pPr>
        <w:pStyle w:val="Heading2"/>
      </w:pPr>
      <w:r>
        <w:t>4. The three client questions, in writing</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How long?</w:t>
            </w:r>
          </w:p>
        </w:tc>
        <w:tc>
          <w:tcPr>
            <w:tcW w:type="dxa" w:w="6803"/>
          </w:tcPr>
          <w:p>
            <w:r/>
            <w:r>
              <w:rPr>
                <w:sz w:val="19"/>
              </w:rPr>
              <w:t>Four calendar weeks, with about twelve hours of client involvement.</w:t>
            </w:r>
          </w:p>
        </w:tc>
      </w:tr>
      <w:tr>
        <w:tc>
          <w:tcPr>
            <w:tcW w:type="dxa" w:w="2608"/>
            <w:shd w:val="clear" w:color="auto" w:fill="EAF1F6"/>
          </w:tcPr>
          <w:p>
            <w:r/>
            <w:r>
              <w:rPr>
                <w:b/>
                <w:sz w:val="19"/>
              </w:rPr>
              <w:t>How much?</w:t>
            </w:r>
          </w:p>
        </w:tc>
        <w:tc>
          <w:tcPr>
            <w:tcW w:type="dxa" w:w="6803"/>
          </w:tcPr>
          <w:p>
            <w:r/>
            <w:r>
              <w:rPr>
                <w:sz w:val="19"/>
              </w:rPr>
              <w:t>$10,200.00 fixed fee, plus a proposed $1,200 per month analytics retainer for monthly refreshes, exception reporting and one review call.</w:t>
            </w:r>
          </w:p>
        </w:tc>
      </w:tr>
      <w:tr>
        <w:tc>
          <w:tcPr>
            <w:tcW w:type="dxa" w:w="2608"/>
            <w:shd w:val="clear" w:color="auto" w:fill="EAF1F6"/>
          </w:tcPr>
          <w:p>
            <w:r/>
            <w:r>
              <w:rPr>
                <w:b/>
                <w:sz w:val="19"/>
              </w:rPr>
              <w:t>How do I know it is right?</w:t>
            </w:r>
          </w:p>
        </w:tc>
        <w:tc>
          <w:tcPr>
            <w:tcW w:type="dxa" w:w="6803"/>
          </w:tcPr>
          <w:p>
            <w:r/>
            <w:r>
              <w:rPr>
                <w:sz w:val="19"/>
              </w:rPr>
              <w:t>Every figure reconciles to the trial balance; a partner who did not build the work re-performed a number on every page; the methodology note lets your team reproduce everything independently.</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analytics findings memo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