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Data quality report - what is wrong with the source data and what it costs</w:t>
      </w:r>
    </w:p>
    <w:p>
      <w:pPr>
        <w:spacing w:after="120"/>
      </w:pPr>
      <w:r>
        <w:rPr>
          <w:b w:val="0"/>
          <w:i/>
          <w:color w:val="595959"/>
          <w:sz w:val="22"/>
        </w:rPr>
        <w:t>Capstone 3 deliverable 4 - one page, for IT and Finance systems</w:t>
      </w:r>
    </w:p>
    <w:p>
      <w:pPr>
        <w:spacing w:before="80"/>
      </w:pPr>
      <w:r>
        <w:rPr>
          <w:color w:val="595959"/>
          <w:sz w:val="17"/>
        </w:rPr>
        <w:t>Client: Mhondoro Manufacturing (Pvt) Ltd    |    Period: 1 January 2024 to 30 September 2025    |    Issued: 08 October 2025    |    Reference: MX-2025-DQ01    |    Classification: Confidential</w:t>
      </w:r>
    </w:p>
    <w:p>
      <w:pPr>
        <w:spacing w:before="0" w:after="160"/>
        <w:pBdr>
          <w:bottom w:val="single" w:sz="8" w:color="008B8B"/>
        </w:pBdr>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494"/>
            <w:shd w:val="clear" w:color="auto" w:fill="0B2E4F"/>
          </w:tcPr>
          <w:p>
            <w:r/>
            <w:r>
              <w:rPr>
                <w:b/>
                <w:color w:val="FFFFFF"/>
                <w:sz w:val="17"/>
              </w:rPr>
              <w:t>Issue</w:t>
            </w:r>
          </w:p>
        </w:tc>
        <w:tc>
          <w:tcPr>
            <w:tcW w:type="dxa" w:w="1474"/>
            <w:shd w:val="clear" w:color="auto" w:fill="0B2E4F"/>
          </w:tcPr>
          <w:p>
            <w:r/>
            <w:r>
              <w:rPr>
                <w:b/>
                <w:color w:val="FFFFFF"/>
                <w:sz w:val="17"/>
              </w:rPr>
              <w:t>Count</w:t>
            </w:r>
          </w:p>
        </w:tc>
        <w:tc>
          <w:tcPr>
            <w:tcW w:type="dxa" w:w="1247"/>
            <w:shd w:val="clear" w:color="auto" w:fill="0B2E4F"/>
          </w:tcPr>
          <w:p>
            <w:r/>
            <w:r>
              <w:rPr>
                <w:b/>
                <w:color w:val="FFFFFF"/>
                <w:sz w:val="17"/>
              </w:rPr>
              <w:t>Value</w:t>
            </w:r>
          </w:p>
        </w:tc>
        <w:tc>
          <w:tcPr>
            <w:tcW w:type="dxa" w:w="1928"/>
            <w:shd w:val="clear" w:color="auto" w:fill="0B2E4F"/>
          </w:tcPr>
          <w:p>
            <w:r/>
            <w:r>
              <w:rPr>
                <w:b/>
                <w:color w:val="FFFFFF"/>
                <w:sz w:val="17"/>
              </w:rPr>
              <w:t>Process that caused it</w:t>
            </w:r>
          </w:p>
        </w:tc>
        <w:tc>
          <w:tcPr>
            <w:tcW w:type="dxa" w:w="1361"/>
            <w:shd w:val="clear" w:color="auto" w:fill="0B2E4F"/>
          </w:tcPr>
          <w:p>
            <w:r/>
            <w:r>
              <w:rPr>
                <w:b/>
                <w:color w:val="FFFFFF"/>
                <w:sz w:val="17"/>
              </w:rPr>
              <w:t>Owner</w:t>
            </w:r>
          </w:p>
        </w:tc>
        <w:tc>
          <w:tcPr>
            <w:tcW w:type="dxa" w:w="2268"/>
            <w:shd w:val="clear" w:color="auto" w:fill="0B2E4F"/>
          </w:tcPr>
          <w:p>
            <w:r/>
            <w:r>
              <w:rPr>
                <w:b/>
                <w:color w:val="FFFFFF"/>
                <w:sz w:val="17"/>
              </w:rPr>
              <w:t>Cost of not fixing it</w:t>
            </w:r>
          </w:p>
        </w:tc>
      </w:tr>
      <w:tr>
        <w:tc>
          <w:tcPr>
            <w:tcW w:type="dxa" w:w="2494"/>
          </w:tcPr>
          <w:p>
            <w:pPr>
              <w:spacing w:after="20"/>
            </w:pPr>
            <w:r/>
            <w:r>
              <w:rPr>
                <w:b w:val="0"/>
                <w:sz w:val="16"/>
              </w:rPr>
              <w:t>Creditor extract is a sample, not the population</w:t>
            </w:r>
          </w:p>
        </w:tc>
        <w:tc>
          <w:tcPr>
            <w:tcW w:type="dxa" w:w="1474"/>
          </w:tcPr>
          <w:p>
            <w:pPr>
              <w:spacing w:after="20"/>
            </w:pPr>
            <w:r/>
            <w:r>
              <w:rPr>
                <w:b w:val="0"/>
                <w:sz w:val="16"/>
              </w:rPr>
              <w:t>520 invoices vs $30,505,968.04 of GL spend</w:t>
            </w:r>
          </w:p>
        </w:tc>
        <w:tc>
          <w:tcPr>
            <w:tcW w:type="dxa" w:w="1247"/>
          </w:tcPr>
          <w:p>
            <w:pPr>
              <w:spacing w:after="20"/>
            </w:pPr>
            <w:r/>
            <w:r>
              <w:rPr>
                <w:b w:val="0"/>
                <w:sz w:val="16"/>
              </w:rPr>
              <w:t>$24,316,999.64</w:t>
            </w:r>
          </w:p>
        </w:tc>
        <w:tc>
          <w:tcPr>
            <w:tcW w:type="dxa" w:w="1928"/>
          </w:tcPr>
          <w:p>
            <w:pPr>
              <w:spacing w:after="20"/>
            </w:pPr>
            <w:r/>
            <w:r>
              <w:rPr>
                <w:b w:val="0"/>
                <w:sz w:val="16"/>
              </w:rPr>
              <w:t>No complete extract routine exists</w:t>
            </w:r>
          </w:p>
        </w:tc>
        <w:tc>
          <w:tcPr>
            <w:tcW w:type="dxa" w:w="1361"/>
          </w:tcPr>
          <w:p>
            <w:pPr>
              <w:spacing w:after="20"/>
            </w:pPr>
            <w:r/>
            <w:r>
              <w:rPr>
                <w:b w:val="0"/>
                <w:sz w:val="16"/>
              </w:rPr>
              <w:t>IT / Finance systems</w:t>
            </w:r>
          </w:p>
        </w:tc>
        <w:tc>
          <w:tcPr>
            <w:tcW w:type="dxa" w:w="2268"/>
          </w:tcPr>
          <w:p>
            <w:pPr>
              <w:spacing w:after="20"/>
            </w:pPr>
            <w:r/>
            <w:r>
              <w:rPr>
                <w:b w:val="0"/>
                <w:sz w:val="16"/>
              </w:rPr>
              <w:t>Control testing cannot cover the whole population, so exceptions hide in the gap</w:t>
            </w:r>
          </w:p>
        </w:tc>
      </w:tr>
      <w:tr>
        <w:tc>
          <w:tcPr>
            <w:tcW w:type="dxa" w:w="2494"/>
            <w:shd w:val="clear" w:color="auto" w:fill="F5F8FA"/>
          </w:tcPr>
          <w:p>
            <w:pPr>
              <w:spacing w:after="20"/>
            </w:pPr>
            <w:r/>
            <w:r>
              <w:rPr>
                <w:b w:val="0"/>
                <w:sz w:val="16"/>
              </w:rPr>
              <w:t>AP invoices failing the three-way match</w:t>
            </w:r>
          </w:p>
        </w:tc>
        <w:tc>
          <w:tcPr>
            <w:tcW w:type="dxa" w:w="1474"/>
            <w:shd w:val="clear" w:color="auto" w:fill="F5F8FA"/>
          </w:tcPr>
          <w:p>
            <w:pPr>
              <w:spacing w:after="20"/>
            </w:pPr>
            <w:r/>
            <w:r>
              <w:rPr>
                <w:b w:val="0"/>
                <w:sz w:val="16"/>
              </w:rPr>
              <w:t>168 of 520</w:t>
            </w:r>
          </w:p>
        </w:tc>
        <w:tc>
          <w:tcPr>
            <w:tcW w:type="dxa" w:w="1247"/>
            <w:shd w:val="clear" w:color="auto" w:fill="F5F8FA"/>
          </w:tcPr>
          <w:p>
            <w:pPr>
              <w:spacing w:after="20"/>
            </w:pPr>
            <w:r/>
            <w:r>
              <w:rPr>
                <w:b w:val="0"/>
                <w:sz w:val="16"/>
              </w:rPr>
              <w:t>$2,024,957.52</w:t>
            </w:r>
          </w:p>
        </w:tc>
        <w:tc>
          <w:tcPr>
            <w:tcW w:type="dxa" w:w="1928"/>
            <w:shd w:val="clear" w:color="auto" w:fill="F5F8FA"/>
          </w:tcPr>
          <w:p>
            <w:pPr>
              <w:spacing w:after="20"/>
            </w:pPr>
            <w:r/>
            <w:r>
              <w:rPr>
                <w:b w:val="0"/>
                <w:sz w:val="16"/>
              </w:rPr>
              <w:t>GRN capture is optional and PO matching is not enforced</w:t>
            </w:r>
          </w:p>
        </w:tc>
        <w:tc>
          <w:tcPr>
            <w:tcW w:type="dxa" w:w="1361"/>
            <w:shd w:val="clear" w:color="auto" w:fill="F5F8FA"/>
          </w:tcPr>
          <w:p>
            <w:pPr>
              <w:spacing w:after="20"/>
            </w:pPr>
            <w:r/>
            <w:r>
              <w:rPr>
                <w:b w:val="0"/>
                <w:sz w:val="16"/>
              </w:rPr>
              <w:t>Procurement Manager</w:t>
            </w:r>
          </w:p>
        </w:tc>
        <w:tc>
          <w:tcPr>
            <w:tcW w:type="dxa" w:w="2268"/>
            <w:shd w:val="clear" w:color="auto" w:fill="F5F8FA"/>
          </w:tcPr>
          <w:p>
            <w:pPr>
              <w:spacing w:after="20"/>
            </w:pPr>
            <w:r/>
            <w:r>
              <w:rPr>
                <w:b w:val="0"/>
                <w:sz w:val="16"/>
              </w:rPr>
              <w:t>Payments for goods not ordered or not received</w:t>
            </w:r>
          </w:p>
        </w:tc>
      </w:tr>
      <w:tr>
        <w:tc>
          <w:tcPr>
            <w:tcW w:type="dxa" w:w="2494"/>
          </w:tcPr>
          <w:p>
            <w:pPr>
              <w:spacing w:after="20"/>
            </w:pPr>
            <w:r/>
            <w:r>
              <w:rPr>
                <w:b w:val="0"/>
                <w:sz w:val="16"/>
              </w:rPr>
              <w:t>AP invoices with no purchase order</w:t>
            </w:r>
          </w:p>
        </w:tc>
        <w:tc>
          <w:tcPr>
            <w:tcW w:type="dxa" w:w="1474"/>
          </w:tcPr>
          <w:p>
            <w:pPr>
              <w:spacing w:after="20"/>
            </w:pPr>
            <w:r/>
            <w:r>
              <w:rPr>
                <w:b w:val="0"/>
                <w:sz w:val="16"/>
              </w:rPr>
              <w:t>109 of 520</w:t>
            </w:r>
          </w:p>
        </w:tc>
        <w:tc>
          <w:tcPr>
            <w:tcW w:type="dxa" w:w="1247"/>
          </w:tcPr>
          <w:p>
            <w:pPr>
              <w:spacing w:after="20"/>
            </w:pPr>
            <w:r/>
            <w:r>
              <w:rPr>
                <w:b w:val="0"/>
                <w:sz w:val="16"/>
              </w:rPr>
              <w:t>$1,357,923.16</w:t>
            </w:r>
          </w:p>
        </w:tc>
        <w:tc>
          <w:tcPr>
            <w:tcW w:type="dxa" w:w="1928"/>
          </w:tcPr>
          <w:p>
            <w:pPr>
              <w:spacing w:after="20"/>
            </w:pPr>
            <w:r/>
            <w:r>
              <w:rPr>
                <w:b w:val="0"/>
                <w:sz w:val="16"/>
              </w:rPr>
              <w:t>The value-based exception to the PO requirement</w:t>
            </w:r>
          </w:p>
        </w:tc>
        <w:tc>
          <w:tcPr>
            <w:tcW w:type="dxa" w:w="1361"/>
          </w:tcPr>
          <w:p>
            <w:pPr>
              <w:spacing w:after="20"/>
            </w:pPr>
            <w:r/>
            <w:r>
              <w:rPr>
                <w:b w:val="0"/>
                <w:sz w:val="16"/>
              </w:rPr>
              <w:t>Procurement Manager</w:t>
            </w:r>
          </w:p>
        </w:tc>
        <w:tc>
          <w:tcPr>
            <w:tcW w:type="dxa" w:w="2268"/>
          </w:tcPr>
          <w:p>
            <w:pPr>
              <w:spacing w:after="20"/>
            </w:pPr>
            <w:r/>
            <w:r>
              <w:rPr>
                <w:b w:val="0"/>
                <w:sz w:val="16"/>
              </w:rPr>
              <w:t>Spend above the threshold without authorisation</w:t>
            </w:r>
          </w:p>
        </w:tc>
      </w:tr>
      <w:tr>
        <w:tc>
          <w:tcPr>
            <w:tcW w:type="dxa" w:w="2494"/>
            <w:shd w:val="clear" w:color="auto" w:fill="F5F8FA"/>
          </w:tcPr>
          <w:p>
            <w:pPr>
              <w:spacing w:after="20"/>
            </w:pPr>
            <w:r/>
            <w:r>
              <w:rPr>
                <w:b w:val="0"/>
                <w:sz w:val="16"/>
              </w:rPr>
              <w:t>Unreconciled bank items</w:t>
            </w:r>
          </w:p>
        </w:tc>
        <w:tc>
          <w:tcPr>
            <w:tcW w:type="dxa" w:w="1474"/>
            <w:shd w:val="clear" w:color="auto" w:fill="F5F8FA"/>
          </w:tcPr>
          <w:p>
            <w:pPr>
              <w:spacing w:after="20"/>
            </w:pPr>
            <w:r/>
            <w:r>
              <w:rPr>
                <w:b w:val="0"/>
                <w:sz w:val="16"/>
              </w:rPr>
              <w:t>129 of 1400</w:t>
            </w:r>
          </w:p>
        </w:tc>
        <w:tc>
          <w:tcPr>
            <w:tcW w:type="dxa" w:w="1247"/>
            <w:shd w:val="clear" w:color="auto" w:fill="F5F8FA"/>
          </w:tcPr>
          <w:p>
            <w:pPr>
              <w:spacing w:after="20"/>
            </w:pPr>
            <w:r/>
            <w:r>
              <w:rPr>
                <w:b w:val="0"/>
                <w:sz w:val="16"/>
              </w:rPr>
              <w:t>$1,884,271.16</w:t>
            </w:r>
          </w:p>
        </w:tc>
        <w:tc>
          <w:tcPr>
            <w:tcW w:type="dxa" w:w="1928"/>
            <w:shd w:val="clear" w:color="auto" w:fill="F5F8FA"/>
          </w:tcPr>
          <w:p>
            <w:pPr>
              <w:spacing w:after="20"/>
            </w:pPr>
            <w:r/>
            <w:r>
              <w:rPr>
                <w:b w:val="0"/>
                <w:sz w:val="16"/>
              </w:rPr>
              <w:t>No monthly reconciliation discipline</w:t>
            </w:r>
          </w:p>
        </w:tc>
        <w:tc>
          <w:tcPr>
            <w:tcW w:type="dxa" w:w="1361"/>
            <w:shd w:val="clear" w:color="auto" w:fill="F5F8FA"/>
          </w:tcPr>
          <w:p>
            <w:pPr>
              <w:spacing w:after="20"/>
            </w:pPr>
            <w:r/>
            <w:r>
              <w:rPr>
                <w:b w:val="0"/>
                <w:sz w:val="16"/>
              </w:rPr>
              <w:t>Financial Accountant</w:t>
            </w:r>
          </w:p>
        </w:tc>
        <w:tc>
          <w:tcPr>
            <w:tcW w:type="dxa" w:w="2268"/>
            <w:shd w:val="clear" w:color="auto" w:fill="F5F8FA"/>
          </w:tcPr>
          <w:p>
            <w:pPr>
              <w:spacing w:after="20"/>
            </w:pPr>
            <w:r/>
            <w:r>
              <w:rPr>
                <w:b w:val="0"/>
                <w:sz w:val="16"/>
              </w:rPr>
              <w:t>Cash cannot be relied upon; duplicate or unrecorded payments</w:t>
            </w:r>
          </w:p>
        </w:tc>
      </w:tr>
      <w:tr>
        <w:tc>
          <w:tcPr>
            <w:tcW w:type="dxa" w:w="2494"/>
          </w:tcPr>
          <w:p>
            <w:pPr>
              <w:spacing w:after="20"/>
            </w:pPr>
            <w:r/>
            <w:r>
              <w:rPr>
                <w:b w:val="0"/>
                <w:sz w:val="16"/>
              </w:rPr>
              <w:t>Expense claims without a receipt</w:t>
            </w:r>
          </w:p>
        </w:tc>
        <w:tc>
          <w:tcPr>
            <w:tcW w:type="dxa" w:w="1474"/>
          </w:tcPr>
          <w:p>
            <w:pPr>
              <w:spacing w:after="20"/>
            </w:pPr>
            <w:r/>
            <w:r>
              <w:rPr>
                <w:b w:val="0"/>
                <w:sz w:val="16"/>
              </w:rPr>
              <w:t>81 of 650</w:t>
            </w:r>
          </w:p>
        </w:tc>
        <w:tc>
          <w:tcPr>
            <w:tcW w:type="dxa" w:w="1247"/>
          </w:tcPr>
          <w:p>
            <w:pPr>
              <w:spacing w:after="20"/>
            </w:pPr>
            <w:r/>
            <w:r>
              <w:rPr>
                <w:b w:val="0"/>
                <w:sz w:val="16"/>
              </w:rPr>
              <w:t>$117,897.70</w:t>
            </w:r>
          </w:p>
        </w:tc>
        <w:tc>
          <w:tcPr>
            <w:tcW w:type="dxa" w:w="1928"/>
          </w:tcPr>
          <w:p>
            <w:pPr>
              <w:spacing w:after="20"/>
            </w:pPr>
            <w:r/>
            <w:r>
              <w:rPr>
                <w:b w:val="0"/>
                <w:sz w:val="16"/>
              </w:rPr>
              <w:t>The expense system does not enforce an attachment</w:t>
            </w:r>
          </w:p>
        </w:tc>
        <w:tc>
          <w:tcPr>
            <w:tcW w:type="dxa" w:w="1361"/>
          </w:tcPr>
          <w:p>
            <w:pPr>
              <w:spacing w:after="20"/>
            </w:pPr>
            <w:r/>
            <w:r>
              <w:rPr>
                <w:b w:val="0"/>
                <w:sz w:val="16"/>
              </w:rPr>
              <w:t>Financial Controller</w:t>
            </w:r>
          </w:p>
        </w:tc>
        <w:tc>
          <w:tcPr>
            <w:tcW w:type="dxa" w:w="2268"/>
          </w:tcPr>
          <w:p>
            <w:pPr>
              <w:spacing w:after="20"/>
            </w:pPr>
            <w:r/>
            <w:r>
              <w:rPr>
                <w:b w:val="0"/>
                <w:sz w:val="16"/>
              </w:rPr>
              <w:t>Audit adjustment risk and weak substantiation</w:t>
            </w:r>
          </w:p>
        </w:tc>
      </w:tr>
      <w:tr>
        <w:tc>
          <w:tcPr>
            <w:tcW w:type="dxa" w:w="2494"/>
            <w:shd w:val="clear" w:color="auto" w:fill="F5F8FA"/>
          </w:tcPr>
          <w:p>
            <w:pPr>
              <w:spacing w:after="20"/>
            </w:pPr>
            <w:r/>
            <w:r>
              <w:rPr>
                <w:b w:val="0"/>
                <w:sz w:val="16"/>
              </w:rPr>
              <w:t>Suspense account never cleared</w:t>
            </w:r>
          </w:p>
        </w:tc>
        <w:tc>
          <w:tcPr>
            <w:tcW w:type="dxa" w:w="1474"/>
            <w:shd w:val="clear" w:color="auto" w:fill="F5F8FA"/>
          </w:tcPr>
          <w:p>
            <w:pPr>
              <w:spacing w:after="20"/>
            </w:pPr>
            <w:r/>
            <w:r>
              <w:rPr>
                <w:b w:val="0"/>
                <w:sz w:val="16"/>
              </w:rPr>
              <w:t>1 account</w:t>
            </w:r>
          </w:p>
        </w:tc>
        <w:tc>
          <w:tcPr>
            <w:tcW w:type="dxa" w:w="1247"/>
            <w:shd w:val="clear" w:color="auto" w:fill="F5F8FA"/>
          </w:tcPr>
          <w:p>
            <w:pPr>
              <w:spacing w:after="20"/>
            </w:pPr>
            <w:r/>
            <w:r>
              <w:rPr>
                <w:b w:val="0"/>
                <w:sz w:val="16"/>
              </w:rPr>
              <w:t>$51,058.87</w:t>
            </w:r>
          </w:p>
        </w:tc>
        <w:tc>
          <w:tcPr>
            <w:tcW w:type="dxa" w:w="1928"/>
            <w:shd w:val="clear" w:color="auto" w:fill="F5F8FA"/>
          </w:tcPr>
          <w:p>
            <w:pPr>
              <w:spacing w:after="20"/>
            </w:pPr>
            <w:r/>
            <w:r>
              <w:rPr>
                <w:b w:val="0"/>
                <w:sz w:val="16"/>
              </w:rPr>
              <w:t>No month-end allocation requirement</w:t>
            </w:r>
          </w:p>
        </w:tc>
        <w:tc>
          <w:tcPr>
            <w:tcW w:type="dxa" w:w="1361"/>
            <w:shd w:val="clear" w:color="auto" w:fill="F5F8FA"/>
          </w:tcPr>
          <w:p>
            <w:pPr>
              <w:spacing w:after="20"/>
            </w:pPr>
            <w:r/>
            <w:r>
              <w:rPr>
                <w:b w:val="0"/>
                <w:sz w:val="16"/>
              </w:rPr>
              <w:t>Financial Accountant</w:t>
            </w:r>
          </w:p>
        </w:tc>
        <w:tc>
          <w:tcPr>
            <w:tcW w:type="dxa" w:w="2268"/>
            <w:shd w:val="clear" w:color="auto" w:fill="F5F8FA"/>
          </w:tcPr>
          <w:p>
            <w:pPr>
              <w:spacing w:after="20"/>
            </w:pPr>
            <w:r/>
            <w:r>
              <w:rPr>
                <w:b w:val="0"/>
                <w:sz w:val="16"/>
              </w:rPr>
              <w:t>Transactions are not in the accounts they belong in</w:t>
            </w:r>
          </w:p>
        </w:tc>
      </w:tr>
      <w:tr>
        <w:tc>
          <w:tcPr>
            <w:tcW w:type="dxa" w:w="2494"/>
          </w:tcPr>
          <w:p>
            <w:pPr>
              <w:spacing w:after="20"/>
            </w:pPr>
            <w:r/>
            <w:r>
              <w:rPr>
                <w:b w:val="0"/>
                <w:sz w:val="16"/>
              </w:rPr>
              <w:t>Disputed customer balances</w:t>
            </w:r>
          </w:p>
        </w:tc>
        <w:tc>
          <w:tcPr>
            <w:tcW w:type="dxa" w:w="1474"/>
          </w:tcPr>
          <w:p>
            <w:pPr>
              <w:spacing w:after="20"/>
            </w:pPr>
            <w:r/>
            <w:r>
              <w:rPr>
                <w:b w:val="0"/>
                <w:sz w:val="16"/>
              </w:rPr>
              <w:t>11 of 420 ageing rows</w:t>
            </w:r>
          </w:p>
        </w:tc>
        <w:tc>
          <w:tcPr>
            <w:tcW w:type="dxa" w:w="1247"/>
          </w:tcPr>
          <w:p>
            <w:pPr>
              <w:spacing w:after="20"/>
            </w:pPr>
            <w:r/>
            <w:r>
              <w:rPr>
                <w:b w:val="0"/>
                <w:sz w:val="16"/>
              </w:rPr>
              <w:t>$244,018.32</w:t>
            </w:r>
          </w:p>
        </w:tc>
        <w:tc>
          <w:tcPr>
            <w:tcW w:type="dxa" w:w="1928"/>
          </w:tcPr>
          <w:p>
            <w:pPr>
              <w:spacing w:after="20"/>
            </w:pPr>
            <w:r/>
            <w:r>
              <w:rPr>
                <w:b w:val="0"/>
                <w:sz w:val="16"/>
              </w:rPr>
              <w:t>Credit notes raised but not resolved</w:t>
            </w:r>
          </w:p>
        </w:tc>
        <w:tc>
          <w:tcPr>
            <w:tcW w:type="dxa" w:w="1361"/>
          </w:tcPr>
          <w:p>
            <w:pPr>
              <w:spacing w:after="20"/>
            </w:pPr>
            <w:r/>
            <w:r>
              <w:rPr>
                <w:b w:val="0"/>
                <w:sz w:val="16"/>
              </w:rPr>
              <w:t>Credit Controller</w:t>
            </w:r>
          </w:p>
        </w:tc>
        <w:tc>
          <w:tcPr>
            <w:tcW w:type="dxa" w:w="2268"/>
          </w:tcPr>
          <w:p>
            <w:pPr>
              <w:spacing w:after="20"/>
            </w:pPr>
            <w:r/>
            <w:r>
              <w:rPr>
                <w:b w:val="0"/>
                <w:sz w:val="16"/>
              </w:rPr>
              <w:t>Overstated receivables and wasted collection effort</w:t>
            </w:r>
          </w:p>
        </w:tc>
      </w:tr>
      <w:tr>
        <w:tc>
          <w:tcPr>
            <w:tcW w:type="dxa" w:w="2494"/>
            <w:shd w:val="clear" w:color="auto" w:fill="F5F8FA"/>
          </w:tcPr>
          <w:p>
            <w:pPr>
              <w:spacing w:after="20"/>
            </w:pPr>
            <w:r/>
            <w:r>
              <w:rPr>
                <w:b w:val="0"/>
                <w:sz w:val="16"/>
              </w:rPr>
              <w:t>Vendor master incomplete</w:t>
            </w:r>
          </w:p>
        </w:tc>
        <w:tc>
          <w:tcPr>
            <w:tcW w:type="dxa" w:w="1474"/>
            <w:shd w:val="clear" w:color="auto" w:fill="F5F8FA"/>
          </w:tcPr>
          <w:p>
            <w:pPr>
              <w:spacing w:after="20"/>
            </w:pPr>
            <w:r/>
            <w:r>
              <w:rPr>
                <w:b w:val="0"/>
                <w:sz w:val="16"/>
              </w:rPr>
              <w:t>4 vendors with no tax clearance</w:t>
            </w:r>
          </w:p>
        </w:tc>
        <w:tc>
          <w:tcPr>
            <w:tcW w:type="dxa" w:w="1247"/>
            <w:shd w:val="clear" w:color="auto" w:fill="F5F8FA"/>
          </w:tcPr>
          <w:p>
            <w:pPr>
              <w:spacing w:after="20"/>
            </w:pPr>
            <w:r/>
            <w:r>
              <w:rPr>
                <w:b w:val="0"/>
                <w:sz w:val="16"/>
              </w:rPr>
              <w:t>$2,773,799.20</w:t>
            </w:r>
          </w:p>
        </w:tc>
        <w:tc>
          <w:tcPr>
            <w:tcW w:type="dxa" w:w="1928"/>
            <w:shd w:val="clear" w:color="auto" w:fill="F5F8FA"/>
          </w:tcPr>
          <w:p>
            <w:pPr>
              <w:spacing w:after="20"/>
            </w:pPr>
            <w:r/>
            <w:r>
              <w:rPr>
                <w:b w:val="0"/>
                <w:sz w:val="16"/>
              </w:rPr>
              <w:t>No verification at onboarding</w:t>
            </w:r>
          </w:p>
        </w:tc>
        <w:tc>
          <w:tcPr>
            <w:tcW w:type="dxa" w:w="1361"/>
            <w:shd w:val="clear" w:color="auto" w:fill="F5F8FA"/>
          </w:tcPr>
          <w:p>
            <w:pPr>
              <w:spacing w:after="20"/>
            </w:pPr>
            <w:r/>
            <w:r>
              <w:rPr>
                <w:b w:val="0"/>
                <w:sz w:val="16"/>
              </w:rPr>
              <w:t>Financial Controller</w:t>
            </w:r>
          </w:p>
        </w:tc>
        <w:tc>
          <w:tcPr>
            <w:tcW w:type="dxa" w:w="2268"/>
            <w:shd w:val="clear" w:color="auto" w:fill="F5F8FA"/>
          </w:tcPr>
          <w:p>
            <w:pPr>
              <w:spacing w:after="20"/>
            </w:pPr>
            <w:r/>
            <w:r>
              <w:rPr>
                <w:b w:val="0"/>
                <w:sz w:val="16"/>
              </w:rPr>
              <w:t>Related-party and compliance exposure</w:t>
            </w:r>
          </w:p>
        </w:tc>
      </w:tr>
    </w:tbl>
    <w:p>
      <w:pPr>
        <w:spacing w:after="40"/>
      </w:pPr>
    </w:p>
    <w:p>
      <w:pPr>
        <w:spacing w:after="120"/>
      </w:pPr>
      <w:r>
        <w:rPr>
          <w:b w:val="0"/>
          <w:i/>
          <w:sz w:val="18"/>
        </w:rPr>
        <w:t>None of these is a reporting error. Each is a process that produces bad data, and each has an owner who can fix it. The cost column is the reason to fund the fix.</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data quality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