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AI-assisted reporting routine - with human review</w:t>
      </w:r>
    </w:p>
    <w:p>
      <w:pPr>
        <w:spacing w:after="120"/>
      </w:pPr>
      <w:r>
        <w:rPr>
          <w:b w:val="0"/>
          <w:i/>
          <w:color w:val="595959"/>
          <w:sz w:val="22"/>
        </w:rPr>
        <w:t>Capstone 4 deliverable 3 - documented prompt, review checklist and audit trail</w:t>
      </w:r>
    </w:p>
    <w:p>
      <w:pPr>
        <w:spacing w:before="80"/>
      </w:pPr>
      <w:r>
        <w:rPr>
          <w:color w:val="595959"/>
          <w:sz w:val="17"/>
        </w:rPr>
        <w:t>Client: Mhondoro Manufacturing (Pvt) Ltd    |    Period: 1 January 2024 to 30 September 2025    |    Issued: 08 October 2025    |    Reference: MX-2025-AI01    |    Classification: Confidential</w:t>
      </w:r>
    </w:p>
    <w:p>
      <w:pPr>
        <w:spacing w:before="0" w:after="160"/>
        <w:pBdr>
          <w:bottom w:val="single" w:sz="8" w:color="008B8B"/>
        </w:pBdr>
      </w:pPr>
    </w:p>
    <w:p>
      <w:pPr>
        <w:pStyle w:val="Heading2"/>
      </w:pPr>
      <w:r>
        <w:t>1. The routine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val="clear" w:color="auto" w:fill="0B2E4F"/>
          </w:tcPr>
          <w:p>
            <w:r/>
            <w:r>
              <w:rPr>
                <w:b/>
                <w:color w:val="FFFFFF"/>
                <w:sz w:val="17"/>
              </w:rPr>
              <w:t>Step</w:t>
            </w:r>
          </w:p>
        </w:tc>
        <w:tc>
          <w:tcPr>
            <w:tcW w:type="dxa" w:w="1474"/>
            <w:shd w:val="clear" w:color="auto" w:fill="0B2E4F"/>
          </w:tcPr>
          <w:p>
            <w:r/>
            <w:r>
              <w:rPr>
                <w:b/>
                <w:color w:val="FFFFFF"/>
                <w:sz w:val="17"/>
              </w:rPr>
              <w:t>Who</w:t>
            </w:r>
          </w:p>
        </w:tc>
        <w:tc>
          <w:tcPr>
            <w:tcW w:type="dxa" w:w="5102"/>
            <w:shd w:val="clear" w:color="auto" w:fill="0B2E4F"/>
          </w:tcPr>
          <w:p>
            <w:r/>
            <w:r>
              <w:rPr>
                <w:b/>
                <w:color w:val="FFFFFF"/>
                <w:sz w:val="17"/>
              </w:rPr>
              <w:t>What happens</w:t>
            </w:r>
          </w:p>
        </w:tc>
        <w:tc>
          <w:tcPr>
            <w:tcW w:type="dxa" w:w="2041"/>
            <w:shd w:val="clear" w:color="auto" w:fill="0B2E4F"/>
          </w:tcPr>
          <w:p>
            <w:r/>
            <w:r>
              <w:rPr>
                <w:b/>
                <w:color w:val="FFFFFF"/>
                <w:sz w:val="17"/>
              </w:rPr>
              <w:t>Output</w:t>
            </w:r>
          </w:p>
        </w:tc>
      </w:tr>
      <w:tr>
        <w:tc>
          <w:tcPr>
            <w:tcW w:type="dxa" w:w="1020"/>
          </w:tcPr>
          <w:p>
            <w:pPr>
              <w:spacing w:after="20"/>
            </w:pPr>
            <w:r/>
            <w:r>
              <w:rPr>
                <w:b w:val="0"/>
                <w:sz w:val="17"/>
              </w:rPr>
              <w:t>1. Extract</w:t>
            </w:r>
          </w:p>
        </w:tc>
        <w:tc>
          <w:tcPr>
            <w:tcW w:type="dxa" w:w="1474"/>
          </w:tcPr>
          <w:p>
            <w:pPr>
              <w:spacing w:after="20"/>
            </w:pPr>
            <w:r/>
            <w:r>
              <w:rPr>
                <w:b w:val="0"/>
                <w:sz w:val="17"/>
              </w:rPr>
              <w:t>Analyst</w:t>
            </w:r>
          </w:p>
        </w:tc>
        <w:tc>
          <w:tcPr>
            <w:tcW w:type="dxa" w:w="5102"/>
          </w:tcPr>
          <w:p>
            <w:pPr>
              <w:spacing w:after="20"/>
            </w:pPr>
            <w:r/>
            <w:r>
              <w:rPr>
                <w:b w:val="0"/>
                <w:sz w:val="17"/>
              </w:rPr>
              <w:t>Metrics are extracted from the model into a fixed table: revenue, margin, DSO, exceptions, churn scores. No narrative is written yet.</w:t>
            </w:r>
          </w:p>
        </w:tc>
        <w:tc>
          <w:tcPr>
            <w:tcW w:type="dxa" w:w="2041"/>
          </w:tcPr>
          <w:p>
            <w:pPr>
              <w:spacing w:after="20"/>
            </w:pPr>
            <w:r/>
            <w:r>
              <w:rPr>
                <w:b w:val="0"/>
                <w:sz w:val="17"/>
              </w:rPr>
              <w:t>metrics.csv</w:t>
            </w:r>
          </w:p>
        </w:tc>
      </w:tr>
      <w:tr>
        <w:tc>
          <w:tcPr>
            <w:tcW w:type="dxa" w:w="1020"/>
            <w:shd w:val="clear" w:color="auto" w:fill="F5F8FA"/>
          </w:tcPr>
          <w:p>
            <w:pPr>
              <w:spacing w:after="20"/>
            </w:pPr>
            <w:r/>
            <w:r>
              <w:rPr>
                <w:b w:val="0"/>
                <w:sz w:val="17"/>
              </w:rPr>
              <w:t>2. Draft</w:t>
            </w:r>
          </w:p>
        </w:tc>
        <w:tc>
          <w:tcPr>
            <w:tcW w:type="dxa" w:w="1474"/>
            <w:shd w:val="clear" w:color="auto" w:fill="F5F8FA"/>
          </w:tcPr>
          <w:p>
            <w:pPr>
              <w:spacing w:after="20"/>
            </w:pPr>
            <w:r/>
            <w:r>
              <w:rPr>
                <w:b w:val="0"/>
                <w:sz w:val="17"/>
              </w:rPr>
              <w:t>AI (supervised)</w:t>
            </w:r>
          </w:p>
        </w:tc>
        <w:tc>
          <w:tcPr>
            <w:tcW w:type="dxa" w:w="5102"/>
            <w:shd w:val="clear" w:color="auto" w:fill="F5F8FA"/>
          </w:tcPr>
          <w:p>
            <w:pPr>
              <w:spacing w:after="20"/>
            </w:pPr>
            <w:r/>
            <w:r>
              <w:rPr>
                <w:b w:val="0"/>
                <w:sz w:val="17"/>
              </w:rPr>
              <w:t>The prompt below is run against metrics.csv only. The AI is given the numbers and nothing else.</w:t>
            </w:r>
          </w:p>
        </w:tc>
        <w:tc>
          <w:tcPr>
            <w:tcW w:type="dxa" w:w="2041"/>
            <w:shd w:val="clear" w:color="auto" w:fill="F5F8FA"/>
          </w:tcPr>
          <w:p>
            <w:pPr>
              <w:spacing w:after="20"/>
            </w:pPr>
            <w:r/>
            <w:r>
              <w:rPr>
                <w:b w:val="0"/>
                <w:sz w:val="17"/>
              </w:rPr>
              <w:t>draft_commentary.md</w:t>
            </w:r>
          </w:p>
        </w:tc>
      </w:tr>
      <w:tr>
        <w:tc>
          <w:tcPr>
            <w:tcW w:type="dxa" w:w="1020"/>
          </w:tcPr>
          <w:p>
            <w:pPr>
              <w:spacing w:after="20"/>
            </w:pPr>
            <w:r/>
            <w:r>
              <w:rPr>
                <w:b w:val="0"/>
                <w:sz w:val="17"/>
              </w:rPr>
              <w:t>3. Verify</w:t>
            </w:r>
          </w:p>
        </w:tc>
        <w:tc>
          <w:tcPr>
            <w:tcW w:type="dxa" w:w="1474"/>
          </w:tcPr>
          <w:p>
            <w:pPr>
              <w:spacing w:after="20"/>
            </w:pPr>
            <w:r/>
            <w:r>
              <w:rPr>
                <w:b w:val="0"/>
                <w:sz w:val="17"/>
              </w:rPr>
              <w:t>Analyst</w:t>
            </w:r>
          </w:p>
        </w:tc>
        <w:tc>
          <w:tcPr>
            <w:tcW w:type="dxa" w:w="5102"/>
          </w:tcPr>
          <w:p>
            <w:pPr>
              <w:spacing w:after="20"/>
            </w:pPr>
            <w:r/>
            <w:r>
              <w:rPr>
                <w:b w:val="0"/>
                <w:sz w:val="17"/>
              </w:rPr>
              <w:t>Every number in the draft is traced back to metrics.csv. Any number that is not in the table is deleted.</w:t>
            </w:r>
          </w:p>
        </w:tc>
        <w:tc>
          <w:tcPr>
            <w:tcW w:type="dxa" w:w="2041"/>
          </w:tcPr>
          <w:p>
            <w:pPr>
              <w:spacing w:after="20"/>
            </w:pPr>
            <w:r/>
            <w:r>
              <w:rPr>
                <w:b w:val="0"/>
                <w:sz w:val="17"/>
              </w:rPr>
              <w:t>verified_commentary.md</w:t>
            </w:r>
          </w:p>
        </w:tc>
      </w:tr>
      <w:tr>
        <w:tc>
          <w:tcPr>
            <w:tcW w:type="dxa" w:w="1020"/>
            <w:shd w:val="clear" w:color="auto" w:fill="F5F8FA"/>
          </w:tcPr>
          <w:p>
            <w:pPr>
              <w:spacing w:after="20"/>
            </w:pPr>
            <w:r/>
            <w:r>
              <w:rPr>
                <w:b w:val="0"/>
                <w:sz w:val="17"/>
              </w:rPr>
              <w:t>4. Review</w:t>
            </w:r>
          </w:p>
        </w:tc>
        <w:tc>
          <w:tcPr>
            <w:tcW w:type="dxa" w:w="1474"/>
            <w:shd w:val="clear" w:color="auto" w:fill="F5F8FA"/>
          </w:tcPr>
          <w:p>
            <w:pPr>
              <w:spacing w:after="20"/>
            </w:pPr>
            <w:r/>
            <w:r>
              <w:rPr>
                <w:b w:val="0"/>
                <w:sz w:val="17"/>
              </w:rPr>
              <w:t>Manager</w:t>
            </w:r>
          </w:p>
        </w:tc>
        <w:tc>
          <w:tcPr>
            <w:tcW w:type="dxa" w:w="5102"/>
            <w:shd w:val="clear" w:color="auto" w:fill="F5F8FA"/>
          </w:tcPr>
          <w:p>
            <w:pPr>
              <w:spacing w:after="20"/>
            </w:pPr>
            <w:r/>
            <w:r>
              <w:rPr>
                <w:b w:val="0"/>
                <w:sz w:val="17"/>
              </w:rPr>
              <w:t>Tone, materiality, omissions and client-identifying data are checked against the checklist.</w:t>
            </w:r>
          </w:p>
        </w:tc>
        <w:tc>
          <w:tcPr>
            <w:tcW w:type="dxa" w:w="2041"/>
            <w:shd w:val="clear" w:color="auto" w:fill="F5F8FA"/>
          </w:tcPr>
          <w:p>
            <w:pPr>
              <w:spacing w:after="20"/>
            </w:pPr>
            <w:r/>
            <w:r>
              <w:rPr>
                <w:b w:val="0"/>
                <w:sz w:val="17"/>
              </w:rPr>
              <w:t>reviewed_commentary.md</w:t>
            </w:r>
          </w:p>
        </w:tc>
      </w:tr>
      <w:tr>
        <w:tc>
          <w:tcPr>
            <w:tcW w:type="dxa" w:w="1020"/>
          </w:tcPr>
          <w:p>
            <w:pPr>
              <w:spacing w:after="20"/>
            </w:pPr>
            <w:r/>
            <w:r>
              <w:rPr>
                <w:b w:val="0"/>
                <w:sz w:val="17"/>
              </w:rPr>
              <w:t>5. Sign off</w:t>
            </w:r>
          </w:p>
        </w:tc>
        <w:tc>
          <w:tcPr>
            <w:tcW w:type="dxa" w:w="1474"/>
          </w:tcPr>
          <w:p>
            <w:pPr>
              <w:spacing w:after="20"/>
            </w:pPr>
            <w:r/>
            <w:r>
              <w:rPr>
                <w:b w:val="0"/>
                <w:sz w:val="17"/>
              </w:rPr>
              <w:t>Partner</w:t>
            </w:r>
          </w:p>
        </w:tc>
        <w:tc>
          <w:tcPr>
            <w:tcW w:type="dxa" w:w="5102"/>
          </w:tcPr>
          <w:p>
            <w:pPr>
              <w:spacing w:after="20"/>
            </w:pPr>
            <w:r/>
            <w:r>
              <w:rPr>
                <w:b w:val="0"/>
                <w:sz w:val="17"/>
              </w:rPr>
              <w:t>The pack is signed and issued. The audit trail records who drafted, who verified and who signed.</w:t>
            </w:r>
          </w:p>
        </w:tc>
        <w:tc>
          <w:tcPr>
            <w:tcW w:type="dxa" w:w="2041"/>
          </w:tcPr>
          <w:p>
            <w:pPr>
              <w:spacing w:after="20"/>
            </w:pPr>
            <w:r/>
            <w:r>
              <w:rPr>
                <w:b w:val="0"/>
                <w:sz w:val="17"/>
              </w:rPr>
              <w:t>issued pack</w:t>
            </w:r>
          </w:p>
        </w:tc>
      </w:tr>
    </w:tbl>
    <w:p>
      <w:pPr>
        <w:spacing w:after="40"/>
      </w:pPr>
    </w:p>
    <w:p>
      <w:pPr>
        <w:pStyle w:val="Heading2"/>
      </w:pPr>
      <w:r>
        <w:t>2. The prompt (verbatim)</w:t>
      </w:r>
    </w:p>
    <w:p>
      <w:pPr>
        <w:spacing w:after="120"/>
      </w:pPr>
      <w:r>
        <w:rPr>
          <w:b w:val="0"/>
          <w:i/>
          <w:sz w:val="19"/>
        </w:rPr>
        <w:t>You are writing the monthly management commentary for an accounting firm's own numbers. Use ONLY the figures in the table below. Do not estimate, extrapolate or introduce any figure that is not in the table. Write four paragraphs: performance, drivers, risks, and the one action for next month. Plain English, no adjectives, no forecasts. Where a figure has fallen, say by how much and against what. If the table does not contain enough information for a paragraph, write 'insufficient data' instead of guessing. Table: {metrics.csv}</w:t>
      </w:r>
    </w:p>
    <w:p>
      <w:pPr>
        <w:spacing w:after="120"/>
      </w:pPr>
      <w:r>
        <w:rPr>
          <w:b w:val="0"/>
          <w:i w:val="0"/>
          <w:sz w:val="18"/>
        </w:rPr>
        <w:t>What data is sent: aggregated metrics only - no client names, no individual staff names, no bank details, no personal data. Client-level scores stay in the model.</w:t>
      </w:r>
    </w:p>
    <w:p>
      <w:pPr>
        <w:pStyle w:val="Heading2"/>
      </w:pPr>
      <w:r>
        <w:t>3. Review checklist (all must pass before issue)</w:t>
      </w:r>
    </w:p>
    <w:p>
      <w:pPr>
        <w:pStyle w:val="ListBullet"/>
        <w:spacing w:after="40"/>
      </w:pPr>
      <w:r>
        <w:rPr>
          <w:sz w:val="21"/>
        </w:rPr>
        <w:t>Every number in the draft appears in metrics.csv and matches exactly.</w:t>
      </w:r>
    </w:p>
    <w:p>
      <w:pPr>
        <w:pStyle w:val="ListBullet"/>
        <w:spacing w:after="40"/>
      </w:pPr>
      <w:r>
        <w:rPr>
          <w:sz w:val="21"/>
        </w:rPr>
        <w:t>No comparison is made to a period that is not in the table (hallucinated comparatives are the most common failure).</w:t>
      </w:r>
    </w:p>
    <w:p>
      <w:pPr>
        <w:pStyle w:val="ListBullet"/>
        <w:spacing w:after="40"/>
      </w:pPr>
      <w:r>
        <w:rPr>
          <w:sz w:val="21"/>
        </w:rPr>
        <w:t>No material movement in the table has been omitted from the narrative.</w:t>
      </w:r>
    </w:p>
    <w:p>
      <w:pPr>
        <w:pStyle w:val="ListBullet"/>
        <w:spacing w:after="40"/>
      </w:pPr>
      <w:r>
        <w:rPr>
          <w:sz w:val="21"/>
        </w:rPr>
        <w:t>Tone is factual: no accusation, no superlatives, no speculation about intent.</w:t>
      </w:r>
    </w:p>
    <w:p>
      <w:pPr>
        <w:pStyle w:val="ListBullet"/>
        <w:spacing w:after="40"/>
      </w:pPr>
      <w:r>
        <w:rPr>
          <w:sz w:val="21"/>
        </w:rPr>
        <w:t>No client-identifying or personal data appears anywhere in the prompt or the output.</w:t>
      </w:r>
    </w:p>
    <w:p>
      <w:pPr>
        <w:pStyle w:val="ListBullet"/>
        <w:spacing w:after="40"/>
      </w:pPr>
      <w:r>
        <w:rPr>
          <w:sz w:val="21"/>
        </w:rPr>
        <w:t>Recommendations are specific and owned.</w:t>
      </w:r>
    </w:p>
    <w:p>
      <w:pPr>
        <w:pStyle w:val="ListBullet"/>
        <w:spacing w:after="40"/>
      </w:pPr>
      <w:r>
        <w:rPr>
          <w:sz w:val="21"/>
        </w:rPr>
        <w:t>The reader can tell which figures are actual and which are estimates.</w:t>
      </w:r>
    </w:p>
    <w:p>
      <w:pPr>
        <w:pStyle w:val="Heading2"/>
      </w:pPr>
      <w:r>
        <w:t>4. Worked before-and-after example</w:t>
      </w:r>
    </w:p>
    <w:p>
      <w:pPr>
        <w:spacing w:after="120"/>
      </w:pPr>
      <w:r>
        <w:rPr>
          <w:b/>
          <w:i w:val="0"/>
          <w:sz w:val="19"/>
        </w:rPr>
        <w:t>AI draft (step 2), unverified:</w:t>
      </w:r>
    </w:p>
    <w:p>
      <w:pPr>
        <w:spacing w:after="120"/>
      </w:pPr>
      <w:r>
        <w:rPr>
          <w:b w:val="0"/>
          <w:i/>
          <w:sz w:val="19"/>
        </w:rPr>
        <w:t>"The firm's churn risk has improved markedly this quarter, with client retention trending strongly upwards. Fee income is expected to grow substantially, and only a handful of clients present any concern. The outlook is excellent."</w:t>
      </w:r>
    </w:p>
    <w:p>
      <w:pPr>
        <w:spacing w:after="120"/>
      </w:pPr>
      <w:r>
        <w:rPr>
          <w:b/>
          <w:i w:val="0"/>
          <w:sz w:val="19"/>
        </w:rPr>
        <w:t>Why it fails the checklist:</w:t>
      </w:r>
    </w:p>
    <w:p>
      <w:pPr>
        <w:pStyle w:val="ListBullet"/>
        <w:spacing w:after="40"/>
      </w:pPr>
      <w:r>
        <w:rPr>
          <w:sz w:val="19"/>
        </w:rPr>
        <w:t>'Improved markedly' - the table shows no improvement; the model's accuracy is unchanged.</w:t>
      </w:r>
    </w:p>
    <w:p>
      <w:pPr>
        <w:pStyle w:val="ListBullet"/>
        <w:spacing w:after="40"/>
      </w:pPr>
      <w:r>
        <w:rPr>
          <w:sz w:val="19"/>
        </w:rPr>
        <w:t>'Fee income is expected to grow substantially' - a forecast the prompt forbade.</w:t>
      </w:r>
    </w:p>
    <w:p>
      <w:pPr>
        <w:pStyle w:val="ListBullet"/>
        <w:spacing w:after="40"/>
      </w:pPr>
      <w:r>
        <w:rPr>
          <w:sz w:val="19"/>
        </w:rPr>
        <w:t>'Only a handful of clients' - the table shows 16 of 30 clients in the High band.</w:t>
      </w:r>
    </w:p>
    <w:p>
      <w:pPr>
        <w:pStyle w:val="ListBullet"/>
        <w:spacing w:after="40"/>
      </w:pPr>
      <w:r>
        <w:rPr>
          <w:sz w:val="19"/>
        </w:rPr>
        <w:t>'The outlook is excellent' - a superlative with no figure behind it.</w:t>
      </w:r>
    </w:p>
    <w:p>
      <w:pPr>
        <w:spacing w:after="120"/>
      </w:pPr>
      <w:r>
        <w:rPr>
          <w:b/>
          <w:i w:val="0"/>
          <w:sz w:val="19"/>
        </w:rPr>
        <w:t>Verified and reviewed version (steps 3-4):</w:t>
      </w:r>
    </w:p>
    <w:p>
      <w:pPr>
        <w:spacing w:after="120"/>
      </w:pPr>
      <w:r>
        <w:rPr>
          <w:b w:val="0"/>
          <w:i/>
          <w:sz w:val="19"/>
        </w:rPr>
        <w:t>"Of 30 clients scored, 16 are in the High risk band, representing $3,088,834.51 of annual fees out of $4,603,937.42 in total. The model's fee at risk is $3,092,420.94. The three largest exposures are Great Dyke Mining, FoodProcessors Alliance, Kwekwe Alloys. Recommended action for next month: partner calls to those clients before their renewal dates."</w:t>
      </w:r>
    </w:p>
    <w:p>
      <w:pPr>
        <w:pStyle w:val="Heading2"/>
      </w:pPr>
      <w:r>
        <w:t>5. Audit trail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0B2E4F"/>
          </w:tcPr>
          <w:p>
            <w:r/>
            <w:r>
              <w:rPr>
                <w:b/>
                <w:color w:val="FFFFFF"/>
                <w:sz w:val="17"/>
              </w:rPr>
              <w:t>Stage</w:t>
            </w:r>
          </w:p>
        </w:tc>
        <w:tc>
          <w:tcPr>
            <w:tcW w:type="dxa" w:w="1701"/>
            <w:shd w:val="clear" w:color="auto" w:fill="0B2E4F"/>
          </w:tcPr>
          <w:p>
            <w:r/>
            <w:r>
              <w:rPr>
                <w:b/>
                <w:color w:val="FFFFFF"/>
                <w:sz w:val="17"/>
              </w:rPr>
              <w:t>Person</w:t>
            </w:r>
          </w:p>
        </w:tc>
        <w:tc>
          <w:tcPr>
            <w:tcW w:type="dxa" w:w="1701"/>
            <w:shd w:val="clear" w:color="auto" w:fill="0B2E4F"/>
          </w:tcPr>
          <w:p>
            <w:r/>
            <w:r>
              <w:rPr>
                <w:b/>
                <w:color w:val="FFFFFF"/>
                <w:sz w:val="17"/>
              </w:rPr>
              <w:t>Date</w:t>
            </w:r>
          </w:p>
        </w:tc>
        <w:tc>
          <w:tcPr>
            <w:tcW w:type="dxa" w:w="4309"/>
            <w:shd w:val="clear" w:color="auto" w:fill="0B2E4F"/>
          </w:tcPr>
          <w:p>
            <w:r/>
            <w:r>
              <w:rPr>
                <w:b/>
                <w:color w:val="FFFFFF"/>
                <w:sz w:val="17"/>
              </w:rPr>
              <w:t>Record</w:t>
            </w:r>
          </w:p>
        </w:tc>
      </w:tr>
      <w:tr>
        <w:tc>
          <w:tcPr>
            <w:tcW w:type="dxa" w:w="1928"/>
          </w:tcPr>
          <w:p>
            <w:pPr>
              <w:spacing w:after="20"/>
            </w:pPr>
            <w:r/>
            <w:r>
              <w:rPr>
                <w:b w:val="0"/>
                <w:sz w:val="18"/>
              </w:rPr>
              <w:t>Metrics extracted</w:t>
            </w:r>
          </w:p>
        </w:tc>
        <w:tc>
          <w:tcPr>
            <w:tcW w:type="dxa" w:w="1701"/>
          </w:tcPr>
          <w:p>
            <w:pPr>
              <w:spacing w:after="20"/>
            </w:pPr>
            <w:r/>
            <w:r>
              <w:rPr>
                <w:b w:val="0"/>
                <w:sz w:val="18"/>
              </w:rPr>
              <w:t>Analyst</w:t>
            </w:r>
          </w:p>
        </w:tc>
        <w:tc>
          <w:tcPr>
            <w:tcW w:type="dxa" w:w="1701"/>
          </w:tcPr>
          <w:p>
            <w:pPr>
              <w:spacing w:after="20"/>
            </w:pPr>
            <w:r/>
            <w:r>
              <w:rPr>
                <w:b w:val="0"/>
                <w:sz w:val="18"/>
              </w:rPr>
              <w:t>2025-10-08</w:t>
            </w:r>
          </w:p>
        </w:tc>
        <w:tc>
          <w:tcPr>
            <w:tcW w:type="dxa" w:w="4309"/>
          </w:tcPr>
          <w:p>
            <w:pPr>
              <w:spacing w:after="20"/>
            </w:pPr>
            <w:r/>
            <w:r>
              <w:rPr>
                <w:b w:val="0"/>
                <w:sz w:val="18"/>
              </w:rPr>
              <w:t>metrics.csv, version-stamped</w:t>
            </w:r>
          </w:p>
        </w:tc>
      </w:tr>
      <w:tr>
        <w:tc>
          <w:tcPr>
            <w:tcW w:type="dxa" w:w="1928"/>
            <w:shd w:val="clear" w:color="auto" w:fill="F5F8FA"/>
          </w:tcPr>
          <w:p>
            <w:pPr>
              <w:spacing w:after="20"/>
            </w:pPr>
            <w:r/>
            <w:r>
              <w:rPr>
                <w:b w:val="0"/>
                <w:sz w:val="18"/>
              </w:rPr>
              <w:t>Draft generated</w:t>
            </w:r>
          </w:p>
        </w:tc>
        <w:tc>
          <w:tcPr>
            <w:tcW w:type="dxa" w:w="1701"/>
            <w:shd w:val="clear" w:color="auto" w:fill="F5F8FA"/>
          </w:tcPr>
          <w:p>
            <w:pPr>
              <w:spacing w:after="20"/>
            </w:pPr>
            <w:r/>
            <w:r>
              <w:rPr>
                <w:b w:val="0"/>
                <w:sz w:val="18"/>
              </w:rPr>
              <w:t>AI (supervised)</w:t>
            </w:r>
          </w:p>
        </w:tc>
        <w:tc>
          <w:tcPr>
            <w:tcW w:type="dxa" w:w="1701"/>
            <w:shd w:val="clear" w:color="auto" w:fill="F5F8FA"/>
          </w:tcPr>
          <w:p>
            <w:pPr>
              <w:spacing w:after="20"/>
            </w:pPr>
            <w:r/>
            <w:r>
              <w:rPr>
                <w:b w:val="0"/>
                <w:sz w:val="18"/>
              </w:rPr>
              <w:t>2025-10-08</w:t>
            </w:r>
          </w:p>
        </w:tc>
        <w:tc>
          <w:tcPr>
            <w:tcW w:type="dxa" w:w="4309"/>
            <w:shd w:val="clear" w:color="auto" w:fill="F5F8FA"/>
          </w:tcPr>
          <w:p>
            <w:pPr>
              <w:spacing w:after="20"/>
            </w:pPr>
            <w:r/>
            <w:r>
              <w:rPr>
                <w:b w:val="0"/>
                <w:sz w:val="18"/>
              </w:rPr>
              <w:t>Prompt and raw output stored on the engagement file</w:t>
            </w:r>
          </w:p>
        </w:tc>
      </w:tr>
      <w:tr>
        <w:tc>
          <w:tcPr>
            <w:tcW w:type="dxa" w:w="1928"/>
          </w:tcPr>
          <w:p>
            <w:pPr>
              <w:spacing w:after="20"/>
            </w:pPr>
            <w:r/>
            <w:r>
              <w:rPr>
                <w:b w:val="0"/>
                <w:sz w:val="18"/>
              </w:rPr>
              <w:t>Numbers verified</w:t>
            </w:r>
          </w:p>
        </w:tc>
        <w:tc>
          <w:tcPr>
            <w:tcW w:type="dxa" w:w="1701"/>
          </w:tcPr>
          <w:p>
            <w:pPr>
              <w:spacing w:after="20"/>
            </w:pPr>
            <w:r/>
            <w:r>
              <w:rPr>
                <w:b w:val="0"/>
                <w:sz w:val="18"/>
              </w:rPr>
              <w:t>Analyst</w:t>
            </w:r>
          </w:p>
        </w:tc>
        <w:tc>
          <w:tcPr>
            <w:tcW w:type="dxa" w:w="1701"/>
          </w:tcPr>
          <w:p>
            <w:pPr>
              <w:spacing w:after="20"/>
            </w:pPr>
            <w:r/>
            <w:r>
              <w:rPr>
                <w:b w:val="0"/>
                <w:sz w:val="18"/>
              </w:rPr>
              <w:t>2025-10-08</w:t>
            </w:r>
          </w:p>
        </w:tc>
        <w:tc>
          <w:tcPr>
            <w:tcW w:type="dxa" w:w="4309"/>
          </w:tcPr>
          <w:p>
            <w:pPr>
              <w:spacing w:after="20"/>
            </w:pPr>
            <w:r/>
            <w:r>
              <w:rPr>
                <w:b w:val="0"/>
                <w:sz w:val="18"/>
              </w:rPr>
              <w:t>Trace of each figure to metrics.csv</w:t>
            </w:r>
          </w:p>
        </w:tc>
      </w:tr>
      <w:tr>
        <w:tc>
          <w:tcPr>
            <w:tcW w:type="dxa" w:w="1928"/>
            <w:shd w:val="clear" w:color="auto" w:fill="F5F8FA"/>
          </w:tcPr>
          <w:p>
            <w:pPr>
              <w:spacing w:after="20"/>
            </w:pPr>
            <w:r/>
            <w:r>
              <w:rPr>
                <w:b w:val="0"/>
                <w:sz w:val="18"/>
              </w:rPr>
              <w:t>Reviewed</w:t>
            </w:r>
          </w:p>
        </w:tc>
        <w:tc>
          <w:tcPr>
            <w:tcW w:type="dxa" w:w="1701"/>
            <w:shd w:val="clear" w:color="auto" w:fill="F5F8FA"/>
          </w:tcPr>
          <w:p>
            <w:pPr>
              <w:spacing w:after="20"/>
            </w:pPr>
            <w:r/>
            <w:r>
              <w:rPr>
                <w:b w:val="0"/>
                <w:sz w:val="18"/>
              </w:rPr>
              <w:t>Manager</w:t>
            </w:r>
          </w:p>
        </w:tc>
        <w:tc>
          <w:tcPr>
            <w:tcW w:type="dxa" w:w="1701"/>
            <w:shd w:val="clear" w:color="auto" w:fill="F5F8FA"/>
          </w:tcPr>
          <w:p>
            <w:pPr>
              <w:spacing w:after="20"/>
            </w:pPr>
            <w:r/>
            <w:r>
              <w:rPr>
                <w:b w:val="0"/>
                <w:sz w:val="18"/>
              </w:rPr>
              <w:t>2025-10-08</w:t>
            </w:r>
          </w:p>
        </w:tc>
        <w:tc>
          <w:tcPr>
            <w:tcW w:type="dxa" w:w="4309"/>
            <w:shd w:val="clear" w:color="auto" w:fill="F5F8FA"/>
          </w:tcPr>
          <w:p>
            <w:pPr>
              <w:spacing w:after="20"/>
            </w:pPr>
            <w:r/>
            <w:r>
              <w:rPr>
                <w:b w:val="0"/>
                <w:sz w:val="18"/>
              </w:rPr>
              <w:t>Checklist signed</w:t>
            </w:r>
          </w:p>
        </w:tc>
      </w:tr>
      <w:tr>
        <w:tc>
          <w:tcPr>
            <w:tcW w:type="dxa" w:w="1928"/>
          </w:tcPr>
          <w:p>
            <w:pPr>
              <w:spacing w:after="20"/>
            </w:pPr>
            <w:r/>
            <w:r>
              <w:rPr>
                <w:b w:val="0"/>
                <w:sz w:val="18"/>
              </w:rPr>
              <w:t>Issued</w:t>
            </w:r>
          </w:p>
        </w:tc>
        <w:tc>
          <w:tcPr>
            <w:tcW w:type="dxa" w:w="1701"/>
          </w:tcPr>
          <w:p>
            <w:pPr>
              <w:spacing w:after="20"/>
            </w:pPr>
            <w:r/>
            <w:r>
              <w:rPr>
                <w:b w:val="0"/>
                <w:sz w:val="18"/>
              </w:rPr>
              <w:t>Partner</w:t>
            </w:r>
          </w:p>
        </w:tc>
        <w:tc>
          <w:tcPr>
            <w:tcW w:type="dxa" w:w="1701"/>
          </w:tcPr>
          <w:p>
            <w:pPr>
              <w:spacing w:after="20"/>
            </w:pPr>
            <w:r/>
            <w:r>
              <w:rPr>
                <w:b w:val="0"/>
                <w:sz w:val="18"/>
              </w:rPr>
              <w:t>2025-10-08</w:t>
            </w:r>
          </w:p>
        </w:tc>
        <w:tc>
          <w:tcPr>
            <w:tcW w:type="dxa" w:w="4309"/>
          </w:tcPr>
          <w:p>
            <w:pPr>
              <w:spacing w:after="20"/>
            </w:pPr>
            <w:r/>
            <w:r>
              <w:rPr>
                <w:b w:val="0"/>
                <w:sz w:val="18"/>
              </w:rPr>
              <w:t>Signed pack</w:t>
            </w:r>
          </w:p>
        </w:tc>
      </w:tr>
    </w:tbl>
    <w:p>
      <w:pPr>
        <w:spacing w:after="40"/>
      </w:pPr>
    </w:p>
    <w:p>
      <w:pPr>
        <w:pStyle w:val="Heading2"/>
      </w:pPr>
      <w:r>
        <w:t>6. Failure modes we plan for</w:t>
      </w:r>
    </w:p>
    <w:tbl>
      <w:tblPr>
        <w:tblStyle w:val="TableGrid"/>
        <w:tblW w:type="auto" w:w="0"/>
        <w:jc w:val="center"/>
        <w:tblLook w:firstColumn="1" w:firstRow="1" w:lastColumn="0" w:lastRow="0" w:noHBand="0" w:noVBand="1" w:val="04A0"/>
      </w:tblPr>
      <w:tblGrid>
        <w:gridCol w:w="3324"/>
        <w:gridCol w:w="3324"/>
        <w:gridCol w:w="3324"/>
      </w:tblGrid>
      <w:tr>
        <w:tc>
          <w:tcPr>
            <w:tcW w:type="dxa" w:w="1928"/>
            <w:shd w:val="clear" w:color="auto" w:fill="0B2E4F"/>
          </w:tcPr>
          <w:p>
            <w:r/>
            <w:r>
              <w:rPr>
                <w:b/>
                <w:color w:val="FFFFFF"/>
                <w:sz w:val="17"/>
              </w:rPr>
              <w:t>Failure mode</w:t>
            </w:r>
          </w:p>
        </w:tc>
        <w:tc>
          <w:tcPr>
            <w:tcW w:type="dxa" w:w="3515"/>
            <w:shd w:val="clear" w:color="auto" w:fill="0B2E4F"/>
          </w:tcPr>
          <w:p>
            <w:r/>
            <w:r>
              <w:rPr>
                <w:b/>
                <w:color w:val="FFFFFF"/>
                <w:sz w:val="17"/>
              </w:rPr>
              <w:t>How it appears</w:t>
            </w:r>
          </w:p>
        </w:tc>
        <w:tc>
          <w:tcPr>
            <w:tcW w:type="dxa" w:w="4195"/>
            <w:shd w:val="clear" w:color="auto" w:fill="0B2E4F"/>
          </w:tcPr>
          <w:p>
            <w:r/>
            <w:r>
              <w:rPr>
                <w:b/>
                <w:color w:val="FFFFFF"/>
                <w:sz w:val="17"/>
              </w:rPr>
              <w:t>Control</w:t>
            </w:r>
          </w:p>
        </w:tc>
      </w:tr>
      <w:tr>
        <w:tc>
          <w:tcPr>
            <w:tcW w:type="dxa" w:w="1928"/>
          </w:tcPr>
          <w:p>
            <w:pPr>
              <w:spacing w:after="20"/>
            </w:pPr>
            <w:r/>
            <w:r>
              <w:rPr>
                <w:b w:val="0"/>
                <w:sz w:val="17"/>
              </w:rPr>
              <w:t>Confidently wrong numbers</w:t>
            </w:r>
          </w:p>
        </w:tc>
        <w:tc>
          <w:tcPr>
            <w:tcW w:type="dxa" w:w="3515"/>
          </w:tcPr>
          <w:p>
            <w:pPr>
              <w:spacing w:after="20"/>
            </w:pPr>
            <w:r/>
            <w:r>
              <w:rPr>
                <w:b w:val="0"/>
                <w:sz w:val="17"/>
              </w:rPr>
              <w:t>A figure that looks plausible and is not in the data</w:t>
            </w:r>
          </w:p>
        </w:tc>
        <w:tc>
          <w:tcPr>
            <w:tcW w:type="dxa" w:w="4195"/>
          </w:tcPr>
          <w:p>
            <w:pPr>
              <w:spacing w:after="20"/>
            </w:pPr>
            <w:r/>
            <w:r>
              <w:rPr>
                <w:b w:val="0"/>
                <w:sz w:val="17"/>
              </w:rPr>
              <w:t>Rule 1 of the checklist: delete any figure not in metrics.csv</w:t>
            </w:r>
          </w:p>
        </w:tc>
      </w:tr>
      <w:tr>
        <w:tc>
          <w:tcPr>
            <w:tcW w:type="dxa" w:w="1928"/>
            <w:shd w:val="clear" w:color="auto" w:fill="F5F8FA"/>
          </w:tcPr>
          <w:p>
            <w:pPr>
              <w:spacing w:after="20"/>
            </w:pPr>
            <w:r/>
            <w:r>
              <w:rPr>
                <w:b w:val="0"/>
                <w:sz w:val="17"/>
              </w:rPr>
              <w:t>Hallucinated comparisons</w:t>
            </w:r>
          </w:p>
        </w:tc>
        <w:tc>
          <w:tcPr>
            <w:tcW w:type="dxa" w:w="3515"/>
            <w:shd w:val="clear" w:color="auto" w:fill="F5F8FA"/>
          </w:tcPr>
          <w:p>
            <w:pPr>
              <w:spacing w:after="20"/>
            </w:pPr>
            <w:r/>
            <w:r>
              <w:rPr>
                <w:b w:val="0"/>
                <w:sz w:val="17"/>
              </w:rPr>
              <w:t>'up 12% on last year' when no prior-year figure was supplied</w:t>
            </w:r>
          </w:p>
        </w:tc>
        <w:tc>
          <w:tcPr>
            <w:tcW w:type="dxa" w:w="4195"/>
            <w:shd w:val="clear" w:color="auto" w:fill="F5F8FA"/>
          </w:tcPr>
          <w:p>
            <w:pPr>
              <w:spacing w:after="20"/>
            </w:pPr>
            <w:r/>
            <w:r>
              <w:rPr>
                <w:b w:val="0"/>
                <w:sz w:val="17"/>
              </w:rPr>
              <w:t>The prompt forbids comparison to periods not in the table</w:t>
            </w:r>
          </w:p>
        </w:tc>
      </w:tr>
      <w:tr>
        <w:tc>
          <w:tcPr>
            <w:tcW w:type="dxa" w:w="1928"/>
          </w:tcPr>
          <w:p>
            <w:pPr>
              <w:spacing w:after="20"/>
            </w:pPr>
            <w:r/>
            <w:r>
              <w:rPr>
                <w:b w:val="0"/>
                <w:sz w:val="17"/>
              </w:rPr>
              <w:t>Missing a material item</w:t>
            </w:r>
          </w:p>
        </w:tc>
        <w:tc>
          <w:tcPr>
            <w:tcW w:type="dxa" w:w="3515"/>
          </w:tcPr>
          <w:p>
            <w:pPr>
              <w:spacing w:after="20"/>
            </w:pPr>
            <w:r/>
            <w:r>
              <w:rPr>
                <w:b w:val="0"/>
                <w:sz w:val="17"/>
              </w:rPr>
              <w:t>A large movement omitted because it is inconvenient</w:t>
            </w:r>
          </w:p>
        </w:tc>
        <w:tc>
          <w:tcPr>
            <w:tcW w:type="dxa" w:w="4195"/>
          </w:tcPr>
          <w:p>
            <w:pPr>
              <w:spacing w:after="20"/>
            </w:pPr>
            <w:r/>
            <w:r>
              <w:rPr>
                <w:b w:val="0"/>
                <w:sz w:val="17"/>
              </w:rPr>
              <w:t>The reviewer works from the metrics table, not the draft</w:t>
            </w:r>
          </w:p>
        </w:tc>
      </w:tr>
      <w:tr>
        <w:tc>
          <w:tcPr>
            <w:tcW w:type="dxa" w:w="1928"/>
            <w:shd w:val="clear" w:color="auto" w:fill="F5F8FA"/>
          </w:tcPr>
          <w:p>
            <w:pPr>
              <w:spacing w:after="20"/>
            </w:pPr>
            <w:r/>
            <w:r>
              <w:rPr>
                <w:b w:val="0"/>
                <w:sz w:val="17"/>
              </w:rPr>
              <w:t>Tone drift</w:t>
            </w:r>
          </w:p>
        </w:tc>
        <w:tc>
          <w:tcPr>
            <w:tcW w:type="dxa" w:w="3515"/>
            <w:shd w:val="clear" w:color="auto" w:fill="F5F8FA"/>
          </w:tcPr>
          <w:p>
            <w:pPr>
              <w:spacing w:after="20"/>
            </w:pPr>
            <w:r/>
            <w:r>
              <w:rPr>
                <w:b w:val="0"/>
                <w:sz w:val="17"/>
              </w:rPr>
              <w:t>Adjectives and forecasts creep in</w:t>
            </w:r>
          </w:p>
        </w:tc>
        <w:tc>
          <w:tcPr>
            <w:tcW w:type="dxa" w:w="4195"/>
            <w:shd w:val="clear" w:color="auto" w:fill="F5F8FA"/>
          </w:tcPr>
          <w:p>
            <w:pPr>
              <w:spacing w:after="20"/>
            </w:pPr>
            <w:r/>
            <w:r>
              <w:rPr>
                <w:b w:val="0"/>
                <w:sz w:val="17"/>
              </w:rPr>
              <w:t>Language review at step 4; the report template constrains the structure</w:t>
            </w:r>
          </w:p>
        </w:tc>
      </w:tr>
      <w:tr>
        <w:tc>
          <w:tcPr>
            <w:tcW w:type="dxa" w:w="1928"/>
          </w:tcPr>
          <w:p>
            <w:pPr>
              <w:spacing w:after="20"/>
            </w:pPr>
            <w:r/>
            <w:r>
              <w:rPr>
                <w:b w:val="0"/>
                <w:sz w:val="17"/>
              </w:rPr>
              <w:t>Data leakage</w:t>
            </w:r>
          </w:p>
        </w:tc>
        <w:tc>
          <w:tcPr>
            <w:tcW w:type="dxa" w:w="3515"/>
          </w:tcPr>
          <w:p>
            <w:pPr>
              <w:spacing w:after="20"/>
            </w:pPr>
            <w:r/>
            <w:r>
              <w:rPr>
                <w:b w:val="0"/>
                <w:sz w:val="17"/>
              </w:rPr>
              <w:t>Client or personal data pasted into a public model</w:t>
            </w:r>
          </w:p>
        </w:tc>
        <w:tc>
          <w:tcPr>
            <w:tcW w:type="dxa" w:w="4195"/>
          </w:tcPr>
          <w:p>
            <w:pPr>
              <w:spacing w:after="20"/>
            </w:pPr>
            <w:r/>
            <w:r>
              <w:rPr>
                <w:b w:val="0"/>
                <w:sz w:val="17"/>
              </w:rPr>
              <w:t>Only aggregated metrics are sent; the prompt is stored and audited</w:t>
            </w:r>
          </w:p>
        </w:tc>
      </w:tr>
    </w:tbl>
    <w:p>
      <w:pPr>
        <w:spacing w:after="40"/>
      </w:pPr>
    </w:p>
    <w:p>
      <w:pPr>
        <w:spacing w:after="120"/>
      </w:pPr>
      <w:r>
        <w:rPr>
          <w:b/>
          <w:i w:val="0"/>
          <w:sz w:val="21"/>
        </w:rPr>
        <w:t>Never issue an AI-written number that a human has not validated against the model.</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AI-assisted reporting routine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