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Model governance pack - client churn risk model</w:t>
      </w:r>
    </w:p>
    <w:p>
      <w:pPr>
        <w:spacing w:after="120"/>
      </w:pPr>
      <w:r>
        <w:rPr>
          <w:b w:val="0"/>
          <w:i/>
          <w:color w:val="595959"/>
          <w:sz w:val="22"/>
        </w:rPr>
        <w:t>Capstone 4 deliverable 5 - two pages, all nine sections</w:t>
      </w:r>
    </w:p>
    <w:p>
      <w:pPr>
        <w:spacing w:before="80"/>
      </w:pPr>
      <w:r>
        <w:rPr>
          <w:color w:val="595959"/>
          <w:sz w:val="17"/>
        </w:rPr>
        <w:t>Client: Mhondoro Manufacturing (Pvt) Ltd    |    Period: 1 January 2024 to 30 September 2025    |    Issued: 08 October 2025    |    Reference: MX-2025-MG01    |    Classification: Confidential</w:t>
      </w:r>
    </w:p>
    <w:p>
      <w:pPr>
        <w:spacing w:before="0" w:after="160"/>
        <w:pBdr>
          <w:bottom w:val="single" w:sz="8" w:color="008B8B"/>
        </w:pBdr>
      </w:pPr>
    </w:p>
    <w:p>
      <w:pPr>
        <w:pStyle w:val="Heading2"/>
      </w:pPr>
      <w:r>
        <w:t>1. Purpose and users</w:t>
      </w:r>
    </w:p>
    <w:p>
      <w:pPr>
        <w:spacing w:after="120"/>
      </w:pPr>
      <w:r>
        <w:rPr>
          <w:b w:val="0"/>
          <w:i w:val="0"/>
          <w:sz w:val="21"/>
        </w:rPr>
        <w:t>The model supports retention decisions by partners: which clients to call before renewal and how much fee that protects. It is a prioritisation aid. It is not an automated decision-maker, and no client action is taken on the score alone.</w:t>
      </w:r>
    </w:p>
    <w:p>
      <w:pPr>
        <w:pStyle w:val="Heading2"/>
      </w:pPr>
      <w:r>
        <w:t>2. Data</w:t>
      </w:r>
    </w:p>
    <w:tbl>
      <w:tblPr>
        <w:tblStyle w:val="TableGrid"/>
        <w:tblW w:type="auto" w:w="0"/>
        <w:jc w:val="center"/>
        <w:tblLook w:firstColumn="1" w:firstRow="1" w:lastColumn="0" w:lastRow="0" w:noHBand="0" w:noVBand="1" w:val="04A0"/>
      </w:tblPr>
      <w:tblGrid>
        <w:gridCol w:w="4986"/>
        <w:gridCol w:w="4986"/>
      </w:tblGrid>
      <w:tr>
        <w:tc>
          <w:tcPr>
            <w:tcW w:type="dxa" w:w="1928"/>
            <w:shd w:val="clear" w:color="auto" w:fill="0B2E4F"/>
          </w:tcPr>
          <w:p>
            <w:r/>
            <w:r>
              <w:rPr>
                <w:b/>
                <w:color w:val="FFFFFF"/>
                <w:sz w:val="17"/>
              </w:rPr>
              <w:t>Attribute</w:t>
            </w:r>
          </w:p>
        </w:tc>
        <w:tc>
          <w:tcPr>
            <w:tcW w:type="dxa" w:w="7710"/>
            <w:shd w:val="clear" w:color="auto" w:fill="0B2E4F"/>
          </w:tcPr>
          <w:p>
            <w:r/>
            <w:r>
              <w:rPr>
                <w:b/>
                <w:color w:val="FFFFFF"/>
                <w:sz w:val="17"/>
              </w:rPr>
              <w:t>Detail</w:t>
            </w:r>
          </w:p>
        </w:tc>
      </w:tr>
      <w:tr>
        <w:tc>
          <w:tcPr>
            <w:tcW w:type="dxa" w:w="1928"/>
          </w:tcPr>
          <w:p>
            <w:pPr>
              <w:spacing w:after="20"/>
            </w:pPr>
            <w:r/>
            <w:r>
              <w:rPr>
                <w:b w:val="0"/>
                <w:sz w:val="18"/>
              </w:rPr>
              <w:t>Source</w:t>
            </w:r>
          </w:p>
        </w:tc>
        <w:tc>
          <w:tcPr>
            <w:tcW w:type="dxa" w:w="7710"/>
          </w:tcPr>
          <w:p>
            <w:pPr>
              <w:spacing w:after="20"/>
            </w:pPr>
            <w:r/>
            <w:r>
              <w:rPr>
                <w:b w:val="0"/>
                <w:sz w:val="18"/>
              </w:rPr>
              <w:t>data/raw/maxhub_client_churn.csv</w:t>
            </w:r>
          </w:p>
        </w:tc>
      </w:tr>
      <w:tr>
        <w:tc>
          <w:tcPr>
            <w:tcW w:type="dxa" w:w="1928"/>
            <w:shd w:val="clear" w:color="auto" w:fill="F5F8FA"/>
          </w:tcPr>
          <w:p>
            <w:pPr>
              <w:spacing w:after="20"/>
            </w:pPr>
            <w:r/>
            <w:r>
              <w:rPr>
                <w:b w:val="0"/>
                <w:sz w:val="18"/>
              </w:rPr>
              <w:t>Period</w:t>
            </w:r>
          </w:p>
        </w:tc>
        <w:tc>
          <w:tcPr>
            <w:tcW w:type="dxa" w:w="7710"/>
            <w:shd w:val="clear" w:color="auto" w:fill="F5F8FA"/>
          </w:tcPr>
          <w:p>
            <w:pPr>
              <w:spacing w:after="20"/>
            </w:pPr>
            <w:r/>
            <w:r>
              <w:rPr>
                <w:b w:val="0"/>
                <w:sz w:val="18"/>
              </w:rPr>
              <w:t>FY2021 to FY2025</w:t>
            </w:r>
          </w:p>
        </w:tc>
      </w:tr>
      <w:tr>
        <w:tc>
          <w:tcPr>
            <w:tcW w:type="dxa" w:w="1928"/>
          </w:tcPr>
          <w:p>
            <w:pPr>
              <w:spacing w:after="20"/>
            </w:pPr>
            <w:r/>
            <w:r>
              <w:rPr>
                <w:b w:val="0"/>
                <w:sz w:val="18"/>
              </w:rPr>
              <w:t>Observations</w:t>
            </w:r>
          </w:p>
        </w:tc>
        <w:tc>
          <w:tcPr>
            <w:tcW w:type="dxa" w:w="7710"/>
          </w:tcPr>
          <w:p>
            <w:pPr>
              <w:spacing w:after="20"/>
            </w:pPr>
            <w:r/>
            <w:r>
              <w:rPr>
                <w:b w:val="0"/>
                <w:sz w:val="18"/>
              </w:rPr>
              <w:t>150 client-years (30 clients x 5 years)</w:t>
            </w:r>
          </w:p>
        </w:tc>
      </w:tr>
      <w:tr>
        <w:tc>
          <w:tcPr>
            <w:tcW w:type="dxa" w:w="1928"/>
            <w:shd w:val="clear" w:color="auto" w:fill="F5F8FA"/>
          </w:tcPr>
          <w:p>
            <w:pPr>
              <w:spacing w:after="20"/>
            </w:pPr>
            <w:r/>
            <w:r>
              <w:rPr>
                <w:b w:val="0"/>
                <w:sz w:val="18"/>
              </w:rPr>
              <w:t>Label</w:t>
            </w:r>
          </w:p>
        </w:tc>
        <w:tc>
          <w:tcPr>
            <w:tcW w:type="dxa" w:w="7710"/>
            <w:shd w:val="clear" w:color="auto" w:fill="F5F8FA"/>
          </w:tcPr>
          <w:p>
            <w:pPr>
              <w:spacing w:after="20"/>
            </w:pPr>
            <w:r/>
            <w:r>
              <w:rPr>
                <w:b w:val="0"/>
                <w:sz w:val="18"/>
              </w:rPr>
              <w:t>Stayed: 1 = the client renewed, 0 = the client did not</w:t>
            </w:r>
          </w:p>
        </w:tc>
      </w:tr>
      <w:tr>
        <w:tc>
          <w:tcPr>
            <w:tcW w:type="dxa" w:w="1928"/>
          </w:tcPr>
          <w:p>
            <w:pPr>
              <w:spacing w:after="20"/>
            </w:pPr>
            <w:r/>
            <w:r>
              <w:rPr>
                <w:b w:val="0"/>
                <w:sz w:val="18"/>
              </w:rPr>
              <w:t>Class balance</w:t>
            </w:r>
          </w:p>
        </w:tc>
        <w:tc>
          <w:tcPr>
            <w:tcW w:type="dxa" w:w="7710"/>
          </w:tcPr>
          <w:p>
            <w:pPr>
              <w:spacing w:after="20"/>
            </w:pPr>
            <w:r/>
            <w:r>
              <w:rPr>
                <w:b w:val="0"/>
                <w:sz w:val="18"/>
              </w:rPr>
              <w:t>64 stayed, 86 left (overall churn rate 57.3%)</w:t>
            </w:r>
          </w:p>
        </w:tc>
      </w:tr>
      <w:tr>
        <w:tc>
          <w:tcPr>
            <w:tcW w:type="dxa" w:w="1928"/>
            <w:shd w:val="clear" w:color="auto" w:fill="F5F8FA"/>
          </w:tcPr>
          <w:p>
            <w:pPr>
              <w:spacing w:after="20"/>
            </w:pPr>
            <w:r/>
            <w:r>
              <w:rPr>
                <w:b w:val="0"/>
                <w:sz w:val="18"/>
              </w:rPr>
              <w:t>Split</w:t>
            </w:r>
          </w:p>
        </w:tc>
        <w:tc>
          <w:tcPr>
            <w:tcW w:type="dxa" w:w="7710"/>
            <w:shd w:val="clear" w:color="auto" w:fill="F5F8FA"/>
          </w:tcPr>
          <w:p>
            <w:pPr>
              <w:spacing w:after="20"/>
            </w:pPr>
            <w:r/>
            <w:r>
              <w:rPr>
                <w:b w:val="0"/>
                <w:sz w:val="18"/>
              </w:rPr>
              <w:t>Random 70/30 (105 train / 45 test), plus a time-based validation on 2024-2025</w:t>
            </w:r>
          </w:p>
        </w:tc>
      </w:tr>
      <w:tr>
        <w:tc>
          <w:tcPr>
            <w:tcW w:type="dxa" w:w="1928"/>
          </w:tcPr>
          <w:p>
            <w:pPr>
              <w:spacing w:after="20"/>
            </w:pPr>
            <w:r/>
            <w:r>
              <w:rPr>
                <w:b w:val="0"/>
                <w:sz w:val="18"/>
              </w:rPr>
              <w:t>Personal data</w:t>
            </w:r>
          </w:p>
        </w:tc>
        <w:tc>
          <w:tcPr>
            <w:tcW w:type="dxa" w:w="7710"/>
          </w:tcPr>
          <w:p>
            <w:pPr>
              <w:spacing w:after="20"/>
            </w:pPr>
            <w:r/>
            <w:r>
              <w:rPr>
                <w:b w:val="0"/>
                <w:sz w:val="18"/>
              </w:rPr>
              <w:t>None at client level; no individual is identified</w:t>
            </w:r>
          </w:p>
        </w:tc>
      </w:tr>
    </w:tbl>
    <w:p>
      <w:pPr>
        <w:spacing w:after="40"/>
      </w:pPr>
    </w:p>
    <w:p>
      <w:pPr>
        <w:pStyle w:val="Heading2"/>
      </w:pPr>
      <w:r>
        <w:t>3. Method</w:t>
      </w:r>
    </w:p>
    <w:p>
      <w:pPr>
        <w:spacing w:after="120"/>
      </w:pPr>
      <w:r>
        <w:rPr>
          <w:b w:val="0"/>
          <w:i w:val="0"/>
          <w:sz w:val="21"/>
        </w:rPr>
        <w:t>Logistic regression on standardised features, trained by gradient descent in the repository's own standard-library script. An explainable model was chosen deliberately: the coefficients are the client-facing explanation. Features: AnnualFeeUSD, ServicesPurchased, NPS, ComplaintsLogged, AvgPaymentDays, EngagementDelayDays, PartnerHoursOnClient, AuditFindingsRaised, FeeChangePct.</w:t>
      </w:r>
    </w:p>
    <w:p>
      <w:pPr>
        <w:pStyle w:val="Heading2"/>
      </w:pPr>
      <w:r>
        <w:t>4. Performance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0B2E4F"/>
          </w:tcPr>
          <w:p>
            <w:r/>
            <w:r>
              <w:rPr>
                <w:b/>
                <w:color w:val="FFFFFF"/>
                <w:sz w:val="17"/>
              </w:rPr>
              <w:t>Metric</w:t>
            </w:r>
          </w:p>
        </w:tc>
        <w:tc>
          <w:tcPr>
            <w:tcW w:type="dxa" w:w="1928"/>
            <w:shd w:val="clear" w:color="auto" w:fill="0B2E4F"/>
          </w:tcPr>
          <w:p>
            <w:r/>
            <w:r>
              <w:rPr>
                <w:b/>
                <w:color w:val="FFFFFF"/>
                <w:sz w:val="17"/>
              </w:rPr>
              <w:t>Model</w:t>
            </w:r>
          </w:p>
        </w:tc>
        <w:tc>
          <w:tcPr>
            <w:tcW w:type="dxa" w:w="1474"/>
            <w:shd w:val="clear" w:color="auto" w:fill="0B2E4F"/>
          </w:tcPr>
          <w:p>
            <w:r/>
            <w:r>
              <w:rPr>
                <w:b/>
                <w:color w:val="FFFFFF"/>
                <w:sz w:val="17"/>
              </w:rPr>
              <w:t>Baseline</w:t>
            </w:r>
          </w:p>
        </w:tc>
        <w:tc>
          <w:tcPr>
            <w:tcW w:type="dxa" w:w="4309"/>
            <w:shd w:val="clear" w:color="auto" w:fill="0B2E4F"/>
          </w:tcPr>
          <w:p>
            <w:r/>
            <w:r>
              <w:rPr>
                <w:b/>
                <w:color w:val="FFFFFF"/>
                <w:sz w:val="17"/>
              </w:rPr>
              <w:t>Reading</w:t>
            </w:r>
          </w:p>
        </w:tc>
      </w:tr>
      <w:tr>
        <w:tc>
          <w:tcPr>
            <w:tcW w:type="dxa" w:w="1928"/>
          </w:tcPr>
          <w:p>
            <w:pPr>
              <w:spacing w:after="20"/>
            </w:pPr>
            <w:r/>
            <w:r>
              <w:rPr>
                <w:b w:val="0"/>
                <w:sz w:val="18"/>
              </w:rPr>
              <w:t>Accuracy</w:t>
            </w:r>
          </w:p>
        </w:tc>
        <w:tc>
          <w:tcPr>
            <w:tcW w:type="dxa" w:w="1928"/>
          </w:tcPr>
          <w:p>
            <w:pPr>
              <w:spacing w:after="20"/>
            </w:pPr>
            <w:r/>
            <w:r>
              <w:rPr>
                <w:b w:val="0"/>
                <w:sz w:val="18"/>
              </w:rPr>
              <w:t>68.9%</w:t>
            </w:r>
          </w:p>
        </w:tc>
        <w:tc>
          <w:tcPr>
            <w:tcW w:type="dxa" w:w="1474"/>
          </w:tcPr>
          <w:p>
            <w:pPr>
              <w:spacing w:after="20"/>
            </w:pPr>
            <w:r/>
            <w:r>
              <w:rPr>
                <w:b w:val="0"/>
                <w:sz w:val="18"/>
              </w:rPr>
              <w:t>51.1%</w:t>
            </w:r>
          </w:p>
        </w:tc>
        <w:tc>
          <w:tcPr>
            <w:tcW w:type="dxa" w:w="4309"/>
          </w:tcPr>
          <w:p>
            <w:pPr>
              <w:spacing w:after="20"/>
            </w:pPr>
            <w:r/>
            <w:r>
              <w:rPr>
                <w:b w:val="0"/>
                <w:sz w:val="18"/>
              </w:rPr>
              <w:t>+17.8 points better than always predicting 'stays'</w:t>
            </w:r>
          </w:p>
        </w:tc>
      </w:tr>
      <w:tr>
        <w:tc>
          <w:tcPr>
            <w:tcW w:type="dxa" w:w="1928"/>
            <w:shd w:val="clear" w:color="auto" w:fill="F5F8FA"/>
          </w:tcPr>
          <w:p>
            <w:pPr>
              <w:spacing w:after="20"/>
            </w:pPr>
            <w:r/>
            <w:r>
              <w:rPr>
                <w:b w:val="0"/>
                <w:sz w:val="18"/>
              </w:rPr>
              <w:t>Precision</w:t>
            </w:r>
          </w:p>
        </w:tc>
        <w:tc>
          <w:tcPr>
            <w:tcW w:type="dxa" w:w="1928"/>
            <w:shd w:val="clear" w:color="auto" w:fill="F5F8FA"/>
          </w:tcPr>
          <w:p>
            <w:pPr>
              <w:spacing w:after="20"/>
            </w:pPr>
            <w:r/>
            <w:r>
              <w:rPr>
                <w:b w:val="0"/>
                <w:sz w:val="18"/>
              </w:rPr>
              <w:t>71.4%</w:t>
            </w:r>
          </w:p>
        </w:tc>
        <w:tc>
          <w:tcPr>
            <w:tcW w:type="dxa" w:w="1474"/>
            <w:shd w:val="clear" w:color="auto" w:fill="F5F8FA"/>
          </w:tcPr>
          <w:p>
            <w:pPr>
              <w:spacing w:after="20"/>
            </w:pPr>
            <w:r/>
            <w:r>
              <w:rPr>
                <w:b w:val="0"/>
                <w:sz w:val="18"/>
              </w:rPr>
              <w:t>-</w:t>
            </w:r>
          </w:p>
        </w:tc>
        <w:tc>
          <w:tcPr>
            <w:tcW w:type="dxa" w:w="4309"/>
            <w:shd w:val="clear" w:color="auto" w:fill="F5F8FA"/>
          </w:tcPr>
          <w:p>
            <w:pPr>
              <w:spacing w:after="20"/>
            </w:pPr>
            <w:r/>
            <w:r>
              <w:rPr>
                <w:b w:val="0"/>
                <w:sz w:val="18"/>
              </w:rPr>
              <w:t>Of the clients flagged as likely to stay, this share did</w:t>
            </w:r>
          </w:p>
        </w:tc>
      </w:tr>
      <w:tr>
        <w:tc>
          <w:tcPr>
            <w:tcW w:type="dxa" w:w="1928"/>
          </w:tcPr>
          <w:p>
            <w:pPr>
              <w:spacing w:after="20"/>
            </w:pPr>
            <w:r/>
            <w:r>
              <w:rPr>
                <w:b w:val="0"/>
                <w:sz w:val="18"/>
              </w:rPr>
              <w:t>Recall</w:t>
            </w:r>
          </w:p>
        </w:tc>
        <w:tc>
          <w:tcPr>
            <w:tcW w:type="dxa" w:w="1928"/>
          </w:tcPr>
          <w:p>
            <w:pPr>
              <w:spacing w:after="20"/>
            </w:pPr>
            <w:r/>
            <w:r>
              <w:rPr>
                <w:b w:val="0"/>
                <w:sz w:val="18"/>
              </w:rPr>
              <w:t>65.2%</w:t>
            </w:r>
          </w:p>
        </w:tc>
        <w:tc>
          <w:tcPr>
            <w:tcW w:type="dxa" w:w="1474"/>
          </w:tcPr>
          <w:p>
            <w:pPr>
              <w:spacing w:after="20"/>
            </w:pPr>
            <w:r/>
            <w:r>
              <w:rPr>
                <w:b w:val="0"/>
                <w:sz w:val="18"/>
              </w:rPr>
              <w:t>-</w:t>
            </w:r>
          </w:p>
        </w:tc>
        <w:tc>
          <w:tcPr>
            <w:tcW w:type="dxa" w:w="4309"/>
          </w:tcPr>
          <w:p>
            <w:pPr>
              <w:spacing w:after="20"/>
            </w:pPr>
            <w:r/>
            <w:r>
              <w:rPr>
                <w:b w:val="0"/>
                <w:sz w:val="18"/>
              </w:rPr>
              <w:t>Of the clients who stayed, this share was flagged</w:t>
            </w:r>
          </w:p>
        </w:tc>
      </w:tr>
      <w:tr>
        <w:tc>
          <w:tcPr>
            <w:tcW w:type="dxa" w:w="1928"/>
            <w:shd w:val="clear" w:color="auto" w:fill="F5F8FA"/>
          </w:tcPr>
          <w:p>
            <w:pPr>
              <w:spacing w:after="20"/>
            </w:pPr>
            <w:r/>
            <w:r>
              <w:rPr>
                <w:b w:val="0"/>
                <w:sz w:val="18"/>
              </w:rPr>
              <w:t>Specificity</w:t>
            </w:r>
          </w:p>
        </w:tc>
        <w:tc>
          <w:tcPr>
            <w:tcW w:type="dxa" w:w="1928"/>
            <w:shd w:val="clear" w:color="auto" w:fill="F5F8FA"/>
          </w:tcPr>
          <w:p>
            <w:pPr>
              <w:spacing w:after="20"/>
            </w:pPr>
            <w:r/>
            <w:r>
              <w:rPr>
                <w:b w:val="0"/>
                <w:sz w:val="18"/>
              </w:rPr>
              <w:t>72.7%</w:t>
            </w:r>
          </w:p>
        </w:tc>
        <w:tc>
          <w:tcPr>
            <w:tcW w:type="dxa" w:w="1474"/>
            <w:shd w:val="clear" w:color="auto" w:fill="F5F8FA"/>
          </w:tcPr>
          <w:p>
            <w:pPr>
              <w:spacing w:after="20"/>
            </w:pPr>
            <w:r/>
            <w:r>
              <w:rPr>
                <w:b w:val="0"/>
                <w:sz w:val="18"/>
              </w:rPr>
              <w:t>-</w:t>
            </w:r>
          </w:p>
        </w:tc>
        <w:tc>
          <w:tcPr>
            <w:tcW w:type="dxa" w:w="4309"/>
            <w:shd w:val="clear" w:color="auto" w:fill="F5F8FA"/>
          </w:tcPr>
          <w:p>
            <w:pPr>
              <w:spacing w:after="20"/>
            </w:pPr>
            <w:r/>
            <w:r>
              <w:rPr>
                <w:b w:val="0"/>
                <w:sz w:val="18"/>
              </w:rPr>
              <w:t>Of the clients who left, this share was correctly not flagged as safe</w:t>
            </w:r>
          </w:p>
        </w:tc>
      </w:tr>
      <w:tr>
        <w:tc>
          <w:tcPr>
            <w:tcW w:type="dxa" w:w="1928"/>
          </w:tcPr>
          <w:p>
            <w:pPr>
              <w:spacing w:after="20"/>
            </w:pPr>
            <w:r/>
            <w:r>
              <w:rPr>
                <w:b w:val="0"/>
                <w:sz w:val="18"/>
              </w:rPr>
              <w:t>Confusion matrix (test)</w:t>
            </w:r>
          </w:p>
        </w:tc>
        <w:tc>
          <w:tcPr>
            <w:tcW w:type="dxa" w:w="1928"/>
          </w:tcPr>
          <w:p>
            <w:pPr>
              <w:spacing w:after="20"/>
            </w:pPr>
            <w:r/>
            <w:r>
              <w:rPr>
                <w:b w:val="0"/>
                <w:sz w:val="18"/>
              </w:rPr>
              <w:t>TP 15 / TN 16 / FP 6 / FN 8</w:t>
            </w:r>
          </w:p>
        </w:tc>
        <w:tc>
          <w:tcPr>
            <w:tcW w:type="dxa" w:w="1474"/>
          </w:tcPr>
          <w:p>
            <w:pPr>
              <w:spacing w:after="20"/>
            </w:pPr>
            <w:r/>
            <w:r>
              <w:rPr>
                <w:b w:val="0"/>
                <w:sz w:val="18"/>
              </w:rPr>
              <w:t>-</w:t>
            </w:r>
          </w:p>
        </w:tc>
        <w:tc>
          <w:tcPr>
            <w:tcW w:type="dxa" w:w="4309"/>
          </w:tcPr>
          <w:p>
            <w:pPr>
              <w:spacing w:after="20"/>
            </w:pPr>
            <w:r/>
            <w:r>
              <w:rPr>
                <w:b w:val="0"/>
                <w:sz w:val="18"/>
              </w:rPr>
              <w:t>On 45 client-years</w:t>
            </w:r>
          </w:p>
        </w:tc>
      </w:tr>
    </w:tbl>
    <w:p>
      <w:pPr>
        <w:spacing w:after="40"/>
      </w:pPr>
    </w:p>
    <w:p>
      <w:pPr>
        <w:spacing w:after="40"/>
      </w:pPr>
      <w:r>
        <w:rPr>
          <w:b/>
          <w:i w:val="0"/>
          <w:color w:val="0B2E4F"/>
          <w:sz w:val="18"/>
        </w:rPr>
        <w:t>Lift - the practical value of the score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268"/>
            <w:shd w:val="clear" w:color="auto" w:fill="0B2E4F"/>
          </w:tcPr>
          <w:p>
            <w:r/>
            <w:r>
              <w:rPr>
                <w:b/>
                <w:color w:val="FFFFFF"/>
                <w:sz w:val="17"/>
              </w:rPr>
              <w:t>Segment</w:t>
            </w:r>
          </w:p>
        </w:tc>
        <w:tc>
          <w:tcPr>
            <w:tcW w:type="dxa" w:w="1361"/>
            <w:shd w:val="clear" w:color="auto" w:fill="0B2E4F"/>
          </w:tcPr>
          <w:p>
            <w:r/>
            <w:r>
              <w:rPr>
                <w:b/>
                <w:color w:val="FFFFFF"/>
                <w:sz w:val="17"/>
              </w:rPr>
              <w:t>Clients</w:t>
            </w:r>
          </w:p>
        </w:tc>
        <w:tc>
          <w:tcPr>
            <w:tcW w:type="dxa" w:w="1474"/>
            <w:shd w:val="clear" w:color="auto" w:fill="0B2E4F"/>
          </w:tcPr>
          <w:p>
            <w:r/>
            <w:r>
              <w:rPr>
                <w:b/>
                <w:color w:val="FFFFFF"/>
                <w:sz w:val="17"/>
              </w:rPr>
              <w:t>Actually left</w:t>
            </w:r>
          </w:p>
        </w:tc>
        <w:tc>
          <w:tcPr>
            <w:tcW w:type="dxa" w:w="1474"/>
            <w:shd w:val="clear" w:color="auto" w:fill="0B2E4F"/>
          </w:tcPr>
          <w:p>
            <w:r/>
            <w:r>
              <w:rPr>
                <w:b/>
                <w:color w:val="FFFFFF"/>
                <w:sz w:val="17"/>
              </w:rPr>
              <w:t>Churn rate</w:t>
            </w:r>
          </w:p>
        </w:tc>
        <w:tc>
          <w:tcPr>
            <w:tcW w:type="dxa" w:w="1134"/>
            <w:shd w:val="clear" w:color="auto" w:fill="0B2E4F"/>
          </w:tcPr>
          <w:p>
            <w:r/>
            <w:r>
              <w:rPr>
                <w:b/>
                <w:color w:val="FFFFFF"/>
                <w:sz w:val="17"/>
              </w:rPr>
              <w:t>Lift</w:t>
            </w:r>
          </w:p>
        </w:tc>
      </w:tr>
      <w:tr>
        <w:tc>
          <w:tcPr>
            <w:tcW w:type="dxa" w:w="2268"/>
          </w:tcPr>
          <w:p>
            <w:pPr>
              <w:spacing w:after="20"/>
            </w:pPr>
            <w:r/>
            <w:r>
              <w:rPr>
                <w:b w:val="0"/>
                <w:sz w:val="18"/>
              </w:rPr>
              <w:t>Top decile (10%)</w:t>
            </w:r>
          </w:p>
        </w:tc>
        <w:tc>
          <w:tcPr>
            <w:tcW w:type="dxa" w:w="1361"/>
          </w:tcPr>
          <w:p>
            <w:pPr>
              <w:spacing w:after="20"/>
            </w:pPr>
            <w:r/>
            <w:r>
              <w:rPr>
                <w:b w:val="0"/>
                <w:sz w:val="18"/>
              </w:rPr>
              <w:t>15</w:t>
            </w:r>
          </w:p>
        </w:tc>
        <w:tc>
          <w:tcPr>
            <w:tcW w:type="dxa" w:w="1474"/>
          </w:tcPr>
          <w:p>
            <w:pPr>
              <w:spacing w:after="20"/>
            </w:pPr>
            <w:r/>
            <w:r>
              <w:rPr>
                <w:b w:val="0"/>
                <w:sz w:val="18"/>
              </w:rPr>
              <w:t>15</w:t>
            </w:r>
          </w:p>
        </w:tc>
        <w:tc>
          <w:tcPr>
            <w:tcW w:type="dxa" w:w="1474"/>
          </w:tcPr>
          <w:p>
            <w:pPr>
              <w:spacing w:after="20"/>
            </w:pPr>
            <w:r/>
            <w:r>
              <w:rPr>
                <w:b w:val="0"/>
                <w:sz w:val="18"/>
              </w:rPr>
              <w:t>100%</w:t>
            </w:r>
          </w:p>
        </w:tc>
        <w:tc>
          <w:tcPr>
            <w:tcW w:type="dxa" w:w="1134"/>
          </w:tcPr>
          <w:p>
            <w:pPr>
              <w:spacing w:after="20"/>
            </w:pPr>
            <w:r/>
            <w:r>
              <w:rPr>
                <w:b w:val="0"/>
                <w:sz w:val="18"/>
              </w:rPr>
              <w:t>1.74x</w:t>
            </w:r>
          </w:p>
        </w:tc>
      </w:tr>
      <w:tr>
        <w:tc>
          <w:tcPr>
            <w:tcW w:type="dxa" w:w="2268"/>
            <w:shd w:val="clear" w:color="auto" w:fill="F5F8FA"/>
          </w:tcPr>
          <w:p>
            <w:pPr>
              <w:spacing w:after="20"/>
            </w:pPr>
            <w:r/>
            <w:r>
              <w:rPr>
                <w:b w:val="0"/>
                <w:sz w:val="18"/>
              </w:rPr>
              <w:t>Top quintile (20%)</w:t>
            </w:r>
          </w:p>
        </w:tc>
        <w:tc>
          <w:tcPr>
            <w:tcW w:type="dxa" w:w="1361"/>
            <w:shd w:val="clear" w:color="auto" w:fill="F5F8FA"/>
          </w:tcPr>
          <w:p>
            <w:pPr>
              <w:spacing w:after="20"/>
            </w:pPr>
            <w:r/>
            <w:r>
              <w:rPr>
                <w:b w:val="0"/>
                <w:sz w:val="18"/>
              </w:rPr>
              <w:t>30</w:t>
            </w:r>
          </w:p>
        </w:tc>
        <w:tc>
          <w:tcPr>
            <w:tcW w:type="dxa" w:w="1474"/>
            <w:shd w:val="clear" w:color="auto" w:fill="F5F8FA"/>
          </w:tcPr>
          <w:p>
            <w:pPr>
              <w:spacing w:after="20"/>
            </w:pPr>
            <w:r/>
            <w:r>
              <w:rPr>
                <w:b w:val="0"/>
                <w:sz w:val="18"/>
              </w:rPr>
              <w:t>29</w:t>
            </w:r>
          </w:p>
        </w:tc>
        <w:tc>
          <w:tcPr>
            <w:tcW w:type="dxa" w:w="1474"/>
            <w:shd w:val="clear" w:color="auto" w:fill="F5F8FA"/>
          </w:tcPr>
          <w:p>
            <w:pPr>
              <w:spacing w:after="20"/>
            </w:pPr>
            <w:r/>
            <w:r>
              <w:rPr>
                <w:b w:val="0"/>
                <w:sz w:val="18"/>
              </w:rPr>
              <w:t>97%</w:t>
            </w:r>
          </w:p>
        </w:tc>
        <w:tc>
          <w:tcPr>
            <w:tcW w:type="dxa" w:w="1134"/>
            <w:shd w:val="clear" w:color="auto" w:fill="F5F8FA"/>
          </w:tcPr>
          <w:p>
            <w:pPr>
              <w:spacing w:after="20"/>
            </w:pPr>
            <w:r/>
            <w:r>
              <w:rPr>
                <w:b w:val="0"/>
                <w:sz w:val="18"/>
              </w:rPr>
              <w:t>1.69x</w:t>
            </w:r>
          </w:p>
        </w:tc>
      </w:tr>
      <w:tr>
        <w:tc>
          <w:tcPr>
            <w:tcW w:type="dxa" w:w="2268"/>
          </w:tcPr>
          <w:p>
            <w:pPr>
              <w:spacing w:after="20"/>
            </w:pPr>
            <w:r/>
            <w:r>
              <w:rPr>
                <w:b w:val="0"/>
                <w:sz w:val="18"/>
              </w:rPr>
              <w:t>Top third (33%)</w:t>
            </w:r>
          </w:p>
        </w:tc>
        <w:tc>
          <w:tcPr>
            <w:tcW w:type="dxa" w:w="1361"/>
          </w:tcPr>
          <w:p>
            <w:pPr>
              <w:spacing w:after="20"/>
            </w:pPr>
            <w:r/>
            <w:r>
              <w:rPr>
                <w:b w:val="0"/>
                <w:sz w:val="18"/>
              </w:rPr>
              <w:t>50</w:t>
            </w:r>
          </w:p>
        </w:tc>
        <w:tc>
          <w:tcPr>
            <w:tcW w:type="dxa" w:w="1474"/>
          </w:tcPr>
          <w:p>
            <w:pPr>
              <w:spacing w:after="20"/>
            </w:pPr>
            <w:r/>
            <w:r>
              <w:rPr>
                <w:b w:val="0"/>
                <w:sz w:val="18"/>
              </w:rPr>
              <w:t>44</w:t>
            </w:r>
          </w:p>
        </w:tc>
        <w:tc>
          <w:tcPr>
            <w:tcW w:type="dxa" w:w="1474"/>
          </w:tcPr>
          <w:p>
            <w:pPr>
              <w:spacing w:after="20"/>
            </w:pPr>
            <w:r/>
            <w:r>
              <w:rPr>
                <w:b w:val="0"/>
                <w:sz w:val="18"/>
              </w:rPr>
              <w:t>88%</w:t>
            </w:r>
          </w:p>
        </w:tc>
        <w:tc>
          <w:tcPr>
            <w:tcW w:type="dxa" w:w="1134"/>
          </w:tcPr>
          <w:p>
            <w:pPr>
              <w:spacing w:after="20"/>
            </w:pPr>
            <w:r/>
            <w:r>
              <w:rPr>
                <w:b w:val="0"/>
                <w:sz w:val="18"/>
              </w:rPr>
              <w:t>1.53x</w:t>
            </w:r>
          </w:p>
        </w:tc>
      </w:tr>
      <w:tr>
        <w:tc>
          <w:tcPr>
            <w:tcW w:type="dxa" w:w="2268"/>
            <w:shd w:val="clear" w:color="auto" w:fill="F5F8FA"/>
          </w:tcPr>
          <w:p>
            <w:pPr>
              <w:spacing w:after="20"/>
            </w:pPr>
            <w:r/>
            <w:r>
              <w:rPr>
                <w:b w:val="0"/>
                <w:sz w:val="18"/>
              </w:rPr>
              <w:t>Whole population</w:t>
            </w:r>
          </w:p>
        </w:tc>
        <w:tc>
          <w:tcPr>
            <w:tcW w:type="dxa" w:w="1361"/>
            <w:shd w:val="clear" w:color="auto" w:fill="F5F8FA"/>
          </w:tcPr>
          <w:p>
            <w:pPr>
              <w:spacing w:after="20"/>
            </w:pPr>
            <w:r/>
            <w:r>
              <w:rPr>
                <w:b w:val="0"/>
                <w:sz w:val="18"/>
              </w:rPr>
              <w:t>150</w:t>
            </w:r>
          </w:p>
        </w:tc>
        <w:tc>
          <w:tcPr>
            <w:tcW w:type="dxa" w:w="1474"/>
            <w:shd w:val="clear" w:color="auto" w:fill="F5F8FA"/>
          </w:tcPr>
          <w:p>
            <w:pPr>
              <w:spacing w:after="20"/>
            </w:pPr>
            <w:r/>
            <w:r>
              <w:rPr>
                <w:b w:val="0"/>
                <w:sz w:val="18"/>
              </w:rPr>
              <w:t>86</w:t>
            </w:r>
          </w:p>
        </w:tc>
        <w:tc>
          <w:tcPr>
            <w:tcW w:type="dxa" w:w="1474"/>
            <w:shd w:val="clear" w:color="auto" w:fill="F5F8FA"/>
          </w:tcPr>
          <w:p>
            <w:pPr>
              <w:spacing w:after="20"/>
            </w:pPr>
            <w:r/>
            <w:r>
              <w:rPr>
                <w:b w:val="0"/>
                <w:sz w:val="18"/>
              </w:rPr>
              <w:t>57%</w:t>
            </w:r>
          </w:p>
        </w:tc>
        <w:tc>
          <w:tcPr>
            <w:tcW w:type="dxa" w:w="1134"/>
            <w:shd w:val="clear" w:color="auto" w:fill="F5F8FA"/>
          </w:tcPr>
          <w:p>
            <w:pPr>
              <w:spacing w:after="20"/>
            </w:pPr>
            <w:r/>
            <w:r>
              <w:rPr>
                <w:b w:val="0"/>
                <w:sz w:val="18"/>
              </w:rPr>
              <w:t>1.00x</w:t>
            </w:r>
          </w:p>
        </w:tc>
      </w:tr>
    </w:tbl>
    <w:p>
      <w:pPr>
        <w:spacing w:after="40"/>
      </w:pPr>
    </w:p>
    <w:p>
      <w:pPr>
        <w:pStyle w:val="Heading2"/>
      </w:pPr>
      <w:r>
        <w:t>5. Limitations</w:t>
      </w:r>
    </w:p>
    <w:p>
      <w:pPr>
        <w:pStyle w:val="ListBullet"/>
        <w:spacing w:after="40"/>
      </w:pPr>
      <w:r>
        <w:rPr>
          <w:sz w:val="21"/>
        </w:rPr>
        <w:t>150 observations is a small sample. Standard errors are wide and the weights are indicative, not production-grade.</w:t>
      </w:r>
    </w:p>
    <w:p>
      <w:pPr>
        <w:pStyle w:val="ListBullet"/>
        <w:spacing w:after="40"/>
      </w:pPr>
      <w:r>
        <w:rPr>
          <w:sz w:val="21"/>
        </w:rPr>
        <w:t>The data covers 2021-2025 only; it does not span a full economic cycle.</w:t>
      </w:r>
    </w:p>
    <w:p>
      <w:pPr>
        <w:pStyle w:val="ListBullet"/>
        <w:spacing w:after="40"/>
      </w:pPr>
      <w:r>
        <w:rPr>
          <w:sz w:val="21"/>
        </w:rPr>
        <w:t>Correlation is not causation. A low NPS is associated with churn; raising the NPS may not prevent it.</w:t>
      </w:r>
    </w:p>
    <w:p>
      <w:pPr>
        <w:pStyle w:val="ListBullet"/>
        <w:spacing w:after="40"/>
      </w:pPr>
      <w:r>
        <w:rPr>
          <w:sz w:val="21"/>
        </w:rPr>
        <w:t>No client interviews were conducted, so reasons for leaving are inferred from behaviour.</w:t>
      </w:r>
    </w:p>
    <w:p>
      <w:pPr>
        <w:pStyle w:val="ListBullet"/>
        <w:spacing w:after="40"/>
      </w:pPr>
      <w:r>
        <w:rPr>
          <w:sz w:val="21"/>
        </w:rPr>
        <w:t>The random 70/30 split can leak time. The time-based validation (train 2021-2023, test 2024-2025) is the honest test and gives 73.3%.</w:t>
      </w:r>
    </w:p>
    <w:p>
      <w:pPr>
        <w:pStyle w:val="Heading2"/>
      </w:pPr>
      <w:r>
        <w:t>6. Fairness and bias</w:t>
      </w:r>
    </w:p>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color="auto" w:fill="0B2E4F"/>
          </w:tcPr>
          <w:p>
            <w:r/>
            <w:r>
              <w:rPr>
                <w:b/>
                <w:color w:val="FFFFFF"/>
                <w:sz w:val="17"/>
              </w:rPr>
              <w:t>Test</w:t>
            </w:r>
          </w:p>
        </w:tc>
        <w:tc>
          <w:tcPr>
            <w:tcW w:type="dxa" w:w="3402"/>
            <w:shd w:val="clear" w:color="auto" w:fill="0B2E4F"/>
          </w:tcPr>
          <w:p>
            <w:r/>
            <w:r>
              <w:rPr>
                <w:b/>
                <w:color w:val="FFFFFF"/>
                <w:sz w:val="17"/>
              </w:rPr>
              <w:t>Result</w:t>
            </w:r>
          </w:p>
        </w:tc>
        <w:tc>
          <w:tcPr>
            <w:tcW w:type="dxa" w:w="3628"/>
            <w:shd w:val="clear" w:color="auto" w:fill="0B2E4F"/>
          </w:tcPr>
          <w:p>
            <w:r/>
            <w:r>
              <w:rPr>
                <w:b/>
                <w:color w:val="FFFFFF"/>
                <w:sz w:val="17"/>
              </w:rPr>
              <w:t>Conclusion</w:t>
            </w:r>
          </w:p>
        </w:tc>
      </w:tr>
      <w:tr>
        <w:tc>
          <w:tcPr>
            <w:tcW w:type="dxa" w:w="2608"/>
          </w:tcPr>
          <w:p>
            <w:pPr>
              <w:spacing w:after="20"/>
            </w:pPr>
            <w:r/>
            <w:r>
              <w:rPr>
                <w:b w:val="0"/>
                <w:sz w:val="17"/>
              </w:rPr>
              <w:t>Are any sectors systematically over-flagged?</w:t>
            </w:r>
          </w:p>
        </w:tc>
        <w:tc>
          <w:tcPr>
            <w:tcW w:type="dxa" w:w="3402"/>
          </w:tcPr>
          <w:p>
            <w:pPr>
              <w:spacing w:after="20"/>
            </w:pPr>
            <w:r/>
            <w:r>
              <w:rPr>
                <w:b w:val="0"/>
                <w:sz w:val="17"/>
              </w:rPr>
              <w:t>Agriculture: 2 of 6 flagged high (33%); Energy: 1 of 2 flagged high (50%); Healthcare: 1 of 2 flagged high (50%); Hospitality: 1 of 1 flagged high (100%); Logistics: 0 of 1 flagged high (0%); Manufacturing: 5 of 9 flagged high (56%); Mining: 2 of 2 flagged high (100%); Public sector: 1 of 2 flagged high (50%); Retail: 2 of 2 flagged high (100%); Services: 0 of 1 flagged high (0%); Wholesale: 1 of 2 flagged high (50%)</w:t>
            </w:r>
          </w:p>
        </w:tc>
        <w:tc>
          <w:tcPr>
            <w:tcW w:type="dxa" w:w="3628"/>
          </w:tcPr>
          <w:p>
            <w:pPr>
              <w:spacing w:after="20"/>
            </w:pPr>
            <w:r/>
            <w:r>
              <w:rPr>
                <w:b w:val="0"/>
                <w:sz w:val="17"/>
              </w:rPr>
              <w:t>Reported above; no sector is flagged at more than twice its population share</w:t>
            </w:r>
          </w:p>
        </w:tc>
      </w:tr>
      <w:tr>
        <w:tc>
          <w:tcPr>
            <w:tcW w:type="dxa" w:w="2608"/>
            <w:shd w:val="clear" w:color="auto" w:fill="F5F8FA"/>
          </w:tcPr>
          <w:p>
            <w:pPr>
              <w:spacing w:after="20"/>
            </w:pPr>
            <w:r/>
            <w:r>
              <w:rPr>
                <w:b w:val="0"/>
                <w:sz w:val="17"/>
              </w:rPr>
              <w:t>Are small-fee clients over-flagged?</w:t>
            </w:r>
          </w:p>
        </w:tc>
        <w:tc>
          <w:tcPr>
            <w:tcW w:type="dxa" w:w="3402"/>
            <w:shd w:val="clear" w:color="auto" w:fill="F5F8FA"/>
          </w:tcPr>
          <w:p>
            <w:pPr>
              <w:spacing w:after="20"/>
            </w:pPr>
            <w:r/>
            <w:r>
              <w:rPr>
                <w:b w:val="0"/>
                <w:sz w:val="17"/>
              </w:rPr>
              <w:t>Smaller half by fee: 40% flagged high; larger half: 67% flagged high</w:t>
            </w:r>
          </w:p>
        </w:tc>
        <w:tc>
          <w:tcPr>
            <w:tcW w:type="dxa" w:w="3628"/>
            <w:shd w:val="clear" w:color="auto" w:fill="F5F8FA"/>
          </w:tcPr>
          <w:p>
            <w:pPr>
              <w:spacing w:after="20"/>
            </w:pPr>
            <w:r/>
            <w:r>
              <w:rPr>
                <w:b w:val="0"/>
                <w:sz w:val="17"/>
              </w:rPr>
              <w:t>Fee is the strongest weight in the model and it works against small clients. This is a real bias and it is disclosed: small clients are more likely to be flagged, so a partner must not treat a high score on a small client as a reason to stop investing in them.</w:t>
            </w:r>
          </w:p>
        </w:tc>
      </w:tr>
      <w:tr>
        <w:tc>
          <w:tcPr>
            <w:tcW w:type="dxa" w:w="2608"/>
          </w:tcPr>
          <w:p>
            <w:pPr>
              <w:spacing w:after="20"/>
            </w:pPr>
            <w:r/>
            <w:r>
              <w:rPr>
                <w:b w:val="0"/>
                <w:sz w:val="17"/>
              </w:rPr>
              <w:t>Is any client excluded?</w:t>
            </w:r>
          </w:p>
        </w:tc>
        <w:tc>
          <w:tcPr>
            <w:tcW w:type="dxa" w:w="3402"/>
          </w:tcPr>
          <w:p>
            <w:pPr>
              <w:spacing w:after="20"/>
            </w:pPr>
            <w:r/>
            <w:r>
              <w:rPr>
                <w:b w:val="0"/>
                <w:sz w:val="17"/>
              </w:rPr>
              <w:t>No - all 30 clients are scored</w:t>
            </w:r>
          </w:p>
        </w:tc>
        <w:tc>
          <w:tcPr>
            <w:tcW w:type="dxa" w:w="3628"/>
          </w:tcPr>
          <w:p>
            <w:pPr>
              <w:spacing w:after="20"/>
            </w:pPr>
            <w:r/>
            <w:r>
              <w:rPr>
                <w:b w:val="0"/>
                <w:sz w:val="17"/>
              </w:rPr>
              <w:t>No coverage bias</w:t>
            </w:r>
          </w:p>
        </w:tc>
      </w:tr>
    </w:tbl>
    <w:p>
      <w:pPr>
        <w:spacing w:after="40"/>
      </w:pPr>
    </w:p>
    <w:p>
      <w:pPr>
        <w:pStyle w:val="Heading2"/>
      </w:pPr>
      <w:r>
        <w:t>7. Use rules</w:t>
      </w:r>
    </w:p>
    <w:p>
      <w:pPr>
        <w:pStyle w:val="ListBullet"/>
        <w:spacing w:after="40"/>
      </w:pPr>
      <w:r>
        <w:rPr>
          <w:sz w:val="21"/>
        </w:rPr>
        <w:t>A high score means 'call this client this quarter', not 'let this client go'.</w:t>
      </w:r>
    </w:p>
    <w:p>
      <w:pPr>
        <w:pStyle w:val="ListBullet"/>
        <w:spacing w:after="40"/>
      </w:pPr>
      <w:r>
        <w:rPr>
          <w:sz w:val="21"/>
        </w:rPr>
        <w:t>Where the score and the partner's judgement disagree, the partner's judgement wins and the disagreement is recorded - it is training data for the next version.</w:t>
      </w:r>
    </w:p>
    <w:p>
      <w:pPr>
        <w:pStyle w:val="ListBullet"/>
        <w:spacing w:after="40"/>
      </w:pPr>
      <w:r>
        <w:rPr>
          <w:sz w:val="21"/>
        </w:rPr>
        <w:t>The score is never shared with the client, and never used to price a renewal.</w:t>
      </w:r>
    </w:p>
    <w:p>
      <w:pPr>
        <w:pStyle w:val="ListBullet"/>
        <w:spacing w:after="40"/>
      </w:pPr>
      <w:r>
        <w:rPr>
          <w:sz w:val="21"/>
        </w:rPr>
        <w:t>Ambiguous situations (a client mid-dispute, a client changing ownership) are decided by a partner, not by the model.</w:t>
      </w:r>
    </w:p>
    <w:p>
      <w:pPr>
        <w:pStyle w:val="Heading2"/>
      </w:pPr>
      <w:r>
        <w:t>8. Monitoring</w:t>
      </w:r>
    </w:p>
    <w:tbl>
      <w:tblPr>
        <w:tblStyle w:val="TableGrid"/>
        <w:tblW w:type="auto" w:w="0"/>
        <w:jc w:val="center"/>
        <w:tblLook w:firstColumn="1" w:firstRow="1" w:lastColumn="0" w:lastRow="0" w:noHBand="0" w:noVBand="1" w:val="04A0"/>
      </w:tblPr>
      <w:tblGrid>
        <w:gridCol w:w="3324"/>
        <w:gridCol w:w="3324"/>
        <w:gridCol w:w="3324"/>
      </w:tblGrid>
      <w:tr>
        <w:tc>
          <w:tcPr>
            <w:tcW w:type="dxa" w:w="3061"/>
            <w:shd w:val="clear" w:color="auto" w:fill="0B2E4F"/>
          </w:tcPr>
          <w:p>
            <w:r/>
            <w:r>
              <w:rPr>
                <w:b/>
                <w:color w:val="FFFFFF"/>
                <w:sz w:val="17"/>
              </w:rPr>
              <w:t>Check</w:t>
            </w:r>
          </w:p>
        </w:tc>
        <w:tc>
          <w:tcPr>
            <w:tcW w:type="dxa" w:w="1474"/>
            <w:shd w:val="clear" w:color="auto" w:fill="0B2E4F"/>
          </w:tcPr>
          <w:p>
            <w:r/>
            <w:r>
              <w:rPr>
                <w:b/>
                <w:color w:val="FFFFFF"/>
                <w:sz w:val="17"/>
              </w:rPr>
              <w:t>Frequency</w:t>
            </w:r>
          </w:p>
        </w:tc>
        <w:tc>
          <w:tcPr>
            <w:tcW w:type="dxa" w:w="5102"/>
            <w:shd w:val="clear" w:color="auto" w:fill="0B2E4F"/>
          </w:tcPr>
          <w:p>
            <w:r/>
            <w:r>
              <w:rPr>
                <w:b/>
                <w:color w:val="FFFFFF"/>
                <w:sz w:val="17"/>
              </w:rPr>
              <w:t>Trigger for action</w:t>
            </w:r>
          </w:p>
        </w:tc>
      </w:tr>
      <w:tr>
        <w:tc>
          <w:tcPr>
            <w:tcW w:type="dxa" w:w="3061"/>
          </w:tcPr>
          <w:p>
            <w:pPr>
              <w:spacing w:after="20"/>
            </w:pPr>
            <w:r/>
            <w:r>
              <w:rPr>
                <w:b w:val="0"/>
                <w:sz w:val="18"/>
              </w:rPr>
              <w:t>Accuracy against actual renewals</w:t>
            </w:r>
          </w:p>
        </w:tc>
        <w:tc>
          <w:tcPr>
            <w:tcW w:type="dxa" w:w="1474"/>
          </w:tcPr>
          <w:p>
            <w:pPr>
              <w:spacing w:after="20"/>
            </w:pPr>
            <w:r/>
            <w:r>
              <w:rPr>
                <w:b w:val="0"/>
                <w:sz w:val="18"/>
              </w:rPr>
              <w:t>Quarterly</w:t>
            </w:r>
          </w:p>
        </w:tc>
        <w:tc>
          <w:tcPr>
            <w:tcW w:type="dxa" w:w="5102"/>
          </w:tcPr>
          <w:p>
            <w:pPr>
              <w:spacing w:after="20"/>
            </w:pPr>
            <w:r/>
            <w:r>
              <w:rPr>
                <w:b w:val="0"/>
                <w:sz w:val="18"/>
              </w:rPr>
              <w:t>Retrain if accuracy falls more than 5 points below 68.9%</w:t>
            </w:r>
          </w:p>
        </w:tc>
      </w:tr>
      <w:tr>
        <w:tc>
          <w:tcPr>
            <w:tcW w:type="dxa" w:w="3061"/>
            <w:shd w:val="clear" w:color="auto" w:fill="F5F8FA"/>
          </w:tcPr>
          <w:p>
            <w:pPr>
              <w:spacing w:after="20"/>
            </w:pPr>
            <w:r/>
            <w:r>
              <w:rPr>
                <w:b w:val="0"/>
                <w:sz w:val="18"/>
              </w:rPr>
              <w:t>Drift in the fee and NPS distributions</w:t>
            </w:r>
          </w:p>
        </w:tc>
        <w:tc>
          <w:tcPr>
            <w:tcW w:type="dxa" w:w="1474"/>
            <w:shd w:val="clear" w:color="auto" w:fill="F5F8FA"/>
          </w:tcPr>
          <w:p>
            <w:pPr>
              <w:spacing w:after="20"/>
            </w:pPr>
            <w:r/>
            <w:r>
              <w:rPr>
                <w:b w:val="0"/>
                <w:sz w:val="18"/>
              </w:rPr>
              <w:t>Quarterly</w:t>
            </w:r>
          </w:p>
        </w:tc>
        <w:tc>
          <w:tcPr>
            <w:tcW w:type="dxa" w:w="5102"/>
            <w:shd w:val="clear" w:color="auto" w:fill="F5F8FA"/>
          </w:tcPr>
          <w:p>
            <w:pPr>
              <w:spacing w:after="20"/>
            </w:pPr>
            <w:r/>
            <w:r>
              <w:rPr>
                <w:b w:val="0"/>
                <w:sz w:val="18"/>
              </w:rPr>
              <w:t>Retrain if either shifts by more than one standard deviation</w:t>
            </w:r>
          </w:p>
        </w:tc>
      </w:tr>
      <w:tr>
        <w:tc>
          <w:tcPr>
            <w:tcW w:type="dxa" w:w="3061"/>
          </w:tcPr>
          <w:p>
            <w:pPr>
              <w:spacing w:after="20"/>
            </w:pPr>
            <w:r/>
            <w:r>
              <w:rPr>
                <w:b w:val="0"/>
                <w:sz w:val="18"/>
              </w:rPr>
              <w:t>Feature availability and quality</w:t>
            </w:r>
          </w:p>
        </w:tc>
        <w:tc>
          <w:tcPr>
            <w:tcW w:type="dxa" w:w="1474"/>
          </w:tcPr>
          <w:p>
            <w:pPr>
              <w:spacing w:after="20"/>
            </w:pPr>
            <w:r/>
            <w:r>
              <w:rPr>
                <w:b w:val="0"/>
                <w:sz w:val="18"/>
              </w:rPr>
              <w:t>Monthly</w:t>
            </w:r>
          </w:p>
        </w:tc>
        <w:tc>
          <w:tcPr>
            <w:tcW w:type="dxa" w:w="5102"/>
          </w:tcPr>
          <w:p>
            <w:pPr>
              <w:spacing w:after="20"/>
            </w:pPr>
            <w:r/>
            <w:r>
              <w:rPr>
                <w:b w:val="0"/>
                <w:sz w:val="18"/>
              </w:rPr>
              <w:t>Investigate any missing feature before scoring</w:t>
            </w:r>
          </w:p>
        </w:tc>
      </w:tr>
      <w:tr>
        <w:tc>
          <w:tcPr>
            <w:tcW w:type="dxa" w:w="3061"/>
            <w:shd w:val="clear" w:color="auto" w:fill="F5F8FA"/>
          </w:tcPr>
          <w:p>
            <w:pPr>
              <w:spacing w:after="20"/>
            </w:pPr>
            <w:r/>
            <w:r>
              <w:rPr>
                <w:b w:val="0"/>
                <w:sz w:val="18"/>
              </w:rPr>
              <w:t>Full retrain</w:t>
            </w:r>
          </w:p>
        </w:tc>
        <w:tc>
          <w:tcPr>
            <w:tcW w:type="dxa" w:w="1474"/>
            <w:shd w:val="clear" w:color="auto" w:fill="F5F8FA"/>
          </w:tcPr>
          <w:p>
            <w:pPr>
              <w:spacing w:after="20"/>
            </w:pPr>
            <w:r/>
            <w:r>
              <w:rPr>
                <w:b w:val="0"/>
                <w:sz w:val="18"/>
              </w:rPr>
              <w:t>Annually</w:t>
            </w:r>
          </w:p>
        </w:tc>
        <w:tc>
          <w:tcPr>
            <w:tcW w:type="dxa" w:w="5102"/>
            <w:shd w:val="clear" w:color="auto" w:fill="F5F8FA"/>
          </w:tcPr>
          <w:p>
            <w:pPr>
              <w:spacing w:after="20"/>
            </w:pPr>
            <w:r/>
            <w:r>
              <w:rPr>
                <w:b w:val="0"/>
                <w:sz w:val="18"/>
              </w:rPr>
              <w:t>Or on any material change to the service mix</w:t>
            </w:r>
          </w:p>
        </w:tc>
      </w:tr>
      <w:tr>
        <w:tc>
          <w:tcPr>
            <w:tcW w:type="dxa" w:w="3061"/>
          </w:tcPr>
          <w:p>
            <w:pPr>
              <w:spacing w:after="20"/>
            </w:pPr>
            <w:r/>
            <w:r>
              <w:rPr>
                <w:b w:val="0"/>
                <w:sz w:val="18"/>
              </w:rPr>
              <w:t>Version and owner recorded</w:t>
            </w:r>
          </w:p>
        </w:tc>
        <w:tc>
          <w:tcPr>
            <w:tcW w:type="dxa" w:w="1474"/>
          </w:tcPr>
          <w:p>
            <w:pPr>
              <w:spacing w:after="20"/>
            </w:pPr>
            <w:r/>
            <w:r>
              <w:rPr>
                <w:b w:val="0"/>
                <w:sz w:val="18"/>
              </w:rPr>
              <w:t>Every release</w:t>
            </w:r>
          </w:p>
        </w:tc>
        <w:tc>
          <w:tcPr>
            <w:tcW w:type="dxa" w:w="5102"/>
          </w:tcPr>
          <w:p>
            <w:pPr>
              <w:spacing w:after="20"/>
            </w:pPr>
            <w:r/>
            <w:r>
              <w:rPr>
                <w:b w:val="0"/>
                <w:sz w:val="18"/>
              </w:rPr>
              <w:t>No unversioned model is used in client work</w:t>
            </w:r>
          </w:p>
        </w:tc>
      </w:tr>
    </w:tbl>
    <w:p>
      <w:pPr>
        <w:spacing w:after="40"/>
      </w:pPr>
    </w:p>
    <w:p>
      <w:pPr>
        <w:pStyle w:val="Heading2"/>
      </w:pPr>
      <w:r>
        <w:t>9. Version</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Model ID</w:t>
            </w:r>
          </w:p>
        </w:tc>
        <w:tc>
          <w:tcPr>
            <w:tcW w:type="dxa" w:w="6803"/>
          </w:tcPr>
          <w:p>
            <w:r/>
            <w:r>
              <w:rPr>
                <w:sz w:val="19"/>
              </w:rPr>
              <w:t>v1.0-logreg-2025-10</w:t>
            </w:r>
          </w:p>
        </w:tc>
      </w:tr>
      <w:tr>
        <w:tc>
          <w:tcPr>
            <w:tcW w:type="dxa" w:w="2608"/>
            <w:shd w:val="clear" w:color="auto" w:fill="EAF1F6"/>
          </w:tcPr>
          <w:p>
            <w:r/>
            <w:r>
              <w:rPr>
                <w:b/>
                <w:sz w:val="19"/>
              </w:rPr>
              <w:t>Training date</w:t>
            </w:r>
          </w:p>
        </w:tc>
        <w:tc>
          <w:tcPr>
            <w:tcW w:type="dxa" w:w="6803"/>
          </w:tcPr>
          <w:p>
            <w:r/>
            <w:r>
              <w:rPr>
                <w:sz w:val="19"/>
              </w:rPr>
              <w:t>2025-10-08</w:t>
            </w:r>
          </w:p>
        </w:tc>
      </w:tr>
      <w:tr>
        <w:tc>
          <w:tcPr>
            <w:tcW w:type="dxa" w:w="2608"/>
            <w:shd w:val="clear" w:color="auto" w:fill="EAF1F6"/>
          </w:tcPr>
          <w:p>
            <w:r/>
            <w:r>
              <w:rPr>
                <w:b/>
                <w:sz w:val="19"/>
              </w:rPr>
              <w:t>Script</w:t>
            </w:r>
          </w:p>
        </w:tc>
        <w:tc>
          <w:tcPr>
            <w:tcW w:type="dxa" w:w="6803"/>
          </w:tcPr>
          <w:p>
            <w:r/>
            <w:r>
              <w:rPr>
                <w:sz w:val="19"/>
              </w:rPr>
              <w:t>scripts/ml_churn_model.py (standard library, auditable line by line)</w:t>
            </w:r>
          </w:p>
        </w:tc>
      </w:tr>
      <w:tr>
        <w:tc>
          <w:tcPr>
            <w:tcW w:type="dxa" w:w="2608"/>
            <w:shd w:val="clear" w:color="auto" w:fill="EAF1F6"/>
          </w:tcPr>
          <w:p>
            <w:r/>
            <w:r>
              <w:rPr>
                <w:b/>
                <w:sz w:val="19"/>
              </w:rPr>
              <w:t>Build harness</w:t>
            </w:r>
          </w:p>
        </w:tc>
        <w:tc>
          <w:tcPr>
            <w:tcW w:type="dxa" w:w="6803"/>
          </w:tcPr>
          <w:p>
            <w:r/>
            <w:r>
              <w:rPr>
                <w:sz w:val="19"/>
              </w:rPr>
              <w:t>scripts/submission_build/ml.py</w:t>
            </w:r>
          </w:p>
        </w:tc>
      </w:tr>
      <w:tr>
        <w:tc>
          <w:tcPr>
            <w:tcW w:type="dxa" w:w="2608"/>
            <w:shd w:val="clear" w:color="auto" w:fill="EAF1F6"/>
          </w:tcPr>
          <w:p>
            <w:r/>
            <w:r>
              <w:rPr>
                <w:b/>
                <w:sz w:val="19"/>
              </w:rPr>
              <w:t>Owner</w:t>
            </w:r>
          </w:p>
        </w:tc>
        <w:tc>
          <w:tcPr>
            <w:tcW w:type="dxa" w:w="6803"/>
          </w:tcPr>
          <w:p>
            <w:r/>
            <w:r>
              <w:rPr>
                <w:sz w:val="19"/>
              </w:rPr>
              <w:t>Maxhub analytics</w:t>
            </w:r>
          </w:p>
        </w:tc>
      </w:tr>
      <w:tr>
        <w:tc>
          <w:tcPr>
            <w:tcW w:type="dxa" w:w="2608"/>
            <w:shd w:val="clear" w:color="auto" w:fill="EAF1F6"/>
          </w:tcPr>
          <w:p>
            <w:r/>
            <w:r>
              <w:rPr>
                <w:b/>
                <w:sz w:val="19"/>
              </w:rPr>
              <w:t>Approver</w:t>
            </w:r>
          </w:p>
        </w:tc>
        <w:tc>
          <w:tcPr>
            <w:tcW w:type="dxa" w:w="6803"/>
          </w:tcPr>
          <w:p>
            <w:r/>
            <w:r>
              <w:rPr>
                <w:sz w:val="19"/>
              </w:rPr>
              <w:t>Engagement partner</w:t>
            </w:r>
          </w:p>
        </w:tc>
      </w:tr>
    </w:tbl>
    <w:p>
      <w:pPr>
        <w:spacing w:after="40"/>
      </w:pPr>
    </w:p>
    <w:p>
      <w:pPr>
        <w:spacing w:after="120"/>
      </w:pPr>
      <w:r>
        <w:rPr>
          <w:b/>
          <w:i w:val="0"/>
          <w:sz w:val="18"/>
        </w:rPr>
        <w:t>Known defect disclosed: the shipped scored CSV names its output column ChurnProbability, but the model returns the probability of staying. Any consumer using that column as a churn probability would invert the ranking. This submission computes P(churn) = 1 - P(stay) and renames the column; the repository script should be corrected at source.</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model governance pack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