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8B8B"/>
          <w:sz w:val="18"/>
        </w:rPr>
        <w:t>MAXHUB PVT LTD</w:t>
      </w:r>
    </w:p>
    <w:p>
      <w:pPr>
        <w:pStyle w:val="Heading1"/>
        <w:spacing w:after="40"/>
      </w:pPr>
      <w:r>
        <w:t>Service blueprint - prediction models as a sellable service</w:t>
      </w:r>
    </w:p>
    <w:p>
      <w:pPr>
        <w:spacing w:after="120"/>
      </w:pPr>
      <w:r>
        <w:rPr>
          <w:b w:val="0"/>
          <w:i/>
          <w:color w:val="595959"/>
          <w:sz w:val="22"/>
        </w:rPr>
        <w:t>Capstone 4 deliverable 6 - the offer, the delivery process and the price</w:t>
      </w:r>
    </w:p>
    <w:p>
      <w:pPr>
        <w:spacing w:before="80"/>
      </w:pPr>
      <w:r>
        <w:rPr>
          <w:color w:val="595959"/>
          <w:sz w:val="17"/>
        </w:rPr>
        <w:t>Client: Mhondoro Manufacturing (Pvt) Ltd    |    Period: 1 January 2024 to 30 September 2025    |    Issued: 08 October 2025    |    Reference: MX-2025-SB01    |    Classification: Confidential</w:t>
      </w:r>
    </w:p>
    <w:p>
      <w:pPr>
        <w:spacing w:before="0" w:after="160"/>
        <w:pBdr>
          <w:bottom w:val="single" w:sz="8" w:color="008B8B"/>
        </w:pBdr>
      </w:pPr>
    </w:p>
    <w:p>
      <w:pPr>
        <w:pStyle w:val="Heading2"/>
      </w:pPr>
      <w:r>
        <w:t>1. The offer, in the client's language</w:t>
      </w:r>
    </w:p>
    <w:p>
      <w:pPr>
        <w:spacing w:after="120"/>
      </w:pPr>
      <w:r>
        <w:rPr>
          <w:b w:val="0"/>
          <w:i w:val="0"/>
          <w:sz w:val="21"/>
        </w:rPr>
        <w:t>"We will tell you which three clients to call this quarter, and show you the $3,092,421 of fees that protects." That is the product. The logistic regression is how we make it, not what we sell.</w:t>
      </w:r>
    </w:p>
    <w:p>
      <w:pPr>
        <w:pStyle w:val="Heading2"/>
      </w:pPr>
      <w:r>
        <w:t>2. Pricing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102"/>
            <w:shd w:val="clear" w:color="auto" w:fill="0B2E4F"/>
          </w:tcPr>
          <w:p>
            <w:r/>
            <w:r>
              <w:rPr>
                <w:b/>
                <w:color w:val="FFFFFF"/>
                <w:sz w:val="17"/>
              </w:rPr>
              <w:t>Component</w:t>
            </w:r>
          </w:p>
        </w:tc>
        <w:tc>
          <w:tcPr>
            <w:tcW w:type="dxa" w:w="1474"/>
            <w:shd w:val="clear" w:color="auto" w:fill="0B2E4F"/>
          </w:tcPr>
          <w:p>
            <w:r/>
            <w:r>
              <w:rPr>
                <w:b/>
                <w:color w:val="FFFFFF"/>
                <w:sz w:val="17"/>
              </w:rPr>
              <w:t>Basis</w:t>
            </w:r>
          </w:p>
        </w:tc>
        <w:tc>
          <w:tcPr>
            <w:tcW w:type="dxa" w:w="1474"/>
            <w:shd w:val="clear" w:color="auto" w:fill="0B2E4F"/>
          </w:tcPr>
          <w:p>
            <w:r/>
            <w:r>
              <w:rPr>
                <w:b/>
                <w:color w:val="FFFFFF"/>
                <w:sz w:val="17"/>
              </w:rPr>
              <w:t>Low</w:t>
            </w:r>
          </w:p>
        </w:tc>
        <w:tc>
          <w:tcPr>
            <w:tcW w:type="dxa" w:w="1587"/>
            <w:shd w:val="clear" w:color="auto" w:fill="0B2E4F"/>
          </w:tcPr>
          <w:p>
            <w:r/>
            <w:r>
              <w:rPr>
                <w:b/>
                <w:color w:val="FFFFFF"/>
                <w:sz w:val="17"/>
              </w:rPr>
              <w:t>High</w:t>
            </w:r>
          </w:p>
        </w:tc>
      </w:tr>
      <w:tr>
        <w:tc>
          <w:tcPr>
            <w:tcW w:type="dxa" w:w="5102"/>
          </w:tcPr>
          <w:p>
            <w:pPr>
              <w:spacing w:after="20"/>
            </w:pPr>
            <w:r/>
            <w:r>
              <w:rPr>
                <w:b w:val="0"/>
                <w:sz w:val="18"/>
              </w:rPr>
              <w:t>Discovery and data review</w:t>
            </w:r>
          </w:p>
        </w:tc>
        <w:tc>
          <w:tcPr>
            <w:tcW w:type="dxa" w:w="1474"/>
          </w:tcPr>
          <w:p>
            <w:pPr>
              <w:spacing w:after="20"/>
            </w:pPr>
            <w:r/>
            <w:r>
              <w:rPr>
                <w:b w:val="0"/>
                <w:sz w:val="18"/>
              </w:rPr>
              <w:t>Fixed</w:t>
            </w:r>
          </w:p>
        </w:tc>
        <w:tc>
          <w:tcPr>
            <w:tcW w:type="dxa" w:w="1474"/>
          </w:tcPr>
          <w:p>
            <w:pPr>
              <w:spacing w:after="20"/>
              <w:jc w:val="right"/>
            </w:pPr>
            <w:r/>
            <w:r>
              <w:rPr>
                <w:b w:val="0"/>
                <w:sz w:val="18"/>
              </w:rPr>
              <w:t>$1,500</w:t>
            </w:r>
          </w:p>
        </w:tc>
        <w:tc>
          <w:tcPr>
            <w:tcW w:type="dxa" w:w="1587"/>
          </w:tcPr>
          <w:p>
            <w:pPr>
              <w:spacing w:after="20"/>
              <w:jc w:val="right"/>
            </w:pPr>
            <w:r/>
            <w:r>
              <w:rPr>
                <w:b w:val="0"/>
                <w:sz w:val="18"/>
              </w:rPr>
              <w:t>$1,500</w:t>
            </w:r>
          </w:p>
        </w:tc>
      </w:tr>
      <w:tr>
        <w:tc>
          <w:tcPr>
            <w:tcW w:type="dxa" w:w="5102"/>
            <w:shd w:val="clear" w:color="auto" w:fill="F5F8FA"/>
          </w:tcPr>
          <w:p>
            <w:pPr>
              <w:spacing w:after="20"/>
            </w:pPr>
            <w:r/>
            <w:r>
              <w:rPr>
                <w:b w:val="0"/>
                <w:sz w:val="18"/>
              </w:rPr>
              <w:t>Model build - one use case (churn, default, forecast or anomaly)</w:t>
            </w:r>
          </w:p>
        </w:tc>
        <w:tc>
          <w:tcPr>
            <w:tcW w:type="dxa" w:w="1474"/>
            <w:shd w:val="clear" w:color="auto" w:fill="F5F8FA"/>
          </w:tcPr>
          <w:p>
            <w:pPr>
              <w:spacing w:after="20"/>
            </w:pPr>
            <w:r/>
            <w:r>
              <w:rPr>
                <w:b w:val="0"/>
                <w:sz w:val="18"/>
              </w:rPr>
              <w:t>Fixed</w:t>
            </w:r>
          </w:p>
        </w:tc>
        <w:tc>
          <w:tcPr>
            <w:tcW w:type="dxa" w:w="1474"/>
            <w:shd w:val="clear" w:color="auto" w:fill="F5F8FA"/>
          </w:tcPr>
          <w:p>
            <w:pPr>
              <w:spacing w:after="20"/>
              <w:jc w:val="right"/>
            </w:pPr>
            <w:r/>
            <w:r>
              <w:rPr>
                <w:b w:val="0"/>
                <w:sz w:val="18"/>
              </w:rPr>
              <w:t>$6,000</w:t>
            </w:r>
          </w:p>
        </w:tc>
        <w:tc>
          <w:tcPr>
            <w:tcW w:type="dxa" w:w="1587"/>
            <w:shd w:val="clear" w:color="auto" w:fill="F5F8FA"/>
          </w:tcPr>
          <w:p>
            <w:pPr>
              <w:spacing w:after="20"/>
              <w:jc w:val="right"/>
            </w:pPr>
            <w:r/>
            <w:r>
              <w:rPr>
                <w:b w:val="0"/>
                <w:sz w:val="18"/>
              </w:rPr>
              <w:t>$12,000</w:t>
            </w:r>
          </w:p>
        </w:tc>
      </w:tr>
      <w:tr>
        <w:tc>
          <w:tcPr>
            <w:tcW w:type="dxa" w:w="5102"/>
          </w:tcPr>
          <w:p>
            <w:pPr>
              <w:spacing w:after="20"/>
            </w:pPr>
            <w:r/>
            <w:r>
              <w:rPr>
                <w:b w:val="0"/>
                <w:sz w:val="18"/>
              </w:rPr>
              <w:t>Power BI deployment of the scored output</w:t>
            </w:r>
          </w:p>
        </w:tc>
        <w:tc>
          <w:tcPr>
            <w:tcW w:type="dxa" w:w="1474"/>
          </w:tcPr>
          <w:p>
            <w:pPr>
              <w:spacing w:after="20"/>
            </w:pPr>
            <w:r/>
            <w:r>
              <w:rPr>
                <w:b w:val="0"/>
                <w:sz w:val="18"/>
              </w:rPr>
              <w:t>Fixed</w:t>
            </w:r>
          </w:p>
        </w:tc>
        <w:tc>
          <w:tcPr>
            <w:tcW w:type="dxa" w:w="1474"/>
          </w:tcPr>
          <w:p>
            <w:pPr>
              <w:spacing w:after="20"/>
              <w:jc w:val="right"/>
            </w:pPr>
            <w:r/>
            <w:r>
              <w:rPr>
                <w:b w:val="0"/>
                <w:sz w:val="18"/>
              </w:rPr>
              <w:t>$3,000</w:t>
            </w:r>
          </w:p>
        </w:tc>
        <w:tc>
          <w:tcPr>
            <w:tcW w:type="dxa" w:w="1587"/>
          </w:tcPr>
          <w:p>
            <w:pPr>
              <w:spacing w:after="20"/>
              <w:jc w:val="right"/>
            </w:pPr>
            <w:r/>
            <w:r>
              <w:rPr>
                <w:b w:val="0"/>
                <w:sz w:val="18"/>
              </w:rPr>
              <w:t>$6,000</w:t>
            </w:r>
          </w:p>
        </w:tc>
      </w:tr>
      <w:tr>
        <w:tc>
          <w:tcPr>
            <w:tcW w:type="dxa" w:w="5102"/>
            <w:shd w:val="clear" w:color="auto" w:fill="F5F8FA"/>
          </w:tcPr>
          <w:p>
            <w:pPr>
              <w:spacing w:after="20"/>
            </w:pPr>
            <w:r/>
            <w:r>
              <w:rPr>
                <w:b w:val="0"/>
                <w:sz w:val="18"/>
              </w:rPr>
              <w:t>Governance pack and staff briefing</w:t>
            </w:r>
          </w:p>
        </w:tc>
        <w:tc>
          <w:tcPr>
            <w:tcW w:type="dxa" w:w="1474"/>
            <w:shd w:val="clear" w:color="auto" w:fill="F5F8FA"/>
          </w:tcPr>
          <w:p>
            <w:pPr>
              <w:spacing w:after="20"/>
            </w:pPr>
            <w:r/>
            <w:r>
              <w:rPr>
                <w:b w:val="0"/>
                <w:sz w:val="18"/>
              </w:rPr>
              <w:t>Fixed</w:t>
            </w:r>
          </w:p>
        </w:tc>
        <w:tc>
          <w:tcPr>
            <w:tcW w:type="dxa" w:w="1474"/>
            <w:shd w:val="clear" w:color="auto" w:fill="F5F8FA"/>
          </w:tcPr>
          <w:p>
            <w:pPr>
              <w:spacing w:after="20"/>
              <w:jc w:val="right"/>
            </w:pPr>
            <w:r/>
            <w:r>
              <w:rPr>
                <w:b w:val="0"/>
                <w:sz w:val="18"/>
              </w:rPr>
              <w:t>$1,500</w:t>
            </w:r>
          </w:p>
        </w:tc>
        <w:tc>
          <w:tcPr>
            <w:tcW w:type="dxa" w:w="1587"/>
            <w:shd w:val="clear" w:color="auto" w:fill="F5F8FA"/>
          </w:tcPr>
          <w:p>
            <w:pPr>
              <w:spacing w:after="20"/>
              <w:jc w:val="right"/>
            </w:pPr>
            <w:r/>
            <w:r>
              <w:rPr>
                <w:b w:val="0"/>
                <w:sz w:val="18"/>
              </w:rPr>
              <w:t>$1,500</w:t>
            </w:r>
          </w:p>
        </w:tc>
      </w:tr>
      <w:tr>
        <w:tc>
          <w:tcPr>
            <w:tcW w:type="dxa" w:w="5102"/>
          </w:tcPr>
          <w:p>
            <w:pPr>
              <w:spacing w:after="20"/>
            </w:pPr>
            <w:r/>
            <w:r>
              <w:rPr>
                <w:b w:val="0"/>
                <w:sz w:val="18"/>
              </w:rPr>
              <w:t>Monitoring and retraining retainer</w:t>
            </w:r>
          </w:p>
        </w:tc>
        <w:tc>
          <w:tcPr>
            <w:tcW w:type="dxa" w:w="1474"/>
          </w:tcPr>
          <w:p>
            <w:pPr>
              <w:spacing w:after="20"/>
            </w:pPr>
            <w:r/>
            <w:r>
              <w:rPr>
                <w:b w:val="0"/>
                <w:sz w:val="18"/>
              </w:rPr>
              <w:t>Per month</w:t>
            </w:r>
          </w:p>
        </w:tc>
        <w:tc>
          <w:tcPr>
            <w:tcW w:type="dxa" w:w="1474"/>
          </w:tcPr>
          <w:p>
            <w:pPr>
              <w:spacing w:after="20"/>
              <w:jc w:val="right"/>
            </w:pPr>
            <w:r/>
            <w:r>
              <w:rPr>
                <w:b w:val="0"/>
                <w:sz w:val="18"/>
              </w:rPr>
              <w:t>$800</w:t>
            </w:r>
          </w:p>
        </w:tc>
        <w:tc>
          <w:tcPr>
            <w:tcW w:type="dxa" w:w="1587"/>
          </w:tcPr>
          <w:p>
            <w:pPr>
              <w:spacing w:after="20"/>
              <w:jc w:val="right"/>
            </w:pPr>
            <w:r/>
            <w:r>
              <w:rPr>
                <w:b w:val="0"/>
                <w:sz w:val="18"/>
              </w:rPr>
              <w:t>$2,000</w:t>
            </w:r>
          </w:p>
        </w:tc>
      </w:tr>
      <w:tr>
        <w:tc>
          <w:tcPr>
            <w:tcW w:type="dxa" w:w="5102"/>
            <w:shd w:val="clear" w:color="auto" w:fill="F5F8FA"/>
          </w:tcPr>
          <w:p>
            <w:pPr>
              <w:spacing w:after="20"/>
            </w:pPr>
            <w:r/>
            <w:r>
              <w:rPr>
                <w:b/>
                <w:sz w:val="18"/>
              </w:rPr>
              <w:t>Typical first engagement (churn model, deployed, governed)</w:t>
            </w:r>
          </w:p>
        </w:tc>
        <w:tc>
          <w:tcPr>
            <w:tcW w:type="dxa" w:w="1474"/>
            <w:shd w:val="clear" w:color="auto" w:fill="F5F8FA"/>
          </w:tcPr>
          <w:p>
            <w:pPr>
              <w:spacing w:after="20"/>
            </w:pPr>
            <w:r/>
            <w:r>
              <w:rPr>
                <w:b w:val="0"/>
                <w:sz w:val="18"/>
              </w:rPr>
              <w:t>Fixed</w:t>
            </w:r>
          </w:p>
        </w:tc>
        <w:tc>
          <w:tcPr>
            <w:tcW w:type="dxa" w:w="1474"/>
            <w:shd w:val="clear" w:color="auto" w:fill="F5F8FA"/>
          </w:tcPr>
          <w:p>
            <w:pPr>
              <w:spacing w:after="20"/>
              <w:jc w:val="right"/>
            </w:pPr>
            <w:r/>
            <w:r>
              <w:rPr>
                <w:b/>
                <w:sz w:val="18"/>
              </w:rPr>
              <w:t>$12,000</w:t>
            </w:r>
          </w:p>
        </w:tc>
        <w:tc>
          <w:tcPr>
            <w:tcW w:type="dxa" w:w="1587"/>
            <w:shd w:val="clear" w:color="auto" w:fill="F5F8FA"/>
          </w:tcPr>
          <w:p>
            <w:pPr>
              <w:spacing w:after="20"/>
              <w:jc w:val="right"/>
            </w:pPr>
            <w:r/>
            <w:r>
              <w:rPr>
                <w:b/>
                <w:sz w:val="18"/>
              </w:rPr>
              <w:t>$21,000</w:t>
            </w:r>
          </w:p>
        </w:tc>
      </w:tr>
    </w:tbl>
    <w:p>
      <w:pPr>
        <w:spacing w:after="40"/>
      </w:pPr>
    </w:p>
    <w:p>
      <w:pPr>
        <w:spacing w:after="120"/>
      </w:pPr>
      <w:r>
        <w:rPr>
          <w:b w:val="0"/>
          <w:i w:val="0"/>
          <w:sz w:val="21"/>
        </w:rPr>
        <w:t>Benchmarked to the Service Catalogue: prediction models are priced at $6,000-$30,000 per model with $800-$2,000 per month for monitoring and retraining. This sits at the lower end because the use case is narrow and the data is small; it would price higher for a debtor default model on a large receivables ledger.</w:t>
      </w:r>
    </w:p>
    <w:p>
      <w:pPr>
        <w:pStyle w:val="Heading2"/>
      </w:pPr>
      <w:r>
        <w:t>3. Delivery process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907"/>
            <w:shd w:val="clear" w:color="auto" w:fill="0B2E4F"/>
          </w:tcPr>
          <w:p>
            <w:r/>
            <w:r>
              <w:rPr>
                <w:b/>
                <w:color w:val="FFFFFF"/>
                <w:sz w:val="17"/>
              </w:rPr>
              <w:t>Week</w:t>
            </w:r>
          </w:p>
        </w:tc>
        <w:tc>
          <w:tcPr>
            <w:tcW w:type="dxa" w:w="3628"/>
            <w:shd w:val="clear" w:color="auto" w:fill="0B2E4F"/>
          </w:tcPr>
          <w:p>
            <w:r/>
            <w:r>
              <w:rPr>
                <w:b/>
                <w:color w:val="FFFFFF"/>
                <w:sz w:val="17"/>
              </w:rPr>
              <w:t>Activity</w:t>
            </w:r>
          </w:p>
        </w:tc>
        <w:tc>
          <w:tcPr>
            <w:tcW w:type="dxa" w:w="2608"/>
            <w:shd w:val="clear" w:color="auto" w:fill="0B2E4F"/>
          </w:tcPr>
          <w:p>
            <w:r/>
            <w:r>
              <w:rPr>
                <w:b/>
                <w:color w:val="FFFFFF"/>
                <w:sz w:val="17"/>
              </w:rPr>
              <w:t>Client must provide</w:t>
            </w:r>
          </w:p>
        </w:tc>
        <w:tc>
          <w:tcPr>
            <w:tcW w:type="dxa" w:w="2494"/>
            <w:shd w:val="clear" w:color="auto" w:fill="0B2E4F"/>
          </w:tcPr>
          <w:p>
            <w:r/>
            <w:r>
              <w:rPr>
                <w:b/>
                <w:color w:val="FFFFFF"/>
                <w:sz w:val="17"/>
              </w:rPr>
              <w:t>Deliverable</w:t>
            </w:r>
          </w:p>
        </w:tc>
      </w:tr>
      <w:tr>
        <w:tc>
          <w:tcPr>
            <w:tcW w:type="dxa" w:w="907"/>
          </w:tcPr>
          <w:p>
            <w:pPr>
              <w:spacing w:after="20"/>
            </w:pPr>
            <w:r/>
            <w:r>
              <w:rPr>
                <w:b w:val="0"/>
                <w:sz w:val="17"/>
              </w:rPr>
              <w:t>1</w:t>
            </w:r>
          </w:p>
        </w:tc>
        <w:tc>
          <w:tcPr>
            <w:tcW w:type="dxa" w:w="3628"/>
          </w:tcPr>
          <w:p>
            <w:pPr>
              <w:spacing w:after="20"/>
            </w:pPr>
            <w:r/>
            <w:r>
              <w:rPr>
                <w:b w:val="0"/>
                <w:sz w:val="17"/>
              </w:rPr>
              <w:t>Discovery and data review; agree the label and the use case</w:t>
            </w:r>
          </w:p>
        </w:tc>
        <w:tc>
          <w:tcPr>
            <w:tcW w:type="dxa" w:w="2608"/>
          </w:tcPr>
          <w:p>
            <w:pPr>
              <w:spacing w:after="20"/>
            </w:pPr>
            <w:r/>
            <w:r>
              <w:rPr>
                <w:b w:val="0"/>
                <w:sz w:val="17"/>
              </w:rPr>
              <w:t>Client list with renewals for five years</w:t>
            </w:r>
          </w:p>
        </w:tc>
        <w:tc>
          <w:tcPr>
            <w:tcW w:type="dxa" w:w="2494"/>
          </w:tcPr>
          <w:p>
            <w:pPr>
              <w:spacing w:after="20"/>
            </w:pPr>
            <w:r/>
            <w:r>
              <w:rPr>
                <w:b w:val="0"/>
                <w:sz w:val="17"/>
              </w:rPr>
              <w:t>Data review note</w:t>
            </w:r>
          </w:p>
        </w:tc>
      </w:tr>
      <w:tr>
        <w:tc>
          <w:tcPr>
            <w:tcW w:type="dxa" w:w="907"/>
            <w:shd w:val="clear" w:color="auto" w:fill="F5F8FA"/>
          </w:tcPr>
          <w:p>
            <w:pPr>
              <w:spacing w:after="20"/>
            </w:pPr>
            <w:r/>
            <w:r>
              <w:rPr>
                <w:b w:val="0"/>
                <w:sz w:val="17"/>
              </w:rPr>
              <w:t>2-3</w:t>
            </w:r>
          </w:p>
        </w:tc>
        <w:tc>
          <w:tcPr>
            <w:tcW w:type="dxa" w:w="3628"/>
            <w:shd w:val="clear" w:color="auto" w:fill="F5F8FA"/>
          </w:tcPr>
          <w:p>
            <w:pPr>
              <w:spacing w:after="20"/>
            </w:pPr>
            <w:r/>
            <w:r>
              <w:rPr>
                <w:b w:val="0"/>
                <w:sz w:val="17"/>
              </w:rPr>
              <w:t>Baseline model, feature work, honest out-of-sample testing</w:t>
            </w:r>
          </w:p>
        </w:tc>
        <w:tc>
          <w:tcPr>
            <w:tcW w:type="dxa" w:w="2608"/>
            <w:shd w:val="clear" w:color="auto" w:fill="F5F8FA"/>
          </w:tcPr>
          <w:p>
            <w:pPr>
              <w:spacing w:after="20"/>
            </w:pPr>
            <w:r/>
            <w:r>
              <w:rPr>
                <w:b w:val="0"/>
                <w:sz w:val="17"/>
              </w:rPr>
              <w:t>Access to the CRM and billing data</w:t>
            </w:r>
          </w:p>
        </w:tc>
        <w:tc>
          <w:tcPr>
            <w:tcW w:type="dxa" w:w="2494"/>
            <w:shd w:val="clear" w:color="auto" w:fill="F5F8FA"/>
          </w:tcPr>
          <w:p>
            <w:pPr>
              <w:spacing w:after="20"/>
            </w:pPr>
            <w:r/>
            <w:r>
              <w:rPr>
                <w:b w:val="0"/>
                <w:sz w:val="17"/>
              </w:rPr>
              <w:t>Model with metrics against the baseline</w:t>
            </w:r>
          </w:p>
        </w:tc>
      </w:tr>
      <w:tr>
        <w:tc>
          <w:tcPr>
            <w:tcW w:type="dxa" w:w="907"/>
          </w:tcPr>
          <w:p>
            <w:pPr>
              <w:spacing w:after="20"/>
            </w:pPr>
            <w:r/>
            <w:r>
              <w:rPr>
                <w:b w:val="0"/>
                <w:sz w:val="17"/>
              </w:rPr>
              <w:t>3</w:t>
            </w:r>
          </w:p>
        </w:tc>
        <w:tc>
          <w:tcPr>
            <w:tcW w:type="dxa" w:w="3628"/>
          </w:tcPr>
          <w:p>
            <w:pPr>
              <w:spacing w:after="20"/>
            </w:pPr>
            <w:r/>
            <w:r>
              <w:rPr>
                <w:b w:val="0"/>
                <w:sz w:val="17"/>
              </w:rPr>
              <w:t>Deploy the scored output into the client's reporting</w:t>
            </w:r>
          </w:p>
        </w:tc>
        <w:tc>
          <w:tcPr>
            <w:tcW w:type="dxa" w:w="2608"/>
          </w:tcPr>
          <w:p>
            <w:pPr>
              <w:spacing w:after="20"/>
            </w:pPr>
            <w:r/>
            <w:r>
              <w:rPr>
                <w:b w:val="0"/>
                <w:sz w:val="17"/>
              </w:rPr>
              <w:t>A Power BI workspace and a data gateway</w:t>
            </w:r>
          </w:p>
        </w:tc>
        <w:tc>
          <w:tcPr>
            <w:tcW w:type="dxa" w:w="2494"/>
          </w:tcPr>
          <w:p>
            <w:pPr>
              <w:spacing w:after="20"/>
            </w:pPr>
            <w:r/>
            <w:r>
              <w:rPr>
                <w:b w:val="0"/>
                <w:sz w:val="17"/>
              </w:rPr>
              <w:t>Risk board and driver explainer pages</w:t>
            </w:r>
          </w:p>
        </w:tc>
      </w:tr>
      <w:tr>
        <w:tc>
          <w:tcPr>
            <w:tcW w:type="dxa" w:w="907"/>
            <w:shd w:val="clear" w:color="auto" w:fill="F5F8FA"/>
          </w:tcPr>
          <w:p>
            <w:pPr>
              <w:spacing w:after="20"/>
            </w:pPr>
            <w:r/>
            <w:r>
              <w:rPr>
                <w:b w:val="0"/>
                <w:sz w:val="17"/>
              </w:rPr>
              <w:t>4</w:t>
            </w:r>
          </w:p>
        </w:tc>
        <w:tc>
          <w:tcPr>
            <w:tcW w:type="dxa" w:w="3628"/>
            <w:shd w:val="clear" w:color="auto" w:fill="F5F8FA"/>
          </w:tcPr>
          <w:p>
            <w:pPr>
              <w:spacing w:after="20"/>
            </w:pPr>
            <w:r/>
            <w:r>
              <w:rPr>
                <w:b w:val="0"/>
                <w:sz w:val="17"/>
              </w:rPr>
              <w:t>Governance pack, staff briefing, handover</w:t>
            </w:r>
          </w:p>
        </w:tc>
        <w:tc>
          <w:tcPr>
            <w:tcW w:type="dxa" w:w="2608"/>
            <w:shd w:val="clear" w:color="auto" w:fill="F5F8FA"/>
          </w:tcPr>
          <w:p>
            <w:pPr>
              <w:spacing w:after="20"/>
            </w:pPr>
            <w:r/>
            <w:r>
              <w:rPr>
                <w:b w:val="0"/>
                <w:sz w:val="17"/>
              </w:rPr>
              <w:t>An owner for the model</w:t>
            </w:r>
          </w:p>
        </w:tc>
        <w:tc>
          <w:tcPr>
            <w:tcW w:type="dxa" w:w="2494"/>
            <w:shd w:val="clear" w:color="auto" w:fill="F5F8FA"/>
          </w:tcPr>
          <w:p>
            <w:pPr>
              <w:spacing w:after="20"/>
            </w:pPr>
            <w:r/>
            <w:r>
              <w:rPr>
                <w:b w:val="0"/>
                <w:sz w:val="17"/>
              </w:rPr>
              <w:t>Governance pack and model card</w:t>
            </w:r>
          </w:p>
        </w:tc>
      </w:tr>
      <w:tr>
        <w:tc>
          <w:tcPr>
            <w:tcW w:type="dxa" w:w="907"/>
          </w:tcPr>
          <w:p>
            <w:pPr>
              <w:spacing w:after="20"/>
            </w:pPr>
            <w:r/>
            <w:r>
              <w:rPr>
                <w:b w:val="0"/>
                <w:sz w:val="17"/>
              </w:rPr>
              <w:t>Ongoing</w:t>
            </w:r>
          </w:p>
        </w:tc>
        <w:tc>
          <w:tcPr>
            <w:tcW w:type="dxa" w:w="3628"/>
          </w:tcPr>
          <w:p>
            <w:pPr>
              <w:spacing w:after="20"/>
            </w:pPr>
            <w:r/>
            <w:r>
              <w:rPr>
                <w:b w:val="0"/>
                <w:sz w:val="17"/>
              </w:rPr>
              <w:t>Quarterly review; annual retrain; drift monitoring</w:t>
            </w:r>
          </w:p>
        </w:tc>
        <w:tc>
          <w:tcPr>
            <w:tcW w:type="dxa" w:w="2608"/>
          </w:tcPr>
          <w:p>
            <w:pPr>
              <w:spacing w:after="20"/>
            </w:pPr>
            <w:r/>
            <w:r>
              <w:rPr>
                <w:b w:val="0"/>
                <w:sz w:val="17"/>
              </w:rPr>
              <w:t>Updated renewal outcomes each quarter</w:t>
            </w:r>
          </w:p>
        </w:tc>
        <w:tc>
          <w:tcPr>
            <w:tcW w:type="dxa" w:w="2494"/>
          </w:tcPr>
          <w:p>
            <w:pPr>
              <w:spacing w:after="20"/>
            </w:pPr>
            <w:r/>
            <w:r>
              <w:rPr>
                <w:b w:val="0"/>
                <w:sz w:val="17"/>
              </w:rPr>
              <w:t>Quarterly review note</w:t>
            </w:r>
          </w:p>
        </w:tc>
      </w:tr>
    </w:tbl>
    <w:p>
      <w:pPr>
        <w:spacing w:after="40"/>
      </w:pPr>
    </w:p>
    <w:p>
      <w:pPr>
        <w:pStyle w:val="Heading2"/>
      </w:pPr>
      <w:r>
        <w:t>4. The three client questions, answered</w:t>
      </w:r>
    </w:p>
    <w:tbl>
      <w:tblPr>
        <w:tblStyle w:val="TableGrid"/>
        <w:tblW w:type="auto" w:w="0"/>
        <w:tblLook w:firstColumn="1" w:firstRow="1" w:lastColumn="0" w:lastRow="0" w:noHBand="0" w:noVBand="1" w:val="04A0"/>
      </w:tblPr>
      <w:tblGrid>
        <w:gridCol w:w="4986"/>
        <w:gridCol w:w="4986"/>
      </w:tblGrid>
      <w:tr>
        <w:tc>
          <w:tcPr>
            <w:tcW w:type="dxa" w:w="2608"/>
            <w:shd w:val="clear" w:color="auto" w:fill="EAF1F6"/>
          </w:tcPr>
          <w:p>
            <w:r/>
            <w:r>
              <w:rPr>
                <w:b/>
                <w:sz w:val="19"/>
              </w:rPr>
              <w:t>How long?</w:t>
            </w:r>
          </w:p>
        </w:tc>
        <w:tc>
          <w:tcPr>
            <w:tcW w:type="dxa" w:w="6803"/>
          </w:tcPr>
          <w:p>
            <w:r/>
            <w:r>
              <w:rPr>
                <w:sz w:val="19"/>
              </w:rPr>
              <w:t>Three to five weeks from data access to a governed model in production.</w:t>
            </w:r>
          </w:p>
        </w:tc>
      </w:tr>
      <w:tr>
        <w:tc>
          <w:tcPr>
            <w:tcW w:type="dxa" w:w="2608"/>
            <w:shd w:val="clear" w:color="auto" w:fill="EAF1F6"/>
          </w:tcPr>
          <w:p>
            <w:r/>
            <w:r>
              <w:rPr>
                <w:b/>
                <w:sz w:val="19"/>
              </w:rPr>
              <w:t>How much?</w:t>
            </w:r>
          </w:p>
        </w:tc>
        <w:tc>
          <w:tcPr>
            <w:tcW w:type="dxa" w:w="6803"/>
          </w:tcPr>
          <w:p>
            <w:r/>
            <w:r>
              <w:rPr>
                <w:sz w:val="19"/>
              </w:rPr>
              <w:t>$12,000 to $21,000 for the first model including deployment and governance, then $800 to $2,000 a month for monitoring and retraining. Fixed fee once the use case is agreed.</w:t>
            </w:r>
          </w:p>
        </w:tc>
      </w:tr>
      <w:tr>
        <w:tc>
          <w:tcPr>
            <w:tcW w:type="dxa" w:w="2608"/>
            <w:shd w:val="clear" w:color="auto" w:fill="EAF1F6"/>
          </w:tcPr>
          <w:p>
            <w:r/>
            <w:r>
              <w:rPr>
                <w:b/>
                <w:sz w:val="19"/>
              </w:rPr>
              <w:t>How do I know it is right?</w:t>
            </w:r>
          </w:p>
        </w:tc>
        <w:tc>
          <w:tcPr>
            <w:tcW w:type="dxa" w:w="6803"/>
          </w:tcPr>
          <w:p>
            <w:r/>
            <w:r>
              <w:rPr>
                <w:sz w:val="19"/>
              </w:rPr>
              <w:t>We publish the baseline first and beat it in the open (68.9% against a 51.1% baseline). We test out-of-time, not just out-of-sample. Every model ships with a model card, a governance pack and a human review of every AI-generated number.</w:t>
            </w:r>
          </w:p>
        </w:tc>
      </w:tr>
    </w:tbl>
    <w:p>
      <w:pPr>
        <w:spacing w:after="40"/>
      </w:pPr>
    </w:p>
    <w:p>
      <w:pPr>
        <w:pStyle w:val="Heading2"/>
      </w:pPr>
      <w:r>
        <w:t>5. What the client must provide</w:t>
      </w:r>
    </w:p>
    <w:p>
      <w:pPr>
        <w:pStyle w:val="ListBullet"/>
        <w:spacing w:after="40"/>
      </w:pPr>
      <w:r>
        <w:rPr>
          <w:sz w:val="21"/>
        </w:rPr>
        <w:t>At least three years of client or customer history with a clear outcome label.</w:t>
      </w:r>
    </w:p>
    <w:p>
      <w:pPr>
        <w:pStyle w:val="ListBullet"/>
        <w:spacing w:after="40"/>
      </w:pPr>
      <w:r>
        <w:rPr>
          <w:sz w:val="21"/>
        </w:rPr>
        <w:t>A named owner for the model who attends the quarterly review.</w:t>
      </w:r>
    </w:p>
    <w:p>
      <w:pPr>
        <w:pStyle w:val="ListBullet"/>
        <w:spacing w:after="40"/>
      </w:pPr>
      <w:r>
        <w:rPr>
          <w:sz w:val="21"/>
        </w:rPr>
        <w:t>Read-only access to the systems that hold the features.</w:t>
      </w:r>
    </w:p>
    <w:p>
      <w:pPr>
        <w:pStyle w:val="ListBullet"/>
        <w:spacing w:after="40"/>
      </w:pPr>
      <w:r>
        <w:rPr>
          <w:sz w:val="21"/>
        </w:rPr>
        <w:t>A decision process: what happens when the model flags a client.</w:t>
      </w:r>
    </w:p>
    <w:p>
      <w:pPr>
        <w:pStyle w:val="Heading2"/>
      </w:pPr>
      <w:r>
        <w:t>6. The pitch principle</w:t>
      </w:r>
    </w:p>
    <w:p>
      <w:pPr>
        <w:spacing w:after="120"/>
      </w:pPr>
      <w:r>
        <w:rPr>
          <w:b w:val="0"/>
          <w:i w:val="0"/>
          <w:sz w:val="21"/>
        </w:rPr>
        <w:t>Sell the decision, not the algorithm. "We will tell you which three clients to call this quarter" beats "we build a logistic regression" every time - and it is also true, because the lift analysis shows that the highest-scoring clients really do leave.</w:t>
      </w:r>
    </w:p>
    <w:p/>
    <w:p>
      <w:pPr>
        <w:spacing w:before="0" w:after="160"/>
        <w:pBdr>
          <w:bottom w:val="single" w:sz="8" w:color="008B8B"/>
        </w:pBdr>
      </w:pPr>
    </w:p>
    <w:p>
      <w:pPr>
        <w:spacing w:after="120"/>
      </w:pPr>
      <w:r>
        <w:rPr>
          <w:b w:val="0"/>
          <w:i w:val="0"/>
          <w:sz w:val="18"/>
        </w:rPr>
        <w:t>Prepared by: T. Makuvaza, Engagement Manager    |    Date: 08 October 2025</w:t>
      </w:r>
    </w:p>
    <w:p>
      <w:pPr>
        <w:spacing w:after="120"/>
      </w:pPr>
      <w:r>
        <w:rPr>
          <w:b w:val="0"/>
          <w:i w:val="0"/>
          <w:sz w:val="18"/>
        </w:rPr>
        <w:t>Reviewed by (independent QC): Independent QC partner (Maxhub)    |    Date: 08 October 2025</w:t>
      </w:r>
    </w:p>
    <w:p>
      <w:pPr>
        <w:spacing w:after="120"/>
      </w:pPr>
      <w:r>
        <w:rPr>
          <w:b w:val="0"/>
          <w:i/>
          <w:color w:val="595959"/>
          <w:sz w:val="16"/>
        </w:rPr>
        <w:t>This report is confidential and prepared solely for the addressee for the purpose set out in section 1. It may not be relied upon by any other party without Maxhub's written consent. All data analysed is simulated engagement data generated for training purposes.</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Maxhub Pvt Ltd - service blueprint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E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2E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8B8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B2E4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