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Power BI build instructions</w:t>
      </w:r>
    </w:p>
    <w:p>
      <w:pPr>
        <w:spacing w:after="120"/>
      </w:pPr>
      <w:r>
        <w:rPr>
          <w:b w:val="0"/>
          <w:i/>
          <w:color w:val="595959"/>
          <w:sz w:val="22"/>
        </w:rPr>
        <w:t>Ready-to-import pack - CSV to a validated, governed model in about an hour</w:t>
      </w:r>
    </w:p>
    <w:p>
      <w:pPr>
        <w:spacing w:before="80"/>
      </w:pPr>
      <w:r>
        <w:rPr>
          <w:color w:val="595959"/>
          <w:sz w:val="17"/>
        </w:rPr>
        <w:t>Client: Mhondoro Manufacturing (Pvt) Ltd    |    Period: 1 January 2024 to 30 September 2025    |    Issued: 08 October 2025    |    Reference: MX-2025-PBI01    |    Classification: Confidential</w:t>
      </w:r>
    </w:p>
    <w:p>
      <w:pPr>
        <w:spacing w:before="0" w:after="160"/>
        <w:pBdr>
          <w:bottom w:val="single" w:sz="8" w:color="008B8B"/>
        </w:pBdr>
      </w:pPr>
    </w:p>
    <w:p>
      <w:pPr>
        <w:pStyle w:val="Heading2"/>
      </w:pPr>
      <w:r>
        <w:t>What is in this pack</w:t>
      </w:r>
    </w:p>
    <w:tbl>
      <w:tblPr>
        <w:tblStyle w:val="TableGrid"/>
        <w:tblW w:type="auto" w:w="0"/>
        <w:jc w:val="center"/>
        <w:tblLook w:firstColumn="1" w:firstRow="1" w:lastColumn="0" w:lastRow="0" w:noHBand="0" w:noVBand="1" w:val="04A0"/>
      </w:tblPr>
      <w:tblGrid>
        <w:gridCol w:w="4986"/>
        <w:gridCol w:w="4986"/>
      </w:tblGrid>
      <w:tr>
        <w:tc>
          <w:tcPr>
            <w:tcW w:type="dxa" w:w="3515"/>
            <w:shd w:val="clear" w:color="auto" w:fill="0B2E4F"/>
          </w:tcPr>
          <w:p>
            <w:r/>
            <w:r>
              <w:rPr>
                <w:b/>
                <w:color w:val="FFFFFF"/>
                <w:sz w:val="17"/>
              </w:rPr>
              <w:t>File or folder</w:t>
            </w:r>
          </w:p>
        </w:tc>
        <w:tc>
          <w:tcPr>
            <w:tcW w:type="dxa" w:w="6123"/>
            <w:shd w:val="clear" w:color="auto" w:fill="0B2E4F"/>
          </w:tcPr>
          <w:p>
            <w:r/>
            <w:r>
              <w:rPr>
                <w:b/>
                <w:color w:val="FFFFFF"/>
                <w:sz w:val="17"/>
              </w:rPr>
              <w:t>What it is</w:t>
            </w:r>
          </w:p>
        </w:tc>
      </w:tr>
      <w:tr>
        <w:tc>
          <w:tcPr>
            <w:tcW w:type="dxa" w:w="3515"/>
          </w:tcPr>
          <w:p>
            <w:pPr>
              <w:spacing w:after="20"/>
            </w:pPr>
            <w:r/>
            <w:r>
              <w:rPr>
                <w:b w:val="0"/>
                <w:sz w:val="18"/>
              </w:rPr>
              <w:t>Data_Ready_To_Import/</w:t>
            </w:r>
          </w:p>
        </w:tc>
        <w:tc>
          <w:tcPr>
            <w:tcW w:type="dxa" w:w="6123"/>
          </w:tcPr>
          <w:p>
            <w:pPr>
              <w:spacing w:after="20"/>
            </w:pPr>
            <w:r/>
            <w:r>
              <w:rPr>
                <w:b w:val="0"/>
                <w:sz w:val="18"/>
              </w:rPr>
              <w:t>26 CSV files - the warehouse, pre-shaped and typed</w:t>
            </w:r>
          </w:p>
        </w:tc>
      </w:tr>
      <w:tr>
        <w:tc>
          <w:tcPr>
            <w:tcW w:type="dxa" w:w="3515"/>
            <w:shd w:val="clear" w:color="auto" w:fill="F5F8FA"/>
          </w:tcPr>
          <w:p>
            <w:pPr>
              <w:spacing w:after="20"/>
            </w:pPr>
            <w:r/>
            <w:r>
              <w:rPr>
                <w:b w:val="0"/>
                <w:sz w:val="18"/>
              </w:rPr>
              <w:t>PowerQuery_Load.m</w:t>
            </w:r>
          </w:p>
        </w:tc>
        <w:tc>
          <w:tcPr>
            <w:tcW w:type="dxa" w:w="6123"/>
            <w:shd w:val="clear" w:color="auto" w:fill="F5F8FA"/>
          </w:tcPr>
          <w:p>
            <w:pPr>
              <w:spacing w:after="20"/>
            </w:pPr>
            <w:r/>
            <w:r>
              <w:rPr>
                <w:b w:val="0"/>
                <w:sz w:val="18"/>
              </w:rPr>
              <w:t>M code for every table, with types inferred from the shipped files</w:t>
            </w:r>
          </w:p>
        </w:tc>
      </w:tr>
      <w:tr>
        <w:tc>
          <w:tcPr>
            <w:tcW w:type="dxa" w:w="3515"/>
          </w:tcPr>
          <w:p>
            <w:pPr>
              <w:spacing w:after="20"/>
            </w:pPr>
            <w:r/>
            <w:r>
              <w:rPr>
                <w:b w:val="0"/>
                <w:sz w:val="18"/>
              </w:rPr>
              <w:t>Core_Measures_Library.dax</w:t>
            </w:r>
          </w:p>
        </w:tc>
        <w:tc>
          <w:tcPr>
            <w:tcW w:type="dxa" w:w="6123"/>
          </w:tcPr>
          <w:p>
            <w:pPr>
              <w:spacing w:after="20"/>
            </w:pPr>
            <w:r/>
            <w:r>
              <w:rPr>
                <w:b w:val="0"/>
                <w:sz w:val="18"/>
              </w:rPr>
              <w:t>The financial and data-quality measures</w:t>
            </w:r>
          </w:p>
        </w:tc>
      </w:tr>
      <w:tr>
        <w:tc>
          <w:tcPr>
            <w:tcW w:type="dxa" w:w="3515"/>
            <w:shd w:val="clear" w:color="auto" w:fill="F5F8FA"/>
          </w:tcPr>
          <w:p>
            <w:pPr>
              <w:spacing w:after="20"/>
            </w:pPr>
            <w:r/>
            <w:r>
              <w:rPr>
                <w:b w:val="0"/>
                <w:sz w:val="18"/>
              </w:rPr>
              <w:t>Forensic_Tests_Library.dax</w:t>
            </w:r>
          </w:p>
        </w:tc>
        <w:tc>
          <w:tcPr>
            <w:tcW w:type="dxa" w:w="6123"/>
            <w:shd w:val="clear" w:color="auto" w:fill="F5F8FA"/>
          </w:tcPr>
          <w:p>
            <w:pPr>
              <w:spacing w:after="20"/>
            </w:pPr>
            <w:r/>
            <w:r>
              <w:rPr>
                <w:b w:val="0"/>
                <w:sz w:val="18"/>
              </w:rPr>
              <w:t>The twelve forensic tests as DAX</w:t>
            </w:r>
          </w:p>
        </w:tc>
      </w:tr>
      <w:tr>
        <w:tc>
          <w:tcPr>
            <w:tcW w:type="dxa" w:w="3515"/>
          </w:tcPr>
          <w:p>
            <w:pPr>
              <w:spacing w:after="20"/>
            </w:pPr>
            <w:r/>
            <w:r>
              <w:rPr>
                <w:b w:val="0"/>
                <w:sz w:val="18"/>
              </w:rPr>
              <w:t>Time_Intelligence_Library.dax</w:t>
            </w:r>
          </w:p>
        </w:tc>
        <w:tc>
          <w:tcPr>
            <w:tcW w:type="dxa" w:w="6123"/>
          </w:tcPr>
          <w:p>
            <w:pPr>
              <w:spacing w:after="20"/>
            </w:pPr>
            <w:r/>
            <w:r>
              <w:rPr>
                <w:b w:val="0"/>
                <w:sz w:val="18"/>
              </w:rPr>
              <w:t>Period, year-to-date and prior-year measures</w:t>
            </w:r>
          </w:p>
        </w:tc>
      </w:tr>
      <w:tr>
        <w:tc>
          <w:tcPr>
            <w:tcW w:type="dxa" w:w="3515"/>
            <w:shd w:val="clear" w:color="auto" w:fill="F5F8FA"/>
          </w:tcPr>
          <w:p>
            <w:pPr>
              <w:spacing w:after="20"/>
            </w:pPr>
            <w:r/>
            <w:r>
              <w:rPr>
                <w:b w:val="0"/>
                <w:sz w:val="18"/>
              </w:rPr>
              <w:t>DAX_Measures_Reference.xlsx</w:t>
            </w:r>
          </w:p>
        </w:tc>
        <w:tc>
          <w:tcPr>
            <w:tcW w:type="dxa" w:w="6123"/>
            <w:shd w:val="clear" w:color="auto" w:fill="F5F8FA"/>
          </w:tcPr>
          <w:p>
            <w:pPr>
              <w:spacing w:after="20"/>
            </w:pPr>
            <w:r/>
            <w:r>
              <w:rPr>
                <w:b w:val="0"/>
                <w:sz w:val="18"/>
              </w:rPr>
              <w:t>Every measure parsed from those files, plus 30 build checks</w:t>
            </w:r>
          </w:p>
        </w:tc>
      </w:tr>
      <w:tr>
        <w:tc>
          <w:tcPr>
            <w:tcW w:type="dxa" w:w="3515"/>
          </w:tcPr>
          <w:p>
            <w:pPr>
              <w:spacing w:after="20"/>
            </w:pPr>
            <w:r/>
            <w:r>
              <w:rPr>
                <w:b w:val="0"/>
                <w:sz w:val="18"/>
              </w:rPr>
              <w:t>PowerBI_Data_Model.xlsx</w:t>
            </w:r>
          </w:p>
        </w:tc>
        <w:tc>
          <w:tcPr>
            <w:tcW w:type="dxa" w:w="6123"/>
          </w:tcPr>
          <w:p>
            <w:pPr>
              <w:spacing w:after="20"/>
            </w:pPr>
            <w:r/>
            <w:r>
              <w:rPr>
                <w:b w:val="0"/>
                <w:sz w:val="18"/>
              </w:rPr>
              <w:t>Star schema, every column, relationships and control totals</w:t>
            </w:r>
          </w:p>
        </w:tc>
      </w:tr>
      <w:tr>
        <w:tc>
          <w:tcPr>
            <w:tcW w:type="dxa" w:w="3515"/>
            <w:shd w:val="clear" w:color="auto" w:fill="F5F8FA"/>
          </w:tcPr>
          <w:p>
            <w:pPr>
              <w:spacing w:after="20"/>
            </w:pPr>
            <w:r/>
            <w:r>
              <w:rPr>
                <w:b w:val="0"/>
                <w:sz w:val="18"/>
              </w:rPr>
              <w:t>Validation_Report.txt</w:t>
            </w:r>
          </w:p>
        </w:tc>
        <w:tc>
          <w:tcPr>
            <w:tcW w:type="dxa" w:w="6123"/>
            <w:shd w:val="clear" w:color="auto" w:fill="F5F8FA"/>
          </w:tcPr>
          <w:p>
            <w:pPr>
              <w:spacing w:after="20"/>
            </w:pPr>
            <w:r/>
            <w:r>
              <w:rPr>
                <w:b w:val="0"/>
                <w:sz w:val="18"/>
              </w:rPr>
              <w:t>Proof that the shipped files reproduce the control totals</w:t>
            </w:r>
          </w:p>
        </w:tc>
      </w:tr>
      <w:tr>
        <w:tc>
          <w:tcPr>
            <w:tcW w:type="dxa" w:w="3515"/>
          </w:tcPr>
          <w:p>
            <w:pPr>
              <w:spacing w:after="20"/>
            </w:pPr>
            <w:r/>
            <w:r>
              <w:rPr>
                <w:b w:val="0"/>
                <w:sz w:val="18"/>
              </w:rPr>
              <w:t>DAX_Change_Note.md</w:t>
            </w:r>
          </w:p>
        </w:tc>
        <w:tc>
          <w:tcPr>
            <w:tcW w:type="dxa" w:w="6123"/>
          </w:tcPr>
          <w:p>
            <w:pPr>
              <w:spacing w:after="20"/>
            </w:pPr>
            <w:r/>
            <w:r>
              <w:rPr>
                <w:b w:val="0"/>
                <w:sz w:val="18"/>
              </w:rPr>
              <w:t>Every correction made to the repository's DAX, with the reason</w:t>
            </w:r>
          </w:p>
        </w:tc>
      </w:tr>
      <w:tr>
        <w:tc>
          <w:tcPr>
            <w:tcW w:type="dxa" w:w="3515"/>
            <w:shd w:val="clear" w:color="auto" w:fill="F5F8FA"/>
          </w:tcPr>
          <w:p>
            <w:pPr>
              <w:spacing w:after="20"/>
            </w:pPr>
            <w:r/>
            <w:r>
              <w:rPr>
                <w:b w:val="0"/>
                <w:sz w:val="18"/>
              </w:rPr>
              <w:t>DAX_Change_Note.md</w:t>
            </w:r>
          </w:p>
        </w:tc>
        <w:tc>
          <w:tcPr>
            <w:tcW w:type="dxa" w:w="6123"/>
            <w:shd w:val="clear" w:color="auto" w:fill="F5F8FA"/>
          </w:tcPr>
          <w:p>
            <w:pPr>
              <w:spacing w:after="20"/>
            </w:pPr>
            <w:r/>
            <w:r>
              <w:rPr>
                <w:b w:val="0"/>
                <w:sz w:val="18"/>
              </w:rPr>
              <w:t>Every correction made to the repository's DAX, with the reason</w:t>
            </w:r>
          </w:p>
        </w:tc>
      </w:tr>
      <w:tr>
        <w:tc>
          <w:tcPr>
            <w:tcW w:type="dxa" w:w="3515"/>
          </w:tcPr>
          <w:p>
            <w:pPr>
              <w:spacing w:after="20"/>
            </w:pPr>
            <w:r/>
            <w:r>
              <w:rPr>
                <w:b w:val="0"/>
                <w:sz w:val="18"/>
              </w:rPr>
              <w:t>Import_Manifest.json</w:t>
            </w:r>
          </w:p>
        </w:tc>
        <w:tc>
          <w:tcPr>
            <w:tcW w:type="dxa" w:w="6123"/>
          </w:tcPr>
          <w:p>
            <w:pPr>
              <w:spacing w:after="20"/>
            </w:pPr>
            <w:r/>
            <w:r>
              <w:rPr>
                <w:b w:val="0"/>
                <w:sz w:val="18"/>
              </w:rPr>
              <w:t>Machine-readable manifest</w:t>
            </w:r>
          </w:p>
        </w:tc>
      </w:tr>
      <w:tr>
        <w:tc>
          <w:tcPr>
            <w:tcW w:type="dxa" w:w="3515"/>
            <w:shd w:val="clear" w:color="auto" w:fill="F5F8FA"/>
          </w:tcPr>
          <w:p>
            <w:pPr>
              <w:spacing w:after="20"/>
            </w:pPr>
            <w:r/>
            <w:r>
              <w:rPr>
                <w:b w:val="0"/>
                <w:sz w:val="18"/>
              </w:rPr>
              <w:t>Build_Instructions.md</w:t>
            </w:r>
          </w:p>
        </w:tc>
        <w:tc>
          <w:tcPr>
            <w:tcW w:type="dxa" w:w="6123"/>
            <w:shd w:val="clear" w:color="auto" w:fill="F5F8FA"/>
          </w:tcPr>
          <w:p>
            <w:pPr>
              <w:spacing w:after="20"/>
            </w:pPr>
            <w:r/>
            <w:r>
              <w:rPr>
                <w:b w:val="0"/>
                <w:sz w:val="18"/>
              </w:rPr>
              <w:t>These instructions in Markdown</w:t>
            </w:r>
          </w:p>
        </w:tc>
      </w:tr>
    </w:tbl>
    <w:p>
      <w:pPr>
        <w:spacing w:after="40"/>
      </w:pPr>
    </w:p>
    <w:p>
      <w:pPr>
        <w:spacing w:after="120"/>
      </w:pPr>
      <w:r>
        <w:rPr>
          <w:b w:val="0"/>
          <w:i/>
          <w:sz w:val="21"/>
        </w:rPr>
        <w:t>No .pbix is supplied. A .pbix is a binary container that cannot be authored or opened outside Power BI Desktop, so an unverified file would be worse than none. This pack builds the same model, and every step is checkable.</w:t>
      </w:r>
    </w:p>
    <w:p>
      <w:pPr>
        <w:pStyle w:val="Heading2"/>
      </w:pPr>
      <w:r>
        <w:t>Step 1 - Set up the folder</w:t>
      </w:r>
    </w:p>
    <w:p>
      <w:pPr>
        <w:pStyle w:val="ListBullet"/>
        <w:spacing w:after="40"/>
      </w:pPr>
      <w:r>
        <w:rPr>
          <w:sz w:val="21"/>
        </w:rPr>
        <w:t>Copy Data_Ready_To_Import somewhere stable, for example C:\Maxhub\PBI\Data.</w:t>
      </w:r>
    </w:p>
    <w:p>
      <w:pPr>
        <w:pStyle w:val="ListBullet"/>
        <w:spacing w:after="40"/>
      </w:pPr>
      <w:r>
        <w:rPr>
          <w:sz w:val="21"/>
        </w:rPr>
        <w:t>Home &gt; Transform data &gt; Manage parameters &gt; New. Name it DataFolder, type Text, and set the current value to that path with no trailing slash.</w:t>
      </w:r>
    </w:p>
    <w:p>
      <w:pPr>
        <w:pStyle w:val="ListBullet"/>
        <w:spacing w:after="40"/>
      </w:pPr>
      <w:r>
        <w:rPr>
          <w:sz w:val="21"/>
        </w:rPr>
        <w:t>Every query in PowerQuery_Load.m reads from that parameter, so moving the data later is a one-line change.</w:t>
      </w:r>
    </w:p>
    <w:p>
      <w:pPr>
        <w:pStyle w:val="Heading2"/>
      </w:pPr>
      <w:r>
        <w:t>Step 2 - Load the tables</w:t>
      </w:r>
    </w:p>
    <w:p>
      <w:pPr>
        <w:spacing w:after="120"/>
      </w:pPr>
      <w:r>
        <w:rPr>
          <w:b w:val="0"/>
          <w:i w:val="0"/>
          <w:sz w:val="21"/>
        </w:rPr>
        <w:t>Dimensions first, then facts. For each one: New Source &gt; Blank query, View &gt; Advanced Editor, paste the matching section of PowerQuery_Load.m, then rename the query exactly as the comment says.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0B2E4F"/>
          </w:tcPr>
          <w:p>
            <w:r/>
            <w:r>
              <w:rPr>
                <w:b/>
                <w:color w:val="FFFFFF"/>
                <w:sz w:val="17"/>
              </w:rPr>
              <w:t>Order</w:t>
            </w:r>
          </w:p>
        </w:tc>
        <w:tc>
          <w:tcPr>
            <w:tcW w:type="dxa" w:w="3061"/>
            <w:shd w:val="clear" w:color="auto" w:fill="0B2E4F"/>
          </w:tcPr>
          <w:p>
            <w:r/>
            <w:r>
              <w:rPr>
                <w:b/>
                <w:color w:val="FFFFFF"/>
                <w:sz w:val="17"/>
              </w:rPr>
              <w:t>Query</w:t>
            </w:r>
          </w:p>
        </w:tc>
        <w:tc>
          <w:tcPr>
            <w:tcW w:type="dxa" w:w="1701"/>
            <w:shd w:val="clear" w:color="auto" w:fill="0B2E4F"/>
          </w:tcPr>
          <w:p>
            <w:r/>
            <w:r>
              <w:rPr>
                <w:b/>
                <w:color w:val="FFFFFF"/>
                <w:sz w:val="17"/>
              </w:rPr>
              <w:t>Rows</w:t>
            </w:r>
          </w:p>
        </w:tc>
        <w:tc>
          <w:tcPr>
            <w:tcW w:type="dxa" w:w="1361"/>
            <w:shd w:val="clear" w:color="auto" w:fill="0B2E4F"/>
          </w:tcPr>
          <w:p>
            <w:r/>
            <w:r>
              <w:rPr>
                <w:b/>
                <w:color w:val="FFFFFF"/>
                <w:sz w:val="17"/>
              </w:rPr>
              <w:t>Columns</w:t>
            </w:r>
          </w:p>
        </w:tc>
      </w:tr>
      <w:tr>
        <w:tc>
          <w:tcPr>
            <w:tcW w:type="dxa" w:w="794"/>
          </w:tcPr>
          <w:p>
            <w:pPr>
              <w:spacing w:after="20"/>
            </w:pPr>
            <w:r/>
            <w:r>
              <w:rPr>
                <w:b w:val="0"/>
                <w:sz w:val="18"/>
              </w:rPr>
              <w:t>1</w:t>
            </w:r>
          </w:p>
        </w:tc>
        <w:tc>
          <w:tcPr>
            <w:tcW w:type="dxa" w:w="3061"/>
          </w:tcPr>
          <w:p>
            <w:pPr>
              <w:spacing w:after="20"/>
            </w:pPr>
            <w:r/>
            <w:r>
              <w:rPr>
                <w:b w:val="0"/>
                <w:sz w:val="18"/>
              </w:rPr>
              <w:t>DimAccount</w:t>
            </w:r>
          </w:p>
        </w:tc>
        <w:tc>
          <w:tcPr>
            <w:tcW w:type="dxa" w:w="1701"/>
          </w:tcPr>
          <w:p>
            <w:pPr>
              <w:spacing w:after="20"/>
            </w:pPr>
            <w:r/>
            <w:r>
              <w:rPr>
                <w:b w:val="0"/>
                <w:sz w:val="18"/>
              </w:rPr>
              <w:t>71</w:t>
            </w:r>
          </w:p>
        </w:tc>
        <w:tc>
          <w:tcPr>
            <w:tcW w:type="dxa" w:w="1361"/>
          </w:tcPr>
          <w:p>
            <w:pPr>
              <w:spacing w:after="20"/>
            </w:pPr>
            <w:r/>
            <w:r>
              <w:rPr>
                <w:b w:val="0"/>
                <w:sz w:val="18"/>
              </w:rPr>
              <w:t>18</w:t>
            </w:r>
          </w:p>
        </w:tc>
      </w:tr>
      <w:tr>
        <w:tc>
          <w:tcPr>
            <w:tcW w:type="dxa" w:w="794"/>
            <w:shd w:val="clear" w:color="auto" w:fill="F5F8FA"/>
          </w:tcPr>
          <w:p>
            <w:pPr>
              <w:spacing w:after="20"/>
            </w:pPr>
            <w:r/>
            <w:r>
              <w:rPr>
                <w:b w:val="0"/>
                <w:sz w:val="18"/>
              </w:rPr>
              <w:t>2</w:t>
            </w:r>
          </w:p>
        </w:tc>
        <w:tc>
          <w:tcPr>
            <w:tcW w:type="dxa" w:w="3061"/>
            <w:shd w:val="clear" w:color="auto" w:fill="F5F8FA"/>
          </w:tcPr>
          <w:p>
            <w:pPr>
              <w:spacing w:after="20"/>
            </w:pPr>
            <w:r/>
            <w:r>
              <w:rPr>
                <w:b w:val="0"/>
                <w:sz w:val="18"/>
              </w:rPr>
              <w:t>DimCostCentre</w:t>
            </w:r>
          </w:p>
        </w:tc>
        <w:tc>
          <w:tcPr>
            <w:tcW w:type="dxa" w:w="1701"/>
            <w:shd w:val="clear" w:color="auto" w:fill="F5F8FA"/>
          </w:tcPr>
          <w:p>
            <w:pPr>
              <w:spacing w:after="20"/>
            </w:pPr>
            <w:r/>
            <w:r>
              <w:rPr>
                <w:b w:val="0"/>
                <w:sz w:val="18"/>
              </w:rPr>
              <w:t>9</w:t>
            </w:r>
          </w:p>
        </w:tc>
        <w:tc>
          <w:tcPr>
            <w:tcW w:type="dxa" w:w="1361"/>
            <w:shd w:val="clear" w:color="auto" w:fill="F5F8FA"/>
          </w:tcPr>
          <w:p>
            <w:pPr>
              <w:spacing w:after="20"/>
            </w:pPr>
            <w:r/>
            <w:r>
              <w:rPr>
                <w:b w:val="0"/>
                <w:sz w:val="18"/>
              </w:rPr>
              <w:t>4</w:t>
            </w:r>
          </w:p>
        </w:tc>
      </w:tr>
      <w:tr>
        <w:tc>
          <w:tcPr>
            <w:tcW w:type="dxa" w:w="794"/>
          </w:tcPr>
          <w:p>
            <w:pPr>
              <w:spacing w:after="20"/>
            </w:pPr>
            <w:r/>
            <w:r>
              <w:rPr>
                <w:b w:val="0"/>
                <w:sz w:val="18"/>
              </w:rPr>
              <w:t>3</w:t>
            </w:r>
          </w:p>
        </w:tc>
        <w:tc>
          <w:tcPr>
            <w:tcW w:type="dxa" w:w="3061"/>
          </w:tcPr>
          <w:p>
            <w:pPr>
              <w:spacing w:after="20"/>
            </w:pPr>
            <w:r/>
            <w:r>
              <w:rPr>
                <w:b w:val="0"/>
                <w:sz w:val="18"/>
              </w:rPr>
              <w:t>DimCustomer</w:t>
            </w:r>
          </w:p>
        </w:tc>
        <w:tc>
          <w:tcPr>
            <w:tcW w:type="dxa" w:w="1701"/>
          </w:tcPr>
          <w:p>
            <w:pPr>
              <w:spacing w:after="20"/>
            </w:pPr>
            <w:r/>
            <w:r>
              <w:rPr>
                <w:b w:val="0"/>
                <w:sz w:val="18"/>
              </w:rPr>
              <w:t>18</w:t>
            </w:r>
          </w:p>
        </w:tc>
        <w:tc>
          <w:tcPr>
            <w:tcW w:type="dxa" w:w="1361"/>
          </w:tcPr>
          <w:p>
            <w:pPr>
              <w:spacing w:after="20"/>
            </w:pPr>
            <w:r/>
            <w:r>
              <w:rPr>
                <w:b w:val="0"/>
                <w:sz w:val="18"/>
              </w:rPr>
              <w:t>17</w:t>
            </w:r>
          </w:p>
        </w:tc>
      </w:tr>
      <w:tr>
        <w:tc>
          <w:tcPr>
            <w:tcW w:type="dxa" w:w="794"/>
            <w:shd w:val="clear" w:color="auto" w:fill="F5F8FA"/>
          </w:tcPr>
          <w:p>
            <w:pPr>
              <w:spacing w:after="20"/>
            </w:pPr>
            <w:r/>
            <w:r>
              <w:rPr>
                <w:b w:val="0"/>
                <w:sz w:val="18"/>
              </w:rPr>
              <w:t>4</w:t>
            </w:r>
          </w:p>
        </w:tc>
        <w:tc>
          <w:tcPr>
            <w:tcW w:type="dxa" w:w="3061"/>
            <w:shd w:val="clear" w:color="auto" w:fill="F5F8FA"/>
          </w:tcPr>
          <w:p>
            <w:pPr>
              <w:spacing w:after="20"/>
            </w:pPr>
            <w:r/>
            <w:r>
              <w:rPr>
                <w:b w:val="0"/>
                <w:sz w:val="18"/>
              </w:rPr>
              <w:t>DimDate</w:t>
            </w:r>
          </w:p>
        </w:tc>
        <w:tc>
          <w:tcPr>
            <w:tcW w:type="dxa" w:w="1701"/>
            <w:shd w:val="clear" w:color="auto" w:fill="F5F8FA"/>
          </w:tcPr>
          <w:p>
            <w:pPr>
              <w:spacing w:after="20"/>
            </w:pPr>
            <w:r/>
            <w:r>
              <w:rPr>
                <w:b w:val="0"/>
                <w:sz w:val="18"/>
              </w:rPr>
              <w:t>1,461</w:t>
            </w:r>
          </w:p>
        </w:tc>
        <w:tc>
          <w:tcPr>
            <w:tcW w:type="dxa" w:w="1361"/>
            <w:shd w:val="clear" w:color="auto" w:fill="F5F8FA"/>
          </w:tcPr>
          <w:p>
            <w:pPr>
              <w:spacing w:after="20"/>
            </w:pPr>
            <w:r/>
            <w:r>
              <w:rPr>
                <w:b w:val="0"/>
                <w:sz w:val="18"/>
              </w:rPr>
              <w:t>22</w:t>
            </w:r>
          </w:p>
        </w:tc>
      </w:tr>
      <w:tr>
        <w:tc>
          <w:tcPr>
            <w:tcW w:type="dxa" w:w="794"/>
          </w:tcPr>
          <w:p>
            <w:pPr>
              <w:spacing w:after="20"/>
            </w:pPr>
            <w:r/>
            <w:r>
              <w:rPr>
                <w:b w:val="0"/>
                <w:sz w:val="18"/>
              </w:rPr>
              <w:t>5</w:t>
            </w:r>
          </w:p>
        </w:tc>
        <w:tc>
          <w:tcPr>
            <w:tcW w:type="dxa" w:w="3061"/>
          </w:tcPr>
          <w:p>
            <w:pPr>
              <w:spacing w:after="20"/>
            </w:pPr>
            <w:r/>
            <w:r>
              <w:rPr>
                <w:b w:val="0"/>
                <w:sz w:val="18"/>
              </w:rPr>
              <w:t>DimEmployee</w:t>
            </w:r>
          </w:p>
        </w:tc>
        <w:tc>
          <w:tcPr>
            <w:tcW w:type="dxa" w:w="1701"/>
          </w:tcPr>
          <w:p>
            <w:pPr>
              <w:spacing w:after="20"/>
            </w:pPr>
            <w:r/>
            <w:r>
              <w:rPr>
                <w:b w:val="0"/>
                <w:sz w:val="18"/>
              </w:rPr>
              <w:t>63</w:t>
            </w:r>
          </w:p>
        </w:tc>
        <w:tc>
          <w:tcPr>
            <w:tcW w:type="dxa" w:w="1361"/>
          </w:tcPr>
          <w:p>
            <w:pPr>
              <w:spacing w:after="20"/>
            </w:pPr>
            <w:r/>
            <w:r>
              <w:rPr>
                <w:b w:val="0"/>
                <w:sz w:val="18"/>
              </w:rPr>
              <w:t>13</w:t>
            </w:r>
          </w:p>
        </w:tc>
      </w:tr>
      <w:tr>
        <w:tc>
          <w:tcPr>
            <w:tcW w:type="dxa" w:w="794"/>
            <w:shd w:val="clear" w:color="auto" w:fill="F5F8FA"/>
          </w:tcPr>
          <w:p>
            <w:pPr>
              <w:spacing w:after="20"/>
            </w:pPr>
            <w:r/>
            <w:r>
              <w:rPr>
                <w:b w:val="0"/>
                <w:sz w:val="18"/>
              </w:rPr>
              <w:t>6</w:t>
            </w:r>
          </w:p>
        </w:tc>
        <w:tc>
          <w:tcPr>
            <w:tcW w:type="dxa" w:w="3061"/>
            <w:shd w:val="clear" w:color="auto" w:fill="F5F8FA"/>
          </w:tcPr>
          <w:p>
            <w:pPr>
              <w:spacing w:after="20"/>
            </w:pPr>
            <w:r/>
            <w:r>
              <w:rPr>
                <w:b w:val="0"/>
                <w:sz w:val="18"/>
              </w:rPr>
              <w:t>DimFXRate</w:t>
            </w:r>
          </w:p>
        </w:tc>
        <w:tc>
          <w:tcPr>
            <w:tcW w:type="dxa" w:w="1701"/>
            <w:shd w:val="clear" w:color="auto" w:fill="F5F8FA"/>
          </w:tcPr>
          <w:p>
            <w:pPr>
              <w:spacing w:after="20"/>
            </w:pPr>
            <w:r/>
            <w:r>
              <w:rPr>
                <w:b w:val="0"/>
                <w:sz w:val="18"/>
              </w:rPr>
              <w:t>84</w:t>
            </w:r>
          </w:p>
        </w:tc>
        <w:tc>
          <w:tcPr>
            <w:tcW w:type="dxa" w:w="1361"/>
            <w:shd w:val="clear" w:color="auto" w:fill="F5F8FA"/>
          </w:tcPr>
          <w:p>
            <w:pPr>
              <w:spacing w:after="20"/>
            </w:pPr>
            <w:r/>
            <w:r>
              <w:rPr>
                <w:b w:val="0"/>
                <w:sz w:val="18"/>
              </w:rPr>
              <w:t>6</w:t>
            </w:r>
          </w:p>
        </w:tc>
      </w:tr>
      <w:tr>
        <w:tc>
          <w:tcPr>
            <w:tcW w:type="dxa" w:w="794"/>
          </w:tcPr>
          <w:p>
            <w:pPr>
              <w:spacing w:after="20"/>
            </w:pPr>
            <w:r/>
            <w:r>
              <w:rPr>
                <w:b w:val="0"/>
                <w:sz w:val="18"/>
              </w:rPr>
              <w:t>7</w:t>
            </w:r>
          </w:p>
        </w:tc>
        <w:tc>
          <w:tcPr>
            <w:tcW w:type="dxa" w:w="3061"/>
          </w:tcPr>
          <w:p>
            <w:pPr>
              <w:spacing w:after="20"/>
            </w:pPr>
            <w:r/>
            <w:r>
              <w:rPr>
                <w:b w:val="0"/>
                <w:sz w:val="18"/>
              </w:rPr>
              <w:t>DimScheme</w:t>
            </w:r>
          </w:p>
        </w:tc>
        <w:tc>
          <w:tcPr>
            <w:tcW w:type="dxa" w:w="1701"/>
          </w:tcPr>
          <w:p>
            <w:pPr>
              <w:spacing w:after="20"/>
            </w:pPr>
            <w:r/>
            <w:r>
              <w:rPr>
                <w:b w:val="0"/>
                <w:sz w:val="18"/>
              </w:rPr>
              <w:t>7</w:t>
            </w:r>
          </w:p>
        </w:tc>
        <w:tc>
          <w:tcPr>
            <w:tcW w:type="dxa" w:w="1361"/>
          </w:tcPr>
          <w:p>
            <w:pPr>
              <w:spacing w:after="20"/>
            </w:pPr>
            <w:r/>
            <w:r>
              <w:rPr>
                <w:b w:val="0"/>
                <w:sz w:val="18"/>
              </w:rPr>
              <w:t>18</w:t>
            </w:r>
          </w:p>
        </w:tc>
      </w:tr>
      <w:tr>
        <w:tc>
          <w:tcPr>
            <w:tcW w:type="dxa" w:w="794"/>
            <w:shd w:val="clear" w:color="auto" w:fill="F5F8FA"/>
          </w:tcPr>
          <w:p>
            <w:pPr>
              <w:spacing w:after="20"/>
            </w:pPr>
            <w:r/>
            <w:r>
              <w:rPr>
                <w:b w:val="0"/>
                <w:sz w:val="18"/>
              </w:rPr>
              <w:t>8</w:t>
            </w:r>
          </w:p>
        </w:tc>
        <w:tc>
          <w:tcPr>
            <w:tcW w:type="dxa" w:w="3061"/>
            <w:shd w:val="clear" w:color="auto" w:fill="F5F8FA"/>
          </w:tcPr>
          <w:p>
            <w:pPr>
              <w:spacing w:after="20"/>
            </w:pPr>
            <w:r/>
            <w:r>
              <w:rPr>
                <w:b w:val="0"/>
                <w:sz w:val="18"/>
              </w:rPr>
              <w:t>DimUser</w:t>
            </w:r>
          </w:p>
        </w:tc>
        <w:tc>
          <w:tcPr>
            <w:tcW w:type="dxa" w:w="1701"/>
            <w:shd w:val="clear" w:color="auto" w:fill="F5F8FA"/>
          </w:tcPr>
          <w:p>
            <w:pPr>
              <w:spacing w:after="20"/>
            </w:pPr>
            <w:r/>
            <w:r>
              <w:rPr>
                <w:b w:val="0"/>
                <w:sz w:val="18"/>
              </w:rPr>
              <w:t>12</w:t>
            </w:r>
          </w:p>
        </w:tc>
        <w:tc>
          <w:tcPr>
            <w:tcW w:type="dxa" w:w="1361"/>
            <w:shd w:val="clear" w:color="auto" w:fill="F5F8FA"/>
          </w:tcPr>
          <w:p>
            <w:pPr>
              <w:spacing w:after="20"/>
            </w:pPr>
            <w:r/>
            <w:r>
              <w:rPr>
                <w:b w:val="0"/>
                <w:sz w:val="18"/>
              </w:rPr>
              <w:t>16</w:t>
            </w:r>
          </w:p>
        </w:tc>
      </w:tr>
      <w:tr>
        <w:tc>
          <w:tcPr>
            <w:tcW w:type="dxa" w:w="794"/>
          </w:tcPr>
          <w:p>
            <w:pPr>
              <w:spacing w:after="20"/>
            </w:pPr>
            <w:r/>
            <w:r>
              <w:rPr>
                <w:b w:val="0"/>
                <w:sz w:val="18"/>
              </w:rPr>
              <w:t>9</w:t>
            </w:r>
          </w:p>
        </w:tc>
        <w:tc>
          <w:tcPr>
            <w:tcW w:type="dxa" w:w="3061"/>
          </w:tcPr>
          <w:p>
            <w:pPr>
              <w:spacing w:after="20"/>
            </w:pPr>
            <w:r/>
            <w:r>
              <w:rPr>
                <w:b w:val="0"/>
                <w:sz w:val="18"/>
              </w:rPr>
              <w:t>DimVendor</w:t>
            </w:r>
          </w:p>
        </w:tc>
        <w:tc>
          <w:tcPr>
            <w:tcW w:type="dxa" w:w="1701"/>
          </w:tcPr>
          <w:p>
            <w:pPr>
              <w:spacing w:after="20"/>
            </w:pPr>
            <w:r/>
            <w:r>
              <w:rPr>
                <w:b w:val="0"/>
                <w:sz w:val="18"/>
              </w:rPr>
              <w:t>26</w:t>
            </w:r>
          </w:p>
        </w:tc>
        <w:tc>
          <w:tcPr>
            <w:tcW w:type="dxa" w:w="1361"/>
          </w:tcPr>
          <w:p>
            <w:pPr>
              <w:spacing w:after="20"/>
            </w:pPr>
            <w:r/>
            <w:r>
              <w:rPr>
                <w:b w:val="0"/>
                <w:sz w:val="18"/>
              </w:rPr>
              <w:t>24</w:t>
            </w:r>
          </w:p>
        </w:tc>
      </w:tr>
      <w:tr>
        <w:tc>
          <w:tcPr>
            <w:tcW w:type="dxa" w:w="794"/>
            <w:shd w:val="clear" w:color="auto" w:fill="F5F8FA"/>
          </w:tcPr>
          <w:p>
            <w:pPr>
              <w:spacing w:after="20"/>
            </w:pPr>
            <w:r/>
            <w:r>
              <w:rPr>
                <w:b w:val="0"/>
                <w:sz w:val="18"/>
              </w:rPr>
              <w:t>10</w:t>
            </w:r>
          </w:p>
        </w:tc>
        <w:tc>
          <w:tcPr>
            <w:tcW w:type="dxa" w:w="3061"/>
            <w:shd w:val="clear" w:color="auto" w:fill="F5F8FA"/>
          </w:tcPr>
          <w:p>
            <w:pPr>
              <w:spacing w:after="20"/>
            </w:pPr>
            <w:r/>
            <w:r>
              <w:rPr>
                <w:b w:val="0"/>
                <w:sz w:val="18"/>
              </w:rPr>
              <w:t>FactAPInvoices</w:t>
            </w:r>
          </w:p>
        </w:tc>
        <w:tc>
          <w:tcPr>
            <w:tcW w:type="dxa" w:w="1701"/>
            <w:shd w:val="clear" w:color="auto" w:fill="F5F8FA"/>
          </w:tcPr>
          <w:p>
            <w:pPr>
              <w:spacing w:after="20"/>
            </w:pPr>
            <w:r/>
            <w:r>
              <w:rPr>
                <w:b w:val="0"/>
                <w:sz w:val="18"/>
              </w:rPr>
              <w:t>520</w:t>
            </w:r>
          </w:p>
        </w:tc>
        <w:tc>
          <w:tcPr>
            <w:tcW w:type="dxa" w:w="1361"/>
            <w:shd w:val="clear" w:color="auto" w:fill="F5F8FA"/>
          </w:tcPr>
          <w:p>
            <w:pPr>
              <w:spacing w:after="20"/>
            </w:pPr>
            <w:r/>
            <w:r>
              <w:rPr>
                <w:b w:val="0"/>
                <w:sz w:val="18"/>
              </w:rPr>
              <w:t>21</w:t>
            </w:r>
          </w:p>
        </w:tc>
      </w:tr>
      <w:tr>
        <w:tc>
          <w:tcPr>
            <w:tcW w:type="dxa" w:w="794"/>
          </w:tcPr>
          <w:p>
            <w:pPr>
              <w:spacing w:after="20"/>
            </w:pPr>
            <w:r/>
            <w:r>
              <w:rPr>
                <w:b w:val="0"/>
                <w:sz w:val="18"/>
              </w:rPr>
              <w:t>11</w:t>
            </w:r>
          </w:p>
        </w:tc>
        <w:tc>
          <w:tcPr>
            <w:tcW w:type="dxa" w:w="3061"/>
          </w:tcPr>
          <w:p>
            <w:pPr>
              <w:spacing w:after="20"/>
            </w:pPr>
            <w:r/>
            <w:r>
              <w:rPr>
                <w:b w:val="0"/>
                <w:sz w:val="18"/>
              </w:rPr>
              <w:t>FactARAgeing</w:t>
            </w:r>
          </w:p>
        </w:tc>
        <w:tc>
          <w:tcPr>
            <w:tcW w:type="dxa" w:w="1701"/>
          </w:tcPr>
          <w:p>
            <w:pPr>
              <w:spacing w:after="20"/>
            </w:pPr>
            <w:r/>
            <w:r>
              <w:rPr>
                <w:b w:val="0"/>
                <w:sz w:val="18"/>
              </w:rPr>
              <w:t>420</w:t>
            </w:r>
          </w:p>
        </w:tc>
        <w:tc>
          <w:tcPr>
            <w:tcW w:type="dxa" w:w="1361"/>
          </w:tcPr>
          <w:p>
            <w:pPr>
              <w:spacing w:after="20"/>
            </w:pPr>
            <w:r/>
            <w:r>
              <w:rPr>
                <w:b w:val="0"/>
                <w:sz w:val="18"/>
              </w:rPr>
              <w:t>21</w:t>
            </w:r>
          </w:p>
        </w:tc>
      </w:tr>
      <w:tr>
        <w:tc>
          <w:tcPr>
            <w:tcW w:type="dxa" w:w="794"/>
            <w:shd w:val="clear" w:color="auto" w:fill="F5F8FA"/>
          </w:tcPr>
          <w:p>
            <w:pPr>
              <w:spacing w:after="20"/>
            </w:pPr>
            <w:r/>
            <w:r>
              <w:rPr>
                <w:b w:val="0"/>
                <w:sz w:val="18"/>
              </w:rPr>
              <w:t>12</w:t>
            </w:r>
          </w:p>
        </w:tc>
        <w:tc>
          <w:tcPr>
            <w:tcW w:type="dxa" w:w="3061"/>
            <w:shd w:val="clear" w:color="auto" w:fill="F5F8FA"/>
          </w:tcPr>
          <w:p>
            <w:pPr>
              <w:spacing w:after="20"/>
            </w:pPr>
            <w:r/>
            <w:r>
              <w:rPr>
                <w:b w:val="0"/>
                <w:sz w:val="18"/>
              </w:rPr>
              <w:t>FactBankTransactions</w:t>
            </w:r>
          </w:p>
        </w:tc>
        <w:tc>
          <w:tcPr>
            <w:tcW w:type="dxa" w:w="1701"/>
            <w:shd w:val="clear" w:color="auto" w:fill="F5F8FA"/>
          </w:tcPr>
          <w:p>
            <w:pPr>
              <w:spacing w:after="20"/>
            </w:pPr>
            <w:r/>
            <w:r>
              <w:rPr>
                <w:b w:val="0"/>
                <w:sz w:val="18"/>
              </w:rPr>
              <w:t>1,400</w:t>
            </w:r>
          </w:p>
        </w:tc>
        <w:tc>
          <w:tcPr>
            <w:tcW w:type="dxa" w:w="1361"/>
            <w:shd w:val="clear" w:color="auto" w:fill="F5F8FA"/>
          </w:tcPr>
          <w:p>
            <w:pPr>
              <w:spacing w:after="20"/>
            </w:pPr>
            <w:r/>
            <w:r>
              <w:rPr>
                <w:b w:val="0"/>
                <w:sz w:val="18"/>
              </w:rPr>
              <w:t>16</w:t>
            </w:r>
          </w:p>
        </w:tc>
      </w:tr>
      <w:tr>
        <w:tc>
          <w:tcPr>
            <w:tcW w:type="dxa" w:w="794"/>
          </w:tcPr>
          <w:p>
            <w:pPr>
              <w:spacing w:after="20"/>
            </w:pPr>
            <w:r/>
            <w:r>
              <w:rPr>
                <w:b w:val="0"/>
                <w:sz w:val="18"/>
              </w:rPr>
              <w:t>13</w:t>
            </w:r>
          </w:p>
        </w:tc>
        <w:tc>
          <w:tcPr>
            <w:tcW w:type="dxa" w:w="3061"/>
          </w:tcPr>
          <w:p>
            <w:pPr>
              <w:spacing w:after="20"/>
            </w:pPr>
            <w:r/>
            <w:r>
              <w:rPr>
                <w:b w:val="0"/>
                <w:sz w:val="18"/>
              </w:rPr>
              <w:t>FactBudget</w:t>
            </w:r>
          </w:p>
        </w:tc>
        <w:tc>
          <w:tcPr>
            <w:tcW w:type="dxa" w:w="1701"/>
          </w:tcPr>
          <w:p>
            <w:pPr>
              <w:spacing w:after="20"/>
            </w:pPr>
            <w:r/>
            <w:r>
              <w:rPr>
                <w:b w:val="0"/>
                <w:sz w:val="18"/>
              </w:rPr>
              <w:t>1,299</w:t>
            </w:r>
          </w:p>
        </w:tc>
        <w:tc>
          <w:tcPr>
            <w:tcW w:type="dxa" w:w="1361"/>
          </w:tcPr>
          <w:p>
            <w:pPr>
              <w:spacing w:after="20"/>
            </w:pPr>
            <w:r/>
            <w:r>
              <w:rPr>
                <w:b w:val="0"/>
                <w:sz w:val="18"/>
              </w:rPr>
              <w:t>7</w:t>
            </w:r>
          </w:p>
        </w:tc>
      </w:tr>
      <w:tr>
        <w:tc>
          <w:tcPr>
            <w:tcW w:type="dxa" w:w="794"/>
            <w:shd w:val="clear" w:color="auto" w:fill="F5F8FA"/>
          </w:tcPr>
          <w:p>
            <w:pPr>
              <w:spacing w:after="20"/>
            </w:pPr>
            <w:r/>
            <w:r>
              <w:rPr>
                <w:b w:val="0"/>
                <w:sz w:val="18"/>
              </w:rPr>
              <w:t>14</w:t>
            </w:r>
          </w:p>
        </w:tc>
        <w:tc>
          <w:tcPr>
            <w:tcW w:type="dxa" w:w="3061"/>
            <w:shd w:val="clear" w:color="auto" w:fill="F5F8FA"/>
          </w:tcPr>
          <w:p>
            <w:pPr>
              <w:spacing w:after="20"/>
            </w:pPr>
            <w:r/>
            <w:r>
              <w:rPr>
                <w:b w:val="0"/>
                <w:sz w:val="18"/>
              </w:rPr>
              <w:t>FactClientChurnScored</w:t>
            </w:r>
          </w:p>
        </w:tc>
        <w:tc>
          <w:tcPr>
            <w:tcW w:type="dxa" w:w="1701"/>
            <w:shd w:val="clear" w:color="auto" w:fill="F5F8FA"/>
          </w:tcPr>
          <w:p>
            <w:pPr>
              <w:spacing w:after="20"/>
            </w:pPr>
            <w:r/>
            <w:r>
              <w:rPr>
                <w:b w:val="0"/>
                <w:sz w:val="18"/>
              </w:rPr>
              <w:t>150</w:t>
            </w:r>
          </w:p>
        </w:tc>
        <w:tc>
          <w:tcPr>
            <w:tcW w:type="dxa" w:w="1361"/>
            <w:shd w:val="clear" w:color="auto" w:fill="F5F8FA"/>
          </w:tcPr>
          <w:p>
            <w:pPr>
              <w:spacing w:after="20"/>
            </w:pPr>
            <w:r/>
            <w:r>
              <w:rPr>
                <w:b w:val="0"/>
                <w:sz w:val="18"/>
              </w:rPr>
              <w:t>21</w:t>
            </w:r>
          </w:p>
        </w:tc>
      </w:tr>
      <w:tr>
        <w:tc>
          <w:tcPr>
            <w:tcW w:type="dxa" w:w="794"/>
          </w:tcPr>
          <w:p>
            <w:pPr>
              <w:spacing w:after="20"/>
            </w:pPr>
            <w:r/>
            <w:r>
              <w:rPr>
                <w:b w:val="0"/>
                <w:sz w:val="18"/>
              </w:rPr>
              <w:t>15</w:t>
            </w:r>
          </w:p>
        </w:tc>
        <w:tc>
          <w:tcPr>
            <w:tcW w:type="dxa" w:w="3061"/>
          </w:tcPr>
          <w:p>
            <w:pPr>
              <w:spacing w:after="20"/>
            </w:pPr>
            <w:r/>
            <w:r>
              <w:rPr>
                <w:b w:val="0"/>
                <w:sz w:val="18"/>
              </w:rPr>
              <w:t>FactDismissedExceptions</w:t>
            </w:r>
          </w:p>
        </w:tc>
        <w:tc>
          <w:tcPr>
            <w:tcW w:type="dxa" w:w="1701"/>
          </w:tcPr>
          <w:p>
            <w:pPr>
              <w:spacing w:after="20"/>
            </w:pPr>
            <w:r/>
            <w:r>
              <w:rPr>
                <w:b w:val="0"/>
                <w:sz w:val="18"/>
              </w:rPr>
              <w:t>141</w:t>
            </w:r>
          </w:p>
        </w:tc>
        <w:tc>
          <w:tcPr>
            <w:tcW w:type="dxa" w:w="1361"/>
          </w:tcPr>
          <w:p>
            <w:pPr>
              <w:spacing w:after="20"/>
            </w:pPr>
            <w:r/>
            <w:r>
              <w:rPr>
                <w:b w:val="0"/>
                <w:sz w:val="18"/>
              </w:rPr>
              <w:t>9</w:t>
            </w:r>
          </w:p>
        </w:tc>
      </w:tr>
      <w:tr>
        <w:tc>
          <w:tcPr>
            <w:tcW w:type="dxa" w:w="794"/>
            <w:shd w:val="clear" w:color="auto" w:fill="F5F8FA"/>
          </w:tcPr>
          <w:p>
            <w:pPr>
              <w:spacing w:after="20"/>
            </w:pPr>
            <w:r/>
            <w:r>
              <w:rPr>
                <w:b w:val="0"/>
                <w:sz w:val="18"/>
              </w:rPr>
              <w:t>16</w:t>
            </w:r>
          </w:p>
        </w:tc>
        <w:tc>
          <w:tcPr>
            <w:tcW w:type="dxa" w:w="3061"/>
            <w:shd w:val="clear" w:color="auto" w:fill="F5F8FA"/>
          </w:tcPr>
          <w:p>
            <w:pPr>
              <w:spacing w:after="20"/>
            </w:pPr>
            <w:r/>
            <w:r>
              <w:rPr>
                <w:b w:val="0"/>
                <w:sz w:val="18"/>
              </w:rPr>
              <w:t>FactEngagementEconomics</w:t>
            </w:r>
          </w:p>
        </w:tc>
        <w:tc>
          <w:tcPr>
            <w:tcW w:type="dxa" w:w="1701"/>
            <w:shd w:val="clear" w:color="auto" w:fill="F5F8FA"/>
          </w:tcPr>
          <w:p>
            <w:pPr>
              <w:spacing w:after="20"/>
            </w:pPr>
            <w:r/>
            <w:r>
              <w:rPr>
                <w:b w:val="0"/>
                <w:sz w:val="18"/>
              </w:rPr>
              <w:t>160</w:t>
            </w:r>
          </w:p>
        </w:tc>
        <w:tc>
          <w:tcPr>
            <w:tcW w:type="dxa" w:w="1361"/>
            <w:shd w:val="clear" w:color="auto" w:fill="F5F8FA"/>
          </w:tcPr>
          <w:p>
            <w:pPr>
              <w:spacing w:after="20"/>
            </w:pPr>
            <w:r/>
            <w:r>
              <w:rPr>
                <w:b w:val="0"/>
                <w:sz w:val="18"/>
              </w:rPr>
              <w:t>17</w:t>
            </w:r>
          </w:p>
        </w:tc>
      </w:tr>
      <w:tr>
        <w:tc>
          <w:tcPr>
            <w:tcW w:type="dxa" w:w="794"/>
          </w:tcPr>
          <w:p>
            <w:pPr>
              <w:spacing w:after="20"/>
            </w:pPr>
            <w:r/>
            <w:r>
              <w:rPr>
                <w:b w:val="0"/>
                <w:sz w:val="18"/>
              </w:rPr>
              <w:t>17</w:t>
            </w:r>
          </w:p>
        </w:tc>
        <w:tc>
          <w:tcPr>
            <w:tcW w:type="dxa" w:w="3061"/>
          </w:tcPr>
          <w:p>
            <w:pPr>
              <w:spacing w:after="20"/>
            </w:pPr>
            <w:r/>
            <w:r>
              <w:rPr>
                <w:b w:val="0"/>
                <w:sz w:val="18"/>
              </w:rPr>
              <w:t>FactExceptionRegister</w:t>
            </w:r>
          </w:p>
        </w:tc>
        <w:tc>
          <w:tcPr>
            <w:tcW w:type="dxa" w:w="1701"/>
          </w:tcPr>
          <w:p>
            <w:pPr>
              <w:spacing w:after="20"/>
            </w:pPr>
            <w:r/>
            <w:r>
              <w:rPr>
                <w:b w:val="0"/>
                <w:sz w:val="18"/>
              </w:rPr>
              <w:t>171</w:t>
            </w:r>
          </w:p>
        </w:tc>
        <w:tc>
          <w:tcPr>
            <w:tcW w:type="dxa" w:w="1361"/>
          </w:tcPr>
          <w:p>
            <w:pPr>
              <w:spacing w:after="20"/>
            </w:pPr>
            <w:r/>
            <w:r>
              <w:rPr>
                <w:b w:val="0"/>
                <w:sz w:val="18"/>
              </w:rPr>
              <w:t>34</w:t>
            </w:r>
          </w:p>
        </w:tc>
      </w:tr>
      <w:tr>
        <w:tc>
          <w:tcPr>
            <w:tcW w:type="dxa" w:w="794"/>
            <w:shd w:val="clear" w:color="auto" w:fill="F5F8FA"/>
          </w:tcPr>
          <w:p>
            <w:pPr>
              <w:spacing w:after="20"/>
            </w:pPr>
            <w:r/>
            <w:r>
              <w:rPr>
                <w:b w:val="0"/>
                <w:sz w:val="18"/>
              </w:rPr>
              <w:t>18</w:t>
            </w:r>
          </w:p>
        </w:tc>
        <w:tc>
          <w:tcPr>
            <w:tcW w:type="dxa" w:w="3061"/>
            <w:shd w:val="clear" w:color="auto" w:fill="F5F8FA"/>
          </w:tcPr>
          <w:p>
            <w:pPr>
              <w:spacing w:after="20"/>
            </w:pPr>
            <w:r/>
            <w:r>
              <w:rPr>
                <w:b w:val="0"/>
                <w:sz w:val="18"/>
              </w:rPr>
              <w:t>FactExpenseClaims</w:t>
            </w:r>
          </w:p>
        </w:tc>
        <w:tc>
          <w:tcPr>
            <w:tcW w:type="dxa" w:w="1701"/>
            <w:shd w:val="clear" w:color="auto" w:fill="F5F8FA"/>
          </w:tcPr>
          <w:p>
            <w:pPr>
              <w:spacing w:after="20"/>
            </w:pPr>
            <w:r/>
            <w:r>
              <w:rPr>
                <w:b w:val="0"/>
                <w:sz w:val="18"/>
              </w:rPr>
              <w:t>650</w:t>
            </w:r>
          </w:p>
        </w:tc>
        <w:tc>
          <w:tcPr>
            <w:tcW w:type="dxa" w:w="1361"/>
            <w:shd w:val="clear" w:color="auto" w:fill="F5F8FA"/>
          </w:tcPr>
          <w:p>
            <w:pPr>
              <w:spacing w:after="20"/>
            </w:pPr>
            <w:r/>
            <w:r>
              <w:rPr>
                <w:b w:val="0"/>
                <w:sz w:val="18"/>
              </w:rPr>
              <w:t>16</w:t>
            </w:r>
          </w:p>
        </w:tc>
      </w:tr>
      <w:tr>
        <w:tc>
          <w:tcPr>
            <w:tcW w:type="dxa" w:w="794"/>
          </w:tcPr>
          <w:p>
            <w:pPr>
              <w:spacing w:after="20"/>
            </w:pPr>
            <w:r/>
            <w:r>
              <w:rPr>
                <w:b w:val="0"/>
                <w:sz w:val="18"/>
              </w:rPr>
              <w:t>19</w:t>
            </w:r>
          </w:p>
        </w:tc>
        <w:tc>
          <w:tcPr>
            <w:tcW w:type="dxa" w:w="3061"/>
          </w:tcPr>
          <w:p>
            <w:pPr>
              <w:spacing w:after="20"/>
            </w:pPr>
            <w:r/>
            <w:r>
              <w:rPr>
                <w:b w:val="0"/>
                <w:sz w:val="18"/>
              </w:rPr>
              <w:t>FactFixedAssets</w:t>
            </w:r>
          </w:p>
        </w:tc>
        <w:tc>
          <w:tcPr>
            <w:tcW w:type="dxa" w:w="1701"/>
          </w:tcPr>
          <w:p>
            <w:pPr>
              <w:spacing w:after="20"/>
            </w:pPr>
            <w:r/>
            <w:r>
              <w:rPr>
                <w:b w:val="0"/>
                <w:sz w:val="18"/>
              </w:rPr>
              <w:t>120</w:t>
            </w:r>
          </w:p>
        </w:tc>
        <w:tc>
          <w:tcPr>
            <w:tcW w:type="dxa" w:w="1361"/>
          </w:tcPr>
          <w:p>
            <w:pPr>
              <w:spacing w:after="20"/>
            </w:pPr>
            <w:r/>
            <w:r>
              <w:rPr>
                <w:b w:val="0"/>
                <w:sz w:val="18"/>
              </w:rPr>
              <w:t>14</w:t>
            </w:r>
          </w:p>
        </w:tc>
      </w:tr>
      <w:tr>
        <w:tc>
          <w:tcPr>
            <w:tcW w:type="dxa" w:w="794"/>
            <w:shd w:val="clear" w:color="auto" w:fill="F5F8FA"/>
          </w:tcPr>
          <w:p>
            <w:pPr>
              <w:spacing w:after="20"/>
            </w:pPr>
            <w:r/>
            <w:r>
              <w:rPr>
                <w:b w:val="0"/>
                <w:sz w:val="18"/>
              </w:rPr>
              <w:t>20</w:t>
            </w:r>
          </w:p>
        </w:tc>
        <w:tc>
          <w:tcPr>
            <w:tcW w:type="dxa" w:w="3061"/>
            <w:shd w:val="clear" w:color="auto" w:fill="F5F8FA"/>
          </w:tcPr>
          <w:p>
            <w:pPr>
              <w:spacing w:after="20"/>
            </w:pPr>
            <w:r/>
            <w:r>
              <w:rPr>
                <w:b w:val="0"/>
                <w:sz w:val="18"/>
              </w:rPr>
              <w:t>FactGLJournal</w:t>
            </w:r>
          </w:p>
        </w:tc>
        <w:tc>
          <w:tcPr>
            <w:tcW w:type="dxa" w:w="1701"/>
            <w:shd w:val="clear" w:color="auto" w:fill="F5F8FA"/>
          </w:tcPr>
          <w:p>
            <w:pPr>
              <w:spacing w:after="20"/>
            </w:pPr>
            <w:r/>
            <w:r>
              <w:rPr>
                <w:b w:val="0"/>
                <w:sz w:val="18"/>
              </w:rPr>
              <w:t>13,929</w:t>
            </w:r>
          </w:p>
        </w:tc>
        <w:tc>
          <w:tcPr>
            <w:tcW w:type="dxa" w:w="1361"/>
            <w:shd w:val="clear" w:color="auto" w:fill="F5F8FA"/>
          </w:tcPr>
          <w:p>
            <w:pPr>
              <w:spacing w:after="20"/>
            </w:pPr>
            <w:r/>
            <w:r>
              <w:rPr>
                <w:b w:val="0"/>
                <w:sz w:val="18"/>
              </w:rPr>
              <w:t>54</w:t>
            </w:r>
          </w:p>
        </w:tc>
      </w:tr>
      <w:tr>
        <w:tc>
          <w:tcPr>
            <w:tcW w:type="dxa" w:w="794"/>
          </w:tcPr>
          <w:p>
            <w:pPr>
              <w:spacing w:after="20"/>
            </w:pPr>
            <w:r/>
            <w:r>
              <w:rPr>
                <w:b w:val="0"/>
                <w:sz w:val="18"/>
              </w:rPr>
              <w:t>21</w:t>
            </w:r>
          </w:p>
        </w:tc>
        <w:tc>
          <w:tcPr>
            <w:tcW w:type="dxa" w:w="3061"/>
          </w:tcPr>
          <w:p>
            <w:pPr>
              <w:spacing w:after="20"/>
            </w:pPr>
            <w:r/>
            <w:r>
              <w:rPr>
                <w:b w:val="0"/>
                <w:sz w:val="18"/>
              </w:rPr>
              <w:t>FactJournal</w:t>
            </w:r>
          </w:p>
        </w:tc>
        <w:tc>
          <w:tcPr>
            <w:tcW w:type="dxa" w:w="1701"/>
          </w:tcPr>
          <w:p>
            <w:pPr>
              <w:spacing w:after="20"/>
            </w:pPr>
            <w:r/>
            <w:r>
              <w:rPr>
                <w:b w:val="0"/>
                <w:sz w:val="18"/>
              </w:rPr>
              <w:t>5,504</w:t>
            </w:r>
          </w:p>
        </w:tc>
        <w:tc>
          <w:tcPr>
            <w:tcW w:type="dxa" w:w="1361"/>
          </w:tcPr>
          <w:p>
            <w:pPr>
              <w:spacing w:after="20"/>
            </w:pPr>
            <w:r/>
            <w:r>
              <w:rPr>
                <w:b w:val="0"/>
                <w:sz w:val="18"/>
              </w:rPr>
              <w:t>33</w:t>
            </w:r>
          </w:p>
        </w:tc>
      </w:tr>
      <w:tr>
        <w:tc>
          <w:tcPr>
            <w:tcW w:type="dxa" w:w="794"/>
            <w:shd w:val="clear" w:color="auto" w:fill="F5F8FA"/>
          </w:tcPr>
          <w:p>
            <w:pPr>
              <w:spacing w:after="20"/>
            </w:pPr>
            <w:r/>
            <w:r>
              <w:rPr>
                <w:b w:val="0"/>
                <w:sz w:val="18"/>
              </w:rPr>
              <w:t>22</w:t>
            </w:r>
          </w:p>
        </w:tc>
        <w:tc>
          <w:tcPr>
            <w:tcW w:type="dxa" w:w="3061"/>
            <w:shd w:val="clear" w:color="auto" w:fill="F5F8FA"/>
          </w:tcPr>
          <w:p>
            <w:pPr>
              <w:spacing w:after="20"/>
            </w:pPr>
            <w:r/>
            <w:r>
              <w:rPr>
                <w:b w:val="0"/>
                <w:sz w:val="18"/>
              </w:rPr>
              <w:t>FactPipeline</w:t>
            </w:r>
          </w:p>
        </w:tc>
        <w:tc>
          <w:tcPr>
            <w:tcW w:type="dxa" w:w="1701"/>
            <w:shd w:val="clear" w:color="auto" w:fill="F5F8FA"/>
          </w:tcPr>
          <w:p>
            <w:pPr>
              <w:spacing w:after="20"/>
            </w:pPr>
            <w:r/>
            <w:r>
              <w:rPr>
                <w:b w:val="0"/>
                <w:sz w:val="18"/>
              </w:rPr>
              <w:t>240</w:t>
            </w:r>
          </w:p>
        </w:tc>
        <w:tc>
          <w:tcPr>
            <w:tcW w:type="dxa" w:w="1361"/>
            <w:shd w:val="clear" w:color="auto" w:fill="F5F8FA"/>
          </w:tcPr>
          <w:p>
            <w:pPr>
              <w:spacing w:after="20"/>
            </w:pPr>
            <w:r/>
            <w:r>
              <w:rPr>
                <w:b w:val="0"/>
                <w:sz w:val="18"/>
              </w:rPr>
              <w:t>11</w:t>
            </w:r>
          </w:p>
        </w:tc>
      </w:tr>
      <w:tr>
        <w:tc>
          <w:tcPr>
            <w:tcW w:type="dxa" w:w="794"/>
          </w:tcPr>
          <w:p>
            <w:pPr>
              <w:spacing w:after="20"/>
            </w:pPr>
            <w:r/>
            <w:r>
              <w:rPr>
                <w:b w:val="0"/>
                <w:sz w:val="18"/>
              </w:rPr>
              <w:t>23</w:t>
            </w:r>
          </w:p>
        </w:tc>
        <w:tc>
          <w:tcPr>
            <w:tcW w:type="dxa" w:w="3061"/>
          </w:tcPr>
          <w:p>
            <w:pPr>
              <w:spacing w:after="20"/>
            </w:pPr>
            <w:r/>
            <w:r>
              <w:rPr>
                <w:b w:val="0"/>
                <w:sz w:val="18"/>
              </w:rPr>
              <w:t>FactRevenueForecast</w:t>
            </w:r>
          </w:p>
        </w:tc>
        <w:tc>
          <w:tcPr>
            <w:tcW w:type="dxa" w:w="1701"/>
          </w:tcPr>
          <w:p>
            <w:pPr>
              <w:spacing w:after="20"/>
            </w:pPr>
            <w:r/>
            <w:r>
              <w:rPr>
                <w:b w:val="0"/>
                <w:sz w:val="18"/>
              </w:rPr>
              <w:t>45</w:t>
            </w:r>
          </w:p>
        </w:tc>
        <w:tc>
          <w:tcPr>
            <w:tcW w:type="dxa" w:w="1361"/>
          </w:tcPr>
          <w:p>
            <w:pPr>
              <w:spacing w:after="20"/>
            </w:pPr>
            <w:r/>
            <w:r>
              <w:rPr>
                <w:b w:val="0"/>
                <w:sz w:val="18"/>
              </w:rPr>
              <w:t>10</w:t>
            </w:r>
          </w:p>
        </w:tc>
      </w:tr>
      <w:tr>
        <w:tc>
          <w:tcPr>
            <w:tcW w:type="dxa" w:w="794"/>
            <w:shd w:val="clear" w:color="auto" w:fill="F5F8FA"/>
          </w:tcPr>
          <w:p>
            <w:pPr>
              <w:spacing w:after="20"/>
            </w:pPr>
            <w:r/>
            <w:r>
              <w:rPr>
                <w:b w:val="0"/>
                <w:sz w:val="18"/>
              </w:rPr>
              <w:t>24</w:t>
            </w:r>
          </w:p>
        </w:tc>
        <w:tc>
          <w:tcPr>
            <w:tcW w:type="dxa" w:w="3061"/>
            <w:shd w:val="clear" w:color="auto" w:fill="F5F8FA"/>
          </w:tcPr>
          <w:p>
            <w:pPr>
              <w:spacing w:after="20"/>
            </w:pPr>
            <w:r/>
            <w:r>
              <w:rPr>
                <w:b w:val="0"/>
                <w:sz w:val="18"/>
              </w:rPr>
              <w:t>FactSalesOrders</w:t>
            </w:r>
          </w:p>
        </w:tc>
        <w:tc>
          <w:tcPr>
            <w:tcW w:type="dxa" w:w="1701"/>
            <w:shd w:val="clear" w:color="auto" w:fill="F5F8FA"/>
          </w:tcPr>
          <w:p>
            <w:pPr>
              <w:spacing w:after="20"/>
            </w:pPr>
            <w:r/>
            <w:r>
              <w:rPr>
                <w:b w:val="0"/>
                <w:sz w:val="18"/>
              </w:rPr>
              <w:t>900</w:t>
            </w:r>
          </w:p>
        </w:tc>
        <w:tc>
          <w:tcPr>
            <w:tcW w:type="dxa" w:w="1361"/>
            <w:shd w:val="clear" w:color="auto" w:fill="F5F8FA"/>
          </w:tcPr>
          <w:p>
            <w:pPr>
              <w:spacing w:after="20"/>
            </w:pPr>
            <w:r/>
            <w:r>
              <w:rPr>
                <w:b w:val="0"/>
                <w:sz w:val="18"/>
              </w:rPr>
              <w:t>14</w:t>
            </w:r>
          </w:p>
        </w:tc>
      </w:tr>
      <w:tr>
        <w:tc>
          <w:tcPr>
            <w:tcW w:type="dxa" w:w="794"/>
          </w:tcPr>
          <w:p>
            <w:pPr>
              <w:spacing w:after="20"/>
            </w:pPr>
            <w:r/>
            <w:r>
              <w:rPr>
                <w:b w:val="0"/>
                <w:sz w:val="18"/>
              </w:rPr>
              <w:t>25</w:t>
            </w:r>
          </w:p>
        </w:tc>
        <w:tc>
          <w:tcPr>
            <w:tcW w:type="dxa" w:w="3061"/>
          </w:tcPr>
          <w:p>
            <w:pPr>
              <w:spacing w:after="20"/>
            </w:pPr>
            <w:r/>
            <w:r>
              <w:rPr>
                <w:b w:val="0"/>
                <w:sz w:val="18"/>
              </w:rPr>
              <w:t>FactServiceLineMonthly</w:t>
            </w:r>
          </w:p>
        </w:tc>
        <w:tc>
          <w:tcPr>
            <w:tcW w:type="dxa" w:w="1701"/>
          </w:tcPr>
          <w:p>
            <w:pPr>
              <w:spacing w:after="20"/>
            </w:pPr>
            <w:r/>
            <w:r>
              <w:rPr>
                <w:b w:val="0"/>
                <w:sz w:val="18"/>
              </w:rPr>
              <w:t>231</w:t>
            </w:r>
          </w:p>
        </w:tc>
        <w:tc>
          <w:tcPr>
            <w:tcW w:type="dxa" w:w="1361"/>
          </w:tcPr>
          <w:p>
            <w:pPr>
              <w:spacing w:after="20"/>
            </w:pPr>
            <w:r/>
            <w:r>
              <w:rPr>
                <w:b w:val="0"/>
                <w:sz w:val="18"/>
              </w:rPr>
              <w:t>12</w:t>
            </w:r>
          </w:p>
        </w:tc>
      </w:tr>
      <w:tr>
        <w:tc>
          <w:tcPr>
            <w:tcW w:type="dxa" w:w="794"/>
            <w:shd w:val="clear" w:color="auto" w:fill="F5F8FA"/>
          </w:tcPr>
          <w:p>
            <w:pPr>
              <w:spacing w:after="20"/>
            </w:pPr>
            <w:r/>
            <w:r>
              <w:rPr>
                <w:b w:val="0"/>
                <w:sz w:val="18"/>
              </w:rPr>
              <w:t>26</w:t>
            </w:r>
          </w:p>
        </w:tc>
        <w:tc>
          <w:tcPr>
            <w:tcW w:type="dxa" w:w="3061"/>
            <w:shd w:val="clear" w:color="auto" w:fill="F5F8FA"/>
          </w:tcPr>
          <w:p>
            <w:pPr>
              <w:spacing w:after="20"/>
            </w:pPr>
            <w:r/>
            <w:r>
              <w:rPr>
                <w:b w:val="0"/>
                <w:sz w:val="18"/>
              </w:rPr>
              <w:t>FactTrialBalance</w:t>
            </w:r>
          </w:p>
        </w:tc>
        <w:tc>
          <w:tcPr>
            <w:tcW w:type="dxa" w:w="1701"/>
            <w:shd w:val="clear" w:color="auto" w:fill="F5F8FA"/>
          </w:tcPr>
          <w:p>
            <w:pPr>
              <w:spacing w:after="20"/>
            </w:pPr>
            <w:r/>
            <w:r>
              <w:rPr>
                <w:b w:val="0"/>
                <w:sz w:val="18"/>
              </w:rPr>
              <w:t>1,323</w:t>
            </w:r>
          </w:p>
        </w:tc>
        <w:tc>
          <w:tcPr>
            <w:tcW w:type="dxa" w:w="1361"/>
            <w:shd w:val="clear" w:color="auto" w:fill="F5F8FA"/>
          </w:tcPr>
          <w:p>
            <w:pPr>
              <w:spacing w:after="20"/>
            </w:pPr>
            <w:r/>
            <w:r>
              <w:rPr>
                <w:b w:val="0"/>
                <w:sz w:val="18"/>
              </w:rPr>
              <w:t>9</w:t>
            </w:r>
          </w:p>
        </w:tc>
      </w:tr>
    </w:tbl>
    <w:p>
      <w:pPr>
        <w:spacing w:after="40"/>
      </w:pPr>
    </w:p>
    <w:p>
      <w:pPr>
        <w:spacing w:after="120"/>
      </w:pPr>
      <w:r>
        <w:rPr>
          <w:b w:val="0"/>
          <w:i w:val="0"/>
          <w:sz w:val="21"/>
        </w:rPr>
        <w:t>Do not use Get Data &gt; Text/CSV directly. Power BI guesses the types and will get AccountCode (text that looks numeric), DateKey and the currency columns wrong. The M code sets them explicitly, inferred from the values actually shipped.</w:t>
      </w:r>
    </w:p>
    <w:p>
      <w:pPr>
        <w:pStyle w:val="Heading2"/>
      </w:pPr>
      <w:r>
        <w:t>Step 3 - Build the model</w:t>
      </w:r>
    </w:p>
    <w:p>
      <w:pPr>
        <w:pStyle w:val="ListBullet"/>
        <w:spacing w:after="40"/>
      </w:pPr>
      <w:r>
        <w:rPr>
          <w:sz w:val="21"/>
        </w:rPr>
        <w:t>Model view &gt; Manage relationships: create each relationship on the Relationships tab of PowerBI_Data_Model.xlsx. Cardinality one-to-many, cross-filter single, dimension to fact.</w:t>
      </w:r>
    </w:p>
    <w:p>
      <w:pPr>
        <w:pStyle w:val="ListBullet"/>
        <w:spacing w:after="40"/>
      </w:pPr>
      <w:r>
        <w:rPr>
          <w:sz w:val="21"/>
        </w:rPr>
        <w:t>The three role-playing DimDate relationships (DocumentDate, EnteredOn) and the approver relationship must be created inactive and activated with USERELATIONSHIP.</w:t>
      </w:r>
    </w:p>
    <w:p>
      <w:pPr>
        <w:pStyle w:val="ListBullet"/>
        <w:spacing w:after="40"/>
      </w:pPr>
      <w:r>
        <w:rPr>
          <w:sz w:val="21"/>
        </w:rPr>
        <w:t>Check that nothing was auto-created many-to-many - that is the usual cause of doubled totals.</w:t>
      </w:r>
    </w:p>
    <w:p>
      <w:pPr>
        <w:pStyle w:val="ListBullet"/>
        <w:spacing w:after="40"/>
      </w:pPr>
      <w:r>
        <w:rPr>
          <w:sz w:val="21"/>
        </w:rPr>
        <w:t>Table tools &gt; Mark as date table on DimDate (Date column = Date), then Options &gt; Data Load &gt; turn off Auto date/time.</w:t>
      </w:r>
    </w:p>
    <w:p>
      <w:pPr>
        <w:pStyle w:val="ListBullet"/>
        <w:spacing w:after="40"/>
      </w:pPr>
      <w:r>
        <w:rPr>
          <w:sz w:val="21"/>
        </w:rPr>
        <w:t>Hide key columns from report view so nobody puts a key on a visual.</w:t>
      </w:r>
    </w:p>
    <w:p>
      <w:pPr>
        <w:pStyle w:val="Heading2"/>
      </w:pPr>
      <w:r>
        <w:t>Step 4 - Add the measures</w:t>
      </w:r>
    </w:p>
    <w:p>
      <w:pPr>
        <w:spacing w:after="120"/>
      </w:pPr>
      <w:r>
        <w:rPr>
          <w:b w:val="0"/>
          <w:i w:val="0"/>
          <w:sz w:val="21"/>
        </w:rPr>
        <w:t>Paste the three libraries in order: Core_Measures_Library.dax, then Forensic_Tests_Library.dax, then Time_Intelligence_Library.dax. Each file carries // FOLDER: comments naming the display folder for the measures beneath it. 196 measures in total.</w:t>
      </w:r>
    </w:p>
    <w:p>
      <w:pPr>
        <w:pStyle w:val="Heading2"/>
      </w:pPr>
      <w:r>
        <w:t>Step 5 - Validate before you build a single visual</w:t>
      </w:r>
    </w:p>
    <w:p>
      <w:pPr>
        <w:spacing w:after="120"/>
      </w:pPr>
      <w:r>
        <w:rPr>
          <w:b w:val="0"/>
          <w:i w:val="0"/>
          <w:sz w:val="21"/>
        </w:rPr>
        <w:t>Validation_Report.txt re-performs the key measures against the shipped CSVs and ties every one to a control total. Reproduce the same figures in the model using the Validation tab of DAX_Measures_Reference.xlsx:</w:t>
      </w:r>
    </w:p>
    <w:tbl>
      <w:tblPr>
        <w:tblStyle w:val="TableGrid"/>
        <w:tblW w:type="auto" w:w="0"/>
        <w:jc w:val="center"/>
        <w:tblLook w:firstColumn="1" w:firstRow="1" w:lastColumn="0" w:lastRow="0" w:noHBand="0" w:noVBand="1" w:val="04A0"/>
      </w:tblPr>
      <w:tblGrid>
        <w:gridCol w:w="4986"/>
        <w:gridCol w:w="4986"/>
      </w:tblGrid>
      <w:tr>
        <w:tc>
          <w:tcPr>
            <w:tcW w:type="dxa" w:w="4762"/>
            <w:shd w:val="clear" w:color="auto" w:fill="0B2E4F"/>
          </w:tcPr>
          <w:p>
            <w:r/>
            <w:r>
              <w:rPr>
                <w:b/>
                <w:color w:val="FFFFFF"/>
                <w:sz w:val="17"/>
              </w:rPr>
              <w:t>Control</w:t>
            </w:r>
          </w:p>
        </w:tc>
        <w:tc>
          <w:tcPr>
            <w:tcW w:type="dxa" w:w="4876"/>
            <w:shd w:val="clear" w:color="auto" w:fill="0B2E4F"/>
          </w:tcPr>
          <w:p>
            <w:r/>
            <w:r>
              <w:rPr>
                <w:b/>
                <w:color w:val="FFFFFF"/>
                <w:sz w:val="17"/>
              </w:rPr>
              <w:t>Expected</w:t>
            </w:r>
          </w:p>
        </w:tc>
      </w:tr>
      <w:tr>
        <w:tc>
          <w:tcPr>
            <w:tcW w:type="dxa" w:w="4762"/>
          </w:tcPr>
          <w:p>
            <w:pPr>
              <w:spacing w:after="20"/>
            </w:pPr>
            <w:r/>
            <w:r>
              <w:rPr>
                <w:b w:val="0"/>
                <w:sz w:val="18"/>
              </w:rPr>
              <w:t>Total debits = total credits</w:t>
            </w:r>
          </w:p>
        </w:tc>
        <w:tc>
          <w:tcPr>
            <w:tcW w:type="dxa" w:w="4876"/>
          </w:tcPr>
          <w:p>
            <w:pPr>
              <w:spacing w:after="20"/>
              <w:jc w:val="right"/>
            </w:pPr>
            <w:r/>
            <w:r>
              <w:rPr>
                <w:b w:val="0"/>
                <w:sz w:val="18"/>
              </w:rPr>
              <w:t>$122,878,886.54</w:t>
            </w:r>
          </w:p>
        </w:tc>
      </w:tr>
      <w:tr>
        <w:tc>
          <w:tcPr>
            <w:tcW w:type="dxa" w:w="4762"/>
            <w:shd w:val="clear" w:color="auto" w:fill="F5F8FA"/>
          </w:tcPr>
          <w:p>
            <w:pPr>
              <w:spacing w:after="20"/>
            </w:pPr>
            <w:r/>
            <w:r>
              <w:rPr>
                <w:b w:val="0"/>
                <w:sz w:val="18"/>
              </w:rPr>
              <w:t>GL lines</w:t>
            </w:r>
          </w:p>
        </w:tc>
        <w:tc>
          <w:tcPr>
            <w:tcW w:type="dxa" w:w="4876"/>
            <w:shd w:val="clear" w:color="auto" w:fill="F5F8FA"/>
          </w:tcPr>
          <w:p>
            <w:pPr>
              <w:spacing w:after="20"/>
              <w:jc w:val="right"/>
            </w:pPr>
            <w:r/>
            <w:r>
              <w:rPr>
                <w:b w:val="0"/>
                <w:sz w:val="18"/>
              </w:rPr>
              <w:t>13,929</w:t>
            </w:r>
          </w:p>
        </w:tc>
      </w:tr>
      <w:tr>
        <w:tc>
          <w:tcPr>
            <w:tcW w:type="dxa" w:w="4762"/>
          </w:tcPr>
          <w:p>
            <w:pPr>
              <w:spacing w:after="20"/>
            </w:pPr>
            <w:r/>
            <w:r>
              <w:rPr>
                <w:b w:val="0"/>
                <w:sz w:val="18"/>
              </w:rPr>
              <w:t>Journals</w:t>
            </w:r>
          </w:p>
        </w:tc>
        <w:tc>
          <w:tcPr>
            <w:tcW w:type="dxa" w:w="4876"/>
          </w:tcPr>
          <w:p>
            <w:pPr>
              <w:spacing w:after="20"/>
              <w:jc w:val="right"/>
            </w:pPr>
            <w:r/>
            <w:r>
              <w:rPr>
                <w:b w:val="0"/>
                <w:sz w:val="18"/>
              </w:rPr>
              <w:t>5,504</w:t>
            </w:r>
          </w:p>
        </w:tc>
      </w:tr>
      <w:tr>
        <w:tc>
          <w:tcPr>
            <w:tcW w:type="dxa" w:w="4762"/>
            <w:shd w:val="clear" w:color="auto" w:fill="F5F8FA"/>
          </w:tcPr>
          <w:p>
            <w:pPr>
              <w:spacing w:after="20"/>
            </w:pPr>
            <w:r/>
            <w:r>
              <w:rPr>
                <w:b w:val="0"/>
                <w:sz w:val="18"/>
              </w:rPr>
              <w:t>Balance sheet check</w:t>
            </w:r>
          </w:p>
        </w:tc>
        <w:tc>
          <w:tcPr>
            <w:tcW w:type="dxa" w:w="4876"/>
            <w:shd w:val="clear" w:color="auto" w:fill="F5F8FA"/>
          </w:tcPr>
          <w:p>
            <w:pPr>
              <w:spacing w:after="20"/>
              <w:jc w:val="right"/>
            </w:pPr>
            <w:r/>
            <w:r>
              <w:rPr>
                <w:b w:val="0"/>
                <w:sz w:val="18"/>
              </w:rPr>
              <w:t>0.00</w:t>
            </w:r>
          </w:p>
        </w:tc>
      </w:tr>
      <w:tr>
        <w:tc>
          <w:tcPr>
            <w:tcW w:type="dxa" w:w="4762"/>
          </w:tcPr>
          <w:p>
            <w:pPr>
              <w:spacing w:after="20"/>
            </w:pPr>
            <w:r/>
            <w:r>
              <w:rPr>
                <w:b w:val="0"/>
                <w:sz w:val="18"/>
              </w:rPr>
              <w:t>Revenue FY2024</w:t>
            </w:r>
          </w:p>
        </w:tc>
        <w:tc>
          <w:tcPr>
            <w:tcW w:type="dxa" w:w="4876"/>
          </w:tcPr>
          <w:p>
            <w:pPr>
              <w:spacing w:after="20"/>
              <w:jc w:val="right"/>
            </w:pPr>
            <w:r/>
            <w:r>
              <w:rPr>
                <w:b w:val="0"/>
                <w:sz w:val="18"/>
              </w:rPr>
              <w:t>$13,786,572.99</w:t>
            </w:r>
          </w:p>
        </w:tc>
      </w:tr>
      <w:tr>
        <w:tc>
          <w:tcPr>
            <w:tcW w:type="dxa" w:w="4762"/>
            <w:shd w:val="clear" w:color="auto" w:fill="F5F8FA"/>
          </w:tcPr>
          <w:p>
            <w:pPr>
              <w:spacing w:after="20"/>
            </w:pPr>
            <w:r/>
            <w:r>
              <w:rPr>
                <w:b w:val="0"/>
                <w:sz w:val="18"/>
              </w:rPr>
              <w:t>Revenue FY2025 nine months</w:t>
            </w:r>
          </w:p>
        </w:tc>
        <w:tc>
          <w:tcPr>
            <w:tcW w:type="dxa" w:w="4876"/>
            <w:shd w:val="clear" w:color="auto" w:fill="F5F8FA"/>
          </w:tcPr>
          <w:p>
            <w:pPr>
              <w:spacing w:after="20"/>
              <w:jc w:val="right"/>
            </w:pPr>
            <w:r/>
            <w:r>
              <w:rPr>
                <w:b w:val="0"/>
                <w:sz w:val="18"/>
              </w:rPr>
              <w:t>$10,543,059.22</w:t>
            </w:r>
          </w:p>
        </w:tc>
      </w:tr>
      <w:tr>
        <w:tc>
          <w:tcPr>
            <w:tcW w:type="dxa" w:w="4762"/>
          </w:tcPr>
          <w:p>
            <w:pPr>
              <w:spacing w:after="20"/>
            </w:pPr>
            <w:r/>
            <w:r>
              <w:rPr>
                <w:b w:val="0"/>
                <w:sz w:val="18"/>
              </w:rPr>
              <w:t>Net profit FY2025 nine months</w:t>
            </w:r>
          </w:p>
        </w:tc>
        <w:tc>
          <w:tcPr>
            <w:tcW w:type="dxa" w:w="4876"/>
          </w:tcPr>
          <w:p>
            <w:pPr>
              <w:spacing w:after="20"/>
              <w:jc w:val="right"/>
            </w:pPr>
            <w:r/>
            <w:r>
              <w:rPr>
                <w:b w:val="0"/>
                <w:sz w:val="18"/>
              </w:rPr>
              <w:t>$-61,866.98</w:t>
            </w:r>
          </w:p>
        </w:tc>
      </w:tr>
      <w:tr>
        <w:tc>
          <w:tcPr>
            <w:tcW w:type="dxa" w:w="4762"/>
            <w:shd w:val="clear" w:color="auto" w:fill="F5F8FA"/>
          </w:tcPr>
          <w:p>
            <w:pPr>
              <w:spacing w:after="20"/>
            </w:pPr>
            <w:r/>
            <w:r>
              <w:rPr>
                <w:b w:val="0"/>
                <w:sz w:val="18"/>
              </w:rPr>
              <w:t>Total assets</w:t>
            </w:r>
          </w:p>
        </w:tc>
        <w:tc>
          <w:tcPr>
            <w:tcW w:type="dxa" w:w="4876"/>
            <w:shd w:val="clear" w:color="auto" w:fill="F5F8FA"/>
          </w:tcPr>
          <w:p>
            <w:pPr>
              <w:spacing w:after="20"/>
              <w:jc w:val="right"/>
            </w:pPr>
            <w:r/>
            <w:r>
              <w:rPr>
                <w:b w:val="0"/>
                <w:sz w:val="18"/>
              </w:rPr>
              <w:t>$9,000,443.24</w:t>
            </w:r>
          </w:p>
        </w:tc>
      </w:tr>
      <w:tr>
        <w:tc>
          <w:tcPr>
            <w:tcW w:type="dxa" w:w="4762"/>
          </w:tcPr>
          <w:p>
            <w:pPr>
              <w:spacing w:after="20"/>
            </w:pPr>
            <w:r/>
            <w:r>
              <w:rPr>
                <w:b w:val="0"/>
                <w:sz w:val="18"/>
              </w:rPr>
              <w:t>Supplier spend</w:t>
            </w:r>
          </w:p>
        </w:tc>
        <w:tc>
          <w:tcPr>
            <w:tcW w:type="dxa" w:w="4876"/>
          </w:tcPr>
          <w:p>
            <w:pPr>
              <w:spacing w:after="20"/>
              <w:jc w:val="right"/>
            </w:pPr>
            <w:r/>
            <w:r>
              <w:rPr>
                <w:b w:val="0"/>
                <w:sz w:val="18"/>
              </w:rPr>
              <w:t>$30,505,968.04</w:t>
            </w:r>
          </w:p>
        </w:tc>
      </w:tr>
      <w:tr>
        <w:tc>
          <w:tcPr>
            <w:tcW w:type="dxa" w:w="4762"/>
            <w:shd w:val="clear" w:color="auto" w:fill="F5F8FA"/>
          </w:tcPr>
          <w:p>
            <w:pPr>
              <w:spacing w:after="20"/>
            </w:pPr>
            <w:r/>
            <w:r>
              <w:rPr>
                <w:b w:val="0"/>
                <w:sz w:val="18"/>
              </w:rPr>
              <w:t>Exception value</w:t>
            </w:r>
          </w:p>
        </w:tc>
        <w:tc>
          <w:tcPr>
            <w:tcW w:type="dxa" w:w="4876"/>
            <w:shd w:val="clear" w:color="auto" w:fill="F5F8FA"/>
          </w:tcPr>
          <w:p>
            <w:pPr>
              <w:spacing w:after="20"/>
              <w:jc w:val="right"/>
            </w:pPr>
            <w:r/>
            <w:r>
              <w:rPr>
                <w:b w:val="0"/>
                <w:sz w:val="18"/>
              </w:rPr>
              <w:t>$1,945,536.55</w:t>
            </w:r>
          </w:p>
        </w:tc>
      </w:tr>
      <w:tr>
        <w:tc>
          <w:tcPr>
            <w:tcW w:type="dxa" w:w="4762"/>
          </w:tcPr>
          <w:p>
            <w:pPr>
              <w:spacing w:after="20"/>
            </w:pPr>
            <w:r/>
            <w:r>
              <w:rPr>
                <w:b w:val="0"/>
                <w:sz w:val="18"/>
              </w:rPr>
              <w:t>Detection rate</w:t>
            </w:r>
          </w:p>
        </w:tc>
        <w:tc>
          <w:tcPr>
            <w:tcW w:type="dxa" w:w="4876"/>
          </w:tcPr>
          <w:p>
            <w:pPr>
              <w:spacing w:after="20"/>
              <w:jc w:val="right"/>
            </w:pPr>
            <w:r/>
            <w:r>
              <w:rPr>
                <w:b w:val="0"/>
                <w:sz w:val="18"/>
              </w:rPr>
              <w:t>100.0%</w:t>
            </w:r>
          </w:p>
        </w:tc>
      </w:tr>
    </w:tbl>
    <w:p>
      <w:pPr>
        <w:spacing w:after="40"/>
      </w:pPr>
    </w:p>
    <w:p>
      <w:pPr>
        <w:spacing w:after="120"/>
      </w:pPr>
      <w:r>
        <w:rPr>
          <w:b w:val="0"/>
          <w:i/>
          <w:sz w:val="21"/>
        </w:rPr>
        <w:t>Two sign conventions cause almost every failure: P&amp;L measures sum PLValue and exclude EntryType = Closing; balance-sheet measures sum BSValue and are filtered to the as-at date. Both columns are already in FactGLJournal.</w:t>
      </w:r>
    </w:p>
    <w:p>
      <w:pPr>
        <w:pStyle w:val="Heading2"/>
      </w:pPr>
      <w:r>
        <w:t>Step 6 - Build the six pages</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color="auto" w:fill="0B2E4F"/>
          </w:tcPr>
          <w:p>
            <w:r/>
            <w:r>
              <w:rPr>
                <w:b/>
                <w:color w:val="FFFFFF"/>
                <w:sz w:val="17"/>
              </w:rPr>
              <w:t>Page</w:t>
            </w:r>
          </w:p>
        </w:tc>
        <w:tc>
          <w:tcPr>
            <w:tcW w:type="dxa" w:w="5216"/>
            <w:shd w:val="clear" w:color="auto" w:fill="0B2E4F"/>
          </w:tcPr>
          <w:p>
            <w:r/>
            <w:r>
              <w:rPr>
                <w:b/>
                <w:color w:val="FFFFFF"/>
                <w:sz w:val="17"/>
              </w:rPr>
              <w:t>Visuals</w:t>
            </w:r>
          </w:p>
        </w:tc>
        <w:tc>
          <w:tcPr>
            <w:tcW w:type="dxa" w:w="2494"/>
            <w:shd w:val="clear" w:color="auto" w:fill="0B2E4F"/>
          </w:tcPr>
          <w:p>
            <w:r/>
            <w:r>
              <w:rPr>
                <w:b/>
                <w:color w:val="FFFFFF"/>
                <w:sz w:val="17"/>
              </w:rPr>
              <w:t>Slicers</w:t>
            </w:r>
          </w:p>
        </w:tc>
      </w:tr>
      <w:tr>
        <w:tc>
          <w:tcPr>
            <w:tcW w:type="dxa" w:w="1928"/>
          </w:tcPr>
          <w:p>
            <w:pPr>
              <w:spacing w:after="20"/>
            </w:pPr>
            <w:r/>
            <w:r>
              <w:rPr>
                <w:b w:val="0"/>
                <w:sz w:val="17"/>
              </w:rPr>
              <w:t>1. Close pack and data quality</w:t>
            </w:r>
          </w:p>
        </w:tc>
        <w:tc>
          <w:tcPr>
            <w:tcW w:type="dxa" w:w="5216"/>
          </w:tcPr>
          <w:p>
            <w:pPr>
              <w:spacing w:after="20"/>
            </w:pPr>
            <w:r/>
            <w:r>
              <w:rPr>
                <w:b w:val="0"/>
                <w:sz w:val="17"/>
              </w:rPr>
              <w:t>Cards: GL balance check, unbalanced journals, orphan keys, suspense balance. Table: GL vs delivered trial balance.</w:t>
            </w:r>
          </w:p>
        </w:tc>
        <w:tc>
          <w:tcPr>
            <w:tcW w:type="dxa" w:w="2494"/>
          </w:tcPr>
          <w:p>
            <w:pPr>
              <w:spacing w:after="20"/>
            </w:pPr>
            <w:r/>
            <w:r>
              <w:rPr>
                <w:b w:val="0"/>
                <w:sz w:val="17"/>
              </w:rPr>
              <w:t>Period</w:t>
            </w:r>
          </w:p>
        </w:tc>
      </w:tr>
      <w:tr>
        <w:tc>
          <w:tcPr>
            <w:tcW w:type="dxa" w:w="1928"/>
            <w:shd w:val="clear" w:color="auto" w:fill="F5F8FA"/>
          </w:tcPr>
          <w:p>
            <w:pPr>
              <w:spacing w:after="20"/>
            </w:pPr>
            <w:r/>
            <w:r>
              <w:rPr>
                <w:b w:val="0"/>
                <w:sz w:val="17"/>
              </w:rPr>
              <w:t>2. Financial performance</w:t>
            </w:r>
          </w:p>
        </w:tc>
        <w:tc>
          <w:tcPr>
            <w:tcW w:type="dxa" w:w="5216"/>
            <w:shd w:val="clear" w:color="auto" w:fill="F5F8FA"/>
          </w:tcPr>
          <w:p>
            <w:pPr>
              <w:spacing w:after="20"/>
            </w:pPr>
            <w:r/>
            <w:r>
              <w:rPr>
                <w:b w:val="0"/>
                <w:sz w:val="17"/>
              </w:rPr>
              <w:t>Cards: revenue, gross margin, operating profit, net profit. Line and column: revenue and net profit by period. Matrix: P&amp;L by FSLine with prior year. Decomposition tree: revenue to account.</w:t>
            </w:r>
          </w:p>
        </w:tc>
        <w:tc>
          <w:tcPr>
            <w:tcW w:type="dxa" w:w="2494"/>
            <w:shd w:val="clear" w:color="auto" w:fill="F5F8FA"/>
          </w:tcPr>
          <w:p>
            <w:pPr>
              <w:spacing w:after="20"/>
            </w:pPr>
            <w:r/>
            <w:r>
              <w:rPr>
                <w:b w:val="0"/>
                <w:sz w:val="17"/>
              </w:rPr>
              <w:t>Fiscal year; exclude EntryType Closing</w:t>
            </w:r>
          </w:p>
        </w:tc>
      </w:tr>
      <w:tr>
        <w:tc>
          <w:tcPr>
            <w:tcW w:type="dxa" w:w="1928"/>
          </w:tcPr>
          <w:p>
            <w:pPr>
              <w:spacing w:after="20"/>
            </w:pPr>
            <w:r/>
            <w:r>
              <w:rPr>
                <w:b w:val="0"/>
                <w:sz w:val="17"/>
              </w:rPr>
              <w:t>3. Balance sheet and ratios</w:t>
            </w:r>
          </w:p>
        </w:tc>
        <w:tc>
          <w:tcPr>
            <w:tcW w:type="dxa" w:w="5216"/>
          </w:tcPr>
          <w:p>
            <w:pPr>
              <w:spacing w:after="20"/>
            </w:pPr>
            <w:r/>
            <w:r>
              <w:rPr>
                <w:b w:val="0"/>
                <w:sz w:val="17"/>
              </w:rPr>
              <w:t>Cards: total assets, cash, receivables, payables, current ratio. Gauge: current ratio. Matrix: balance sheet with prior year.</w:t>
            </w:r>
          </w:p>
        </w:tc>
        <w:tc>
          <w:tcPr>
            <w:tcW w:type="dxa" w:w="2494"/>
          </w:tcPr>
          <w:p>
            <w:pPr>
              <w:spacing w:after="20"/>
            </w:pPr>
            <w:r/>
            <w:r>
              <w:rPr>
                <w:b w:val="0"/>
                <w:sz w:val="17"/>
              </w:rPr>
              <w:t>As at 30 Sep 2025</w:t>
            </w:r>
          </w:p>
        </w:tc>
      </w:tr>
      <w:tr>
        <w:tc>
          <w:tcPr>
            <w:tcW w:type="dxa" w:w="1928"/>
            <w:shd w:val="clear" w:color="auto" w:fill="F5F8FA"/>
          </w:tcPr>
          <w:p>
            <w:pPr>
              <w:spacing w:after="20"/>
            </w:pPr>
            <w:r/>
            <w:r>
              <w:rPr>
                <w:b w:val="0"/>
                <w:sz w:val="17"/>
              </w:rPr>
              <w:t>4. Fraud and exceptions</w:t>
            </w:r>
          </w:p>
        </w:tc>
        <w:tc>
          <w:tcPr>
            <w:tcW w:type="dxa" w:w="5216"/>
            <w:shd w:val="clear" w:color="auto" w:fill="F5F8FA"/>
          </w:tcPr>
          <w:p>
            <w:pPr>
              <w:spacing w:after="20"/>
            </w:pPr>
            <w:r/>
            <w:r>
              <w:rPr>
                <w:b w:val="0"/>
                <w:sz w:val="17"/>
              </w:rPr>
              <w:t>Cards: exception value, detection rate, risk-weighted value, dismissed count. Bar: value by scheme. Scatter: risk score against amount. Table: the register, sorted by risk-weighted value.</w:t>
            </w:r>
          </w:p>
        </w:tc>
        <w:tc>
          <w:tcPr>
            <w:tcW w:type="dxa" w:w="2494"/>
            <w:shd w:val="clear" w:color="auto" w:fill="F5F8FA"/>
          </w:tcPr>
          <w:p>
            <w:pPr>
              <w:spacing w:after="20"/>
            </w:pPr>
            <w:r/>
            <w:r>
              <w:rPr>
                <w:b w:val="0"/>
                <w:sz w:val="17"/>
              </w:rPr>
              <w:t>Scheme; risk band; test</w:t>
            </w:r>
          </w:p>
        </w:tc>
      </w:tr>
      <w:tr>
        <w:tc>
          <w:tcPr>
            <w:tcW w:type="dxa" w:w="1928"/>
          </w:tcPr>
          <w:p>
            <w:pPr>
              <w:spacing w:after="20"/>
            </w:pPr>
            <w:r/>
            <w:r>
              <w:rPr>
                <w:b w:val="0"/>
                <w:sz w:val="17"/>
              </w:rPr>
              <w:t>5. Procurement and payables</w:t>
            </w:r>
          </w:p>
        </w:tc>
        <w:tc>
          <w:tcPr>
            <w:tcW w:type="dxa" w:w="5216"/>
          </w:tcPr>
          <w:p>
            <w:pPr>
              <w:spacing w:after="20"/>
            </w:pPr>
            <w:r/>
            <w:r>
              <w:rPr>
                <w:b w:val="0"/>
                <w:sz w:val="17"/>
              </w:rPr>
              <w:t>Bar: spend by vendor. Pareto: cumulative share. Donut: three-way-match status. Table: vendors with indicators.</w:t>
            </w:r>
          </w:p>
        </w:tc>
        <w:tc>
          <w:tcPr>
            <w:tcW w:type="dxa" w:w="2494"/>
          </w:tcPr>
          <w:p>
            <w:pPr>
              <w:spacing w:after="20"/>
            </w:pPr>
            <w:r/>
            <w:r>
              <w:rPr>
                <w:b w:val="0"/>
                <w:sz w:val="17"/>
              </w:rPr>
              <w:t>Vendor category</w:t>
            </w:r>
          </w:p>
        </w:tc>
      </w:tr>
      <w:tr>
        <w:tc>
          <w:tcPr>
            <w:tcW w:type="dxa" w:w="1928"/>
            <w:shd w:val="clear" w:color="auto" w:fill="F5F8FA"/>
          </w:tcPr>
          <w:p>
            <w:pPr>
              <w:spacing w:after="20"/>
            </w:pPr>
            <w:r/>
            <w:r>
              <w:rPr>
                <w:b w:val="0"/>
                <w:sz w:val="17"/>
              </w:rPr>
              <w:t>6. Receivables, cash and claims</w:t>
            </w:r>
          </w:p>
        </w:tc>
        <w:tc>
          <w:tcPr>
            <w:tcW w:type="dxa" w:w="5216"/>
            <w:shd w:val="clear" w:color="auto" w:fill="F5F8FA"/>
          </w:tcPr>
          <w:p>
            <w:pPr>
              <w:spacing w:after="20"/>
            </w:pPr>
            <w:r/>
            <w:r>
              <w:rPr>
                <w:b w:val="0"/>
                <w:sz w:val="17"/>
              </w:rPr>
              <w:t>Bar: ageing buckets. Table: collections priority. Cards: unreconciled value and age, claims without receipts.</w:t>
            </w:r>
          </w:p>
        </w:tc>
        <w:tc>
          <w:tcPr>
            <w:tcW w:type="dxa" w:w="2494"/>
            <w:shd w:val="clear" w:color="auto" w:fill="F5F8FA"/>
          </w:tcPr>
          <w:p>
            <w:pPr>
              <w:spacing w:after="20"/>
            </w:pPr>
            <w:r/>
            <w:r>
              <w:rPr>
                <w:b w:val="0"/>
                <w:sz w:val="17"/>
              </w:rPr>
              <w:t>Customer; ageing bucket</w:t>
            </w:r>
          </w:p>
        </w:tc>
      </w:tr>
    </w:tbl>
    <w:p>
      <w:pPr>
        <w:spacing w:after="40"/>
      </w:pPr>
    </w:p>
    <w:p>
      <w:pPr>
        <w:spacing w:after="120"/>
      </w:pPr>
      <w:r>
        <w:rPr>
          <w:b w:val="0"/>
          <w:i w:val="0"/>
          <w:sz w:val="21"/>
        </w:rPr>
        <w:t>The interactive dashboard in 10_Interactive_Dashboard is a working specification of pages 2, 4, 5 and 6 - open index.html in a browser and build to match.</w:t>
      </w:r>
    </w:p>
    <w:p>
      <w:pPr>
        <w:pStyle w:val="Heading2"/>
      </w:pPr>
      <w:r>
        <w:t>Step 7 - Govern before publishing</w:t>
      </w:r>
    </w:p>
    <w:p>
      <w:pPr>
        <w:pStyle w:val="ListBullet"/>
        <w:spacing w:after="40"/>
      </w:pPr>
      <w:r>
        <w:rPr>
          <w:sz w:val="21"/>
        </w:rPr>
        <w:t>Row-level security: a role per business unit filtering FactGLJournal on CostCentreCode, tested as a member of the role before publishing.</w:t>
      </w:r>
    </w:p>
    <w:p>
      <w:pPr>
        <w:pStyle w:val="ListBullet"/>
        <w:spacing w:after="40"/>
      </w:pPr>
      <w:r>
        <w:rPr>
          <w:sz w:val="21"/>
        </w:rPr>
        <w:t>Refresh: daily gateway refresh at 06:00 with failure alerts to the model owner.</w:t>
      </w:r>
    </w:p>
    <w:p>
      <w:pPr>
        <w:pStyle w:val="ListBullet"/>
        <w:spacing w:after="40"/>
      </w:pPr>
      <w:r>
        <w:rPr>
          <w:sz w:val="21"/>
        </w:rPr>
        <w:t>Sensitivity: the ledger is Confidential; apply the sensitivity label and workspace encryption.</w:t>
      </w:r>
    </w:p>
    <w:p>
      <w:pPr>
        <w:pStyle w:val="ListBullet"/>
        <w:spacing w:after="40"/>
      </w:pPr>
      <w:r>
        <w:rPr>
          <w:sz w:val="21"/>
        </w:rPr>
        <w:t>Descriptions on every measure, so users see what it does on hover.</w:t>
      </w:r>
    </w:p>
    <w:p>
      <w:pPr>
        <w:pStyle w:val="ListBullet"/>
        <w:spacing w:after="40"/>
      </w:pPr>
      <w:r>
        <w:rPr>
          <w:sz w:val="21"/>
        </w:rPr>
        <w:t>Version control: model version, data as-at date and owner on the report cover page.</w:t>
      </w:r>
    </w:p>
    <w:p>
      <w:pPr>
        <w:pStyle w:val="Heading2"/>
      </w:pPr>
      <w:r>
        <w:t>Common failures and fixes</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color="auto" w:fill="0B2E4F"/>
          </w:tcPr>
          <w:p>
            <w:r/>
            <w:r>
              <w:rPr>
                <w:b/>
                <w:color w:val="FFFFFF"/>
                <w:sz w:val="17"/>
              </w:rPr>
              <w:t>Symptom</w:t>
            </w:r>
          </w:p>
        </w:tc>
        <w:tc>
          <w:tcPr>
            <w:tcW w:type="dxa" w:w="3061"/>
            <w:shd w:val="clear" w:color="auto" w:fill="0B2E4F"/>
          </w:tcPr>
          <w:p>
            <w:r/>
            <w:r>
              <w:rPr>
                <w:b/>
                <w:color w:val="FFFFFF"/>
                <w:sz w:val="17"/>
              </w:rPr>
              <w:t>Cause</w:t>
            </w:r>
          </w:p>
        </w:tc>
        <w:tc>
          <w:tcPr>
            <w:tcW w:type="dxa" w:w="3969"/>
            <w:shd w:val="clear" w:color="auto" w:fill="0B2E4F"/>
          </w:tcPr>
          <w:p>
            <w:r/>
            <w:r>
              <w:rPr>
                <w:b/>
                <w:color w:val="FFFFFF"/>
                <w:sz w:val="17"/>
              </w:rPr>
              <w:t>Fix</w:t>
            </w:r>
          </w:p>
        </w:tc>
      </w:tr>
      <w:tr>
        <w:tc>
          <w:tcPr>
            <w:tcW w:type="dxa" w:w="2608"/>
          </w:tcPr>
          <w:p>
            <w:pPr>
              <w:spacing w:after="20"/>
            </w:pPr>
            <w:r/>
            <w:r>
              <w:rPr>
                <w:b w:val="0"/>
                <w:sz w:val="17"/>
              </w:rPr>
              <w:t>Revenue shows as a negative number</w:t>
            </w:r>
          </w:p>
        </w:tc>
        <w:tc>
          <w:tcPr>
            <w:tcW w:type="dxa" w:w="3061"/>
          </w:tcPr>
          <w:p>
            <w:pPr>
              <w:spacing w:after="20"/>
            </w:pPr>
            <w:r/>
            <w:r>
              <w:rPr>
                <w:b w:val="0"/>
                <w:sz w:val="17"/>
              </w:rPr>
              <w:t>AmountUSD summed instead of PLValue</w:t>
            </w:r>
          </w:p>
        </w:tc>
        <w:tc>
          <w:tcPr>
            <w:tcW w:type="dxa" w:w="3969"/>
          </w:tcPr>
          <w:p>
            <w:pPr>
              <w:spacing w:after="20"/>
            </w:pPr>
            <w:r/>
            <w:r>
              <w:rPr>
                <w:b w:val="0"/>
                <w:sz w:val="17"/>
              </w:rPr>
              <w:t>Sum FactGLJournal[PLValue], which is -AmountUSD x PLSign</w:t>
            </w:r>
          </w:p>
        </w:tc>
      </w:tr>
      <w:tr>
        <w:tc>
          <w:tcPr>
            <w:tcW w:type="dxa" w:w="2608"/>
            <w:shd w:val="clear" w:color="auto" w:fill="F5F8FA"/>
          </w:tcPr>
          <w:p>
            <w:pPr>
              <w:spacing w:after="20"/>
            </w:pPr>
            <w:r/>
            <w:r>
              <w:rPr>
                <w:b w:val="0"/>
                <w:sz w:val="17"/>
              </w:rPr>
              <w:t>Balance sheet does not balance</w:t>
            </w:r>
          </w:p>
        </w:tc>
        <w:tc>
          <w:tcPr>
            <w:tcW w:type="dxa" w:w="3061"/>
            <w:shd w:val="clear" w:color="auto" w:fill="F5F8FA"/>
          </w:tcPr>
          <w:p>
            <w:pPr>
              <w:spacing w:after="20"/>
            </w:pPr>
            <w:r/>
            <w:r>
              <w:rPr>
                <w:b w:val="0"/>
                <w:sz w:val="17"/>
              </w:rPr>
              <w:t>Liabilities and equity not sign-flipped</w:t>
            </w:r>
          </w:p>
        </w:tc>
        <w:tc>
          <w:tcPr>
            <w:tcW w:type="dxa" w:w="3969"/>
            <w:shd w:val="clear" w:color="auto" w:fill="F5F8FA"/>
          </w:tcPr>
          <w:p>
            <w:pPr>
              <w:spacing w:after="20"/>
            </w:pPr>
            <w:r/>
            <w:r>
              <w:rPr>
                <w:b w:val="0"/>
                <w:sz w:val="17"/>
              </w:rPr>
              <w:t>Sum FactGLJournal[BSValue], which already applies BSSign</w:t>
            </w:r>
          </w:p>
        </w:tc>
      </w:tr>
      <w:tr>
        <w:tc>
          <w:tcPr>
            <w:tcW w:type="dxa" w:w="2608"/>
          </w:tcPr>
          <w:p>
            <w:pPr>
              <w:spacing w:after="20"/>
            </w:pPr>
            <w:r/>
            <w:r>
              <w:rPr>
                <w:b w:val="0"/>
                <w:sz w:val="17"/>
              </w:rPr>
              <w:t>P&amp;L overstated</w:t>
            </w:r>
          </w:p>
        </w:tc>
        <w:tc>
          <w:tcPr>
            <w:tcW w:type="dxa" w:w="3061"/>
          </w:tcPr>
          <w:p>
            <w:pPr>
              <w:spacing w:after="20"/>
            </w:pPr>
            <w:r/>
            <w:r>
              <w:rPr>
                <w:b w:val="0"/>
                <w:sz w:val="17"/>
              </w:rPr>
              <w:t>Closing entries included</w:t>
            </w:r>
          </w:p>
        </w:tc>
        <w:tc>
          <w:tcPr>
            <w:tcW w:type="dxa" w:w="3969"/>
          </w:tcPr>
          <w:p>
            <w:pPr>
              <w:spacing w:after="20"/>
            </w:pPr>
            <w:r/>
            <w:r>
              <w:rPr>
                <w:b w:val="0"/>
                <w:sz w:val="17"/>
              </w:rPr>
              <w:t>Filter EntryType &lt;&gt; "Closing" on every P&amp;L measure; balance-sheet measures keep them</w:t>
            </w:r>
          </w:p>
        </w:tc>
      </w:tr>
      <w:tr>
        <w:tc>
          <w:tcPr>
            <w:tcW w:type="dxa" w:w="2608"/>
            <w:shd w:val="clear" w:color="auto" w:fill="F5F8FA"/>
          </w:tcPr>
          <w:p>
            <w:pPr>
              <w:spacing w:after="20"/>
            </w:pPr>
            <w:r/>
            <w:r>
              <w:rPr>
                <w:b w:val="0"/>
                <w:sz w:val="17"/>
              </w:rPr>
              <w:t>Totals doubled</w:t>
            </w:r>
          </w:p>
        </w:tc>
        <w:tc>
          <w:tcPr>
            <w:tcW w:type="dxa" w:w="3061"/>
            <w:shd w:val="clear" w:color="auto" w:fill="F5F8FA"/>
          </w:tcPr>
          <w:p>
            <w:pPr>
              <w:spacing w:after="20"/>
            </w:pPr>
            <w:r/>
            <w:r>
              <w:rPr>
                <w:b w:val="0"/>
                <w:sz w:val="17"/>
              </w:rPr>
              <w:t>A many-to-many relationship was auto-created</w:t>
            </w:r>
          </w:p>
        </w:tc>
        <w:tc>
          <w:tcPr>
            <w:tcW w:type="dxa" w:w="3969"/>
            <w:shd w:val="clear" w:color="auto" w:fill="F5F8FA"/>
          </w:tcPr>
          <w:p>
            <w:pPr>
              <w:spacing w:after="20"/>
            </w:pPr>
            <w:r/>
            <w:r>
              <w:rPr>
                <w:b w:val="0"/>
                <w:sz w:val="17"/>
              </w:rPr>
              <w:t>Delete it; every relationship here is one-to-many from dimension to fact</w:t>
            </w:r>
          </w:p>
        </w:tc>
      </w:tr>
      <w:tr>
        <w:tc>
          <w:tcPr>
            <w:tcW w:type="dxa" w:w="2608"/>
          </w:tcPr>
          <w:p>
            <w:pPr>
              <w:spacing w:after="20"/>
            </w:pPr>
            <w:r/>
            <w:r>
              <w:rPr>
                <w:b w:val="0"/>
                <w:sz w:val="17"/>
              </w:rPr>
              <w:t>Dates will not group</w:t>
            </w:r>
          </w:p>
        </w:tc>
        <w:tc>
          <w:tcPr>
            <w:tcW w:type="dxa" w:w="3061"/>
          </w:tcPr>
          <w:p>
            <w:pPr>
              <w:spacing w:after="20"/>
            </w:pPr>
            <w:r/>
            <w:r>
              <w:rPr>
                <w:b w:val="0"/>
                <w:sz w:val="17"/>
              </w:rPr>
              <w:t>DimDate is not marked as a date table</w:t>
            </w:r>
          </w:p>
        </w:tc>
        <w:tc>
          <w:tcPr>
            <w:tcW w:type="dxa" w:w="3969"/>
          </w:tcPr>
          <w:p>
            <w:pPr>
              <w:spacing w:after="20"/>
            </w:pPr>
            <w:r/>
            <w:r>
              <w:rPr>
                <w:b w:val="0"/>
                <w:sz w:val="17"/>
              </w:rPr>
              <w:t>Table tools &gt; Mark as date table; switch off Auto date/time</w:t>
            </w:r>
          </w:p>
        </w:tc>
      </w:tr>
      <w:tr>
        <w:tc>
          <w:tcPr>
            <w:tcW w:type="dxa" w:w="2608"/>
            <w:shd w:val="clear" w:color="auto" w:fill="F5F8FA"/>
          </w:tcPr>
          <w:p>
            <w:pPr>
              <w:spacing w:after="20"/>
            </w:pPr>
            <w:r/>
            <w:r>
              <w:rPr>
                <w:b w:val="0"/>
                <w:sz w:val="17"/>
              </w:rPr>
              <w:t>Cut-off measures return blanks</w:t>
            </w:r>
          </w:p>
        </w:tc>
        <w:tc>
          <w:tcPr>
            <w:tcW w:type="dxa" w:w="3061"/>
            <w:shd w:val="clear" w:color="auto" w:fill="F5F8FA"/>
          </w:tcPr>
          <w:p>
            <w:pPr>
              <w:spacing w:after="20"/>
            </w:pPr>
            <w:r/>
            <w:r>
              <w:rPr>
                <w:b w:val="0"/>
                <w:sz w:val="17"/>
              </w:rPr>
              <w:t>The DocumentDate relationship is active</w:t>
            </w:r>
          </w:p>
        </w:tc>
        <w:tc>
          <w:tcPr>
            <w:tcW w:type="dxa" w:w="3969"/>
            <w:shd w:val="clear" w:color="auto" w:fill="F5F8FA"/>
          </w:tcPr>
          <w:p>
            <w:pPr>
              <w:spacing w:after="20"/>
            </w:pPr>
            <w:r/>
            <w:r>
              <w:rPr>
                <w:b w:val="0"/>
                <w:sz w:val="17"/>
              </w:rPr>
              <w:t>It must be inactive and wrapped in USERELATIONSHIP</w:t>
            </w:r>
          </w:p>
        </w:tc>
      </w:tr>
      <w:tr>
        <w:tc>
          <w:tcPr>
            <w:tcW w:type="dxa" w:w="2608"/>
          </w:tcPr>
          <w:p>
            <w:pPr>
              <w:spacing w:after="20"/>
            </w:pPr>
            <w:r/>
            <w:r>
              <w:rPr>
                <w:b w:val="0"/>
                <w:sz w:val="17"/>
              </w:rPr>
              <w:t>AccountCode sorted as a number</w:t>
            </w:r>
          </w:p>
        </w:tc>
        <w:tc>
          <w:tcPr>
            <w:tcW w:type="dxa" w:w="3061"/>
          </w:tcPr>
          <w:p>
            <w:pPr>
              <w:spacing w:after="20"/>
            </w:pPr>
            <w:r/>
            <w:r>
              <w:rPr>
                <w:b w:val="0"/>
                <w:sz w:val="17"/>
              </w:rPr>
              <w:t>Power BI guessed the type</w:t>
            </w:r>
          </w:p>
        </w:tc>
        <w:tc>
          <w:tcPr>
            <w:tcW w:type="dxa" w:w="3969"/>
          </w:tcPr>
          <w:p>
            <w:pPr>
              <w:spacing w:after="20"/>
            </w:pPr>
            <w:r/>
            <w:r>
              <w:rPr>
                <w:b w:val="0"/>
                <w:sz w:val="17"/>
              </w:rPr>
              <w:t>Use the supplied M code: AccountCode is type text</w:t>
            </w:r>
          </w:p>
        </w:tc>
      </w:tr>
    </w:tbl>
    <w:p>
      <w:pPr>
        <w:spacing w:after="40"/>
      </w:pP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Power BI build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