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D604" w14:textId="77777777" w:rsidR="00CA460F" w:rsidRDefault="00CA460F" w:rsidP="00CA46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706C55" w14:textId="455D0FAE" w:rsidR="00CA460F" w:rsidRDefault="00CA460F" w:rsidP="00CA460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PyCitySchools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Analysis</w:t>
      </w:r>
    </w:p>
    <w:p w14:paraId="474F04D5" w14:textId="63E947B2" w:rsidR="00CA460F" w:rsidRPr="00CA460F" w:rsidRDefault="00CA460F" w:rsidP="00CA4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460F">
        <w:rPr>
          <w:rFonts w:ascii="Segoe UI" w:eastAsia="Times New Roman" w:hAnsi="Segoe UI" w:cs="Segoe UI"/>
          <w:color w:val="24292E"/>
          <w:sz w:val="24"/>
          <w:szCs w:val="24"/>
        </w:rPr>
        <w:t>Average math and reading scores stay consistent across grade level when grouped by school. There is no major improvement in scores from any school.</w:t>
      </w:r>
    </w:p>
    <w:p w14:paraId="7194687C" w14:textId="77777777" w:rsidR="00CA460F" w:rsidRPr="00CA460F" w:rsidRDefault="00CA460F" w:rsidP="00CA460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460F">
        <w:rPr>
          <w:rFonts w:ascii="Segoe UI" w:eastAsia="Times New Roman" w:hAnsi="Segoe UI" w:cs="Segoe UI"/>
          <w:color w:val="24292E"/>
          <w:sz w:val="24"/>
          <w:szCs w:val="24"/>
        </w:rPr>
        <w:t>The top 5 schools are all charter schools while the bottom 5 all district schools.</w:t>
      </w:r>
    </w:p>
    <w:p w14:paraId="657942A6" w14:textId="60107AE3" w:rsidR="00CA460F" w:rsidRPr="00CA460F" w:rsidRDefault="00CA460F" w:rsidP="00CA460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Pr="00CA460F">
        <w:rPr>
          <w:rFonts w:ascii="Segoe UI" w:eastAsia="Times New Roman" w:hAnsi="Segoe UI" w:cs="Segoe UI"/>
          <w:color w:val="24292E"/>
          <w:sz w:val="24"/>
          <w:szCs w:val="24"/>
        </w:rPr>
        <w:t>er student spending is higher in bottom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CA460F">
        <w:rPr>
          <w:rFonts w:ascii="Segoe UI" w:eastAsia="Times New Roman" w:hAnsi="Segoe UI" w:cs="Segoe UI"/>
          <w:color w:val="24292E"/>
          <w:sz w:val="24"/>
          <w:szCs w:val="24"/>
        </w:rPr>
        <w:t>performing schools than top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CA460F">
        <w:rPr>
          <w:rFonts w:ascii="Segoe UI" w:eastAsia="Times New Roman" w:hAnsi="Segoe UI" w:cs="Segoe UI"/>
          <w:color w:val="24292E"/>
          <w:sz w:val="24"/>
          <w:szCs w:val="24"/>
        </w:rPr>
        <w:t>performing.</w:t>
      </w:r>
    </w:p>
    <w:p w14:paraId="1C035DBA" w14:textId="1B4B0960" w:rsidR="00372F0F" w:rsidRDefault="00CA460F" w:rsidP="00CC6A50">
      <w:pPr>
        <w:numPr>
          <w:ilvl w:val="0"/>
          <w:numId w:val="1"/>
        </w:numPr>
        <w:spacing w:before="60" w:after="100" w:afterAutospacing="1" w:line="240" w:lineRule="auto"/>
      </w:pPr>
      <w:r w:rsidRPr="00CA460F">
        <w:rPr>
          <w:rFonts w:ascii="Segoe UI" w:eastAsia="Times New Roman" w:hAnsi="Segoe UI" w:cs="Segoe UI"/>
          <w:color w:val="24292E"/>
          <w:sz w:val="24"/>
          <w:szCs w:val="24"/>
        </w:rPr>
        <w:t xml:space="preserve">Schools under 2000 students have much higher passing rates than those with student populations above 2000. </w:t>
      </w:r>
      <w:bookmarkStart w:id="0" w:name="_GoBack"/>
      <w:bookmarkEnd w:id="0"/>
    </w:p>
    <w:sectPr w:rsidR="0037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4E0F"/>
    <w:multiLevelType w:val="multilevel"/>
    <w:tmpl w:val="C13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F"/>
    <w:rsid w:val="00084BCE"/>
    <w:rsid w:val="00CA460F"/>
    <w:rsid w:val="00E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23F4"/>
  <w15:chartTrackingRefBased/>
  <w15:docId w15:val="{31E760A7-2D2A-4A89-A55D-9136F49D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Tata</dc:creator>
  <cp:keywords/>
  <dc:description/>
  <cp:lastModifiedBy>Jordan Tata</cp:lastModifiedBy>
  <cp:revision>1</cp:revision>
  <dcterms:created xsi:type="dcterms:W3CDTF">2018-02-14T02:30:00Z</dcterms:created>
  <dcterms:modified xsi:type="dcterms:W3CDTF">2018-02-14T02:32:00Z</dcterms:modified>
</cp:coreProperties>
</file>