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6B9B" w14:textId="173098DA" w:rsidR="00A8607F" w:rsidRDefault="00F94AC9">
      <w:r>
        <w:t>O</w:t>
      </w:r>
      <w:r w:rsidRPr="00F94AC9">
        <w:t>bservations from each chart</w:t>
      </w:r>
      <w:r>
        <w:t>:</w:t>
      </w:r>
      <w:r>
        <w:br/>
      </w:r>
    </w:p>
    <w:p w14:paraId="7A7B5E7D" w14:textId="1CB95E37" w:rsidR="00F94AC9" w:rsidRPr="00F94AC9" w:rsidRDefault="00F94AC9" w:rsidP="00F94AC9">
      <w:r w:rsidRPr="00F94AC9">
        <w:rPr>
          <w:b/>
          <w:bCs/>
        </w:rPr>
        <w:t>GDP at Current Market Prices (2010, 2015, 2020)</w:t>
      </w:r>
      <w:r w:rsidRPr="00F94AC9">
        <w:t>:</w:t>
      </w:r>
    </w:p>
    <w:p w14:paraId="69E4D71F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Singapore's GDP at current market prices shows a steady increase over the years from 2010 to 2020.</w:t>
      </w:r>
    </w:p>
    <w:p w14:paraId="0B1DA7E4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A clear upward trend can be observed, indicating economic growth in Singapore across this period.</w:t>
      </w:r>
    </w:p>
    <w:p w14:paraId="0BBE9153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This trend might be driven by factors such as population growth, economic development, and increased government expenditure.</w:t>
      </w:r>
    </w:p>
    <w:p w14:paraId="28D9D92C" w14:textId="36510F6A" w:rsidR="00F94AC9" w:rsidRPr="00F94AC9" w:rsidRDefault="00F94AC9" w:rsidP="00F94AC9">
      <w:r w:rsidRPr="00F94AC9">
        <w:rPr>
          <w:b/>
          <w:bCs/>
        </w:rPr>
        <w:t>Government Expenditure on Education (2010–2021)</w:t>
      </w:r>
      <w:r w:rsidRPr="00F94AC9">
        <w:t>:</w:t>
      </w:r>
    </w:p>
    <w:p w14:paraId="486D336B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Government spending on education saw noticeable growth from 2010 to 2021.</w:t>
      </w:r>
    </w:p>
    <w:p w14:paraId="205A5FD2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This increase may reflect efforts to improve educational infrastructure, resources, and access to education.</w:t>
      </w:r>
    </w:p>
    <w:p w14:paraId="461ACDDC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Such investment could have long-term benefits for Singapore’s workforce quality and competitiveness.</w:t>
      </w:r>
    </w:p>
    <w:p w14:paraId="0D585135" w14:textId="56D51B0D" w:rsidR="00F94AC9" w:rsidRPr="00F94AC9" w:rsidRDefault="00F94AC9" w:rsidP="00F94AC9">
      <w:r w:rsidRPr="00F94AC9">
        <w:rPr>
          <w:b/>
          <w:bCs/>
        </w:rPr>
        <w:t>Population by Age (2010–2020)</w:t>
      </w:r>
      <w:r w:rsidRPr="00F94AC9">
        <w:t>:</w:t>
      </w:r>
    </w:p>
    <w:p w14:paraId="10302165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The chart on population distribution by age suggests significant demographic shifts, such as an increase in older age groups.</w:t>
      </w:r>
    </w:p>
    <w:p w14:paraId="217DC994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This aging population trend could have implications for healthcare, social services, and economic productivity.</w:t>
      </w:r>
    </w:p>
    <w:p w14:paraId="71AAFAD8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Planning for an older population is likely a critical focus for future public policy.</w:t>
      </w:r>
    </w:p>
    <w:p w14:paraId="476626A1" w14:textId="3F416176" w:rsidR="00F94AC9" w:rsidRPr="00F94AC9" w:rsidRDefault="00F94AC9" w:rsidP="00F94AC9">
      <w:r w:rsidRPr="00F94AC9">
        <w:rPr>
          <w:b/>
          <w:bCs/>
        </w:rPr>
        <w:t>GDP by Sector (Yearly)</w:t>
      </w:r>
      <w:r w:rsidRPr="00F94AC9">
        <w:t>:</w:t>
      </w:r>
    </w:p>
    <w:p w14:paraId="34E4D990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Sector-based GDP analysis reveals the dominant economic sectors contributing to Singapore’s GDP.</w:t>
      </w:r>
    </w:p>
    <w:p w14:paraId="4A7B3271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Changes in sector contributions might reflect shifts in Singapore’s economic focus, such as growth in finance, technology, or services.</w:t>
      </w:r>
    </w:p>
    <w:p w14:paraId="734AFDAD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The chart might indicate diversification efforts or reliance on certain high-performing industries.</w:t>
      </w:r>
    </w:p>
    <w:p w14:paraId="1EF2D3E1" w14:textId="6EFB9E84" w:rsidR="00F94AC9" w:rsidRPr="00F94AC9" w:rsidRDefault="00F94AC9" w:rsidP="00F94AC9">
      <w:r w:rsidRPr="00F94AC9">
        <w:rPr>
          <w:b/>
          <w:bCs/>
        </w:rPr>
        <w:t>'N' Level Pass Rate (2010–2020)</w:t>
      </w:r>
      <w:r w:rsidRPr="00F94AC9">
        <w:t>:</w:t>
      </w:r>
    </w:p>
    <w:p w14:paraId="64B7264B" w14:textId="77777777" w:rsidR="00F94AC9" w:rsidRPr="00F94AC9" w:rsidRDefault="00F94AC9" w:rsidP="00F94AC9">
      <w:pPr>
        <w:numPr>
          <w:ilvl w:val="0"/>
          <w:numId w:val="5"/>
        </w:numPr>
      </w:pPr>
      <w:r w:rsidRPr="00F94AC9">
        <w:t>The 'N' Level pass rate remained high over the decade, suggesting stability and effectiveness in secondary education.</w:t>
      </w:r>
    </w:p>
    <w:p w14:paraId="6144F6FE" w14:textId="77777777" w:rsidR="00F94AC9" w:rsidRPr="00F94AC9" w:rsidRDefault="00F94AC9" w:rsidP="00F94AC9">
      <w:pPr>
        <w:numPr>
          <w:ilvl w:val="0"/>
          <w:numId w:val="5"/>
        </w:numPr>
      </w:pPr>
      <w:r w:rsidRPr="00F94AC9">
        <w:t>Minor fluctuations could relate to changes in curriculum or student demographics but overall point to consistent academic performance.</w:t>
      </w:r>
    </w:p>
    <w:p w14:paraId="2DC44FC2" w14:textId="00AC00A0" w:rsidR="00F94AC9" w:rsidRPr="00F94AC9" w:rsidRDefault="00F94AC9" w:rsidP="00F94AC9">
      <w:r w:rsidRPr="00F94AC9">
        <w:rPr>
          <w:b/>
          <w:bCs/>
        </w:rPr>
        <w:lastRenderedPageBreak/>
        <w:t>'O' Level Pass Rate (2010–2020)</w:t>
      </w:r>
      <w:r w:rsidRPr="00F94AC9">
        <w:t>:</w:t>
      </w:r>
    </w:p>
    <w:p w14:paraId="5F348504" w14:textId="77777777" w:rsidR="00F94AC9" w:rsidRPr="00F94AC9" w:rsidRDefault="00F94AC9" w:rsidP="00F94AC9">
      <w:pPr>
        <w:numPr>
          <w:ilvl w:val="0"/>
          <w:numId w:val="6"/>
        </w:numPr>
      </w:pPr>
      <w:r w:rsidRPr="00F94AC9">
        <w:t>Similar to the 'N' Level, the 'O' Level pass rate also remained high, likely reflecting robust educational standards and resources.</w:t>
      </w:r>
    </w:p>
    <w:p w14:paraId="7CDFC57D" w14:textId="77777777" w:rsidR="00F94AC9" w:rsidRPr="00F94AC9" w:rsidRDefault="00F94AC9" w:rsidP="00F94AC9">
      <w:pPr>
        <w:numPr>
          <w:ilvl w:val="0"/>
          <w:numId w:val="6"/>
        </w:numPr>
      </w:pPr>
      <w:r w:rsidRPr="00F94AC9">
        <w:t>Consistent high pass rates indicate the education system’s strength in preparing students for further studies or workforce entry.</w:t>
      </w:r>
    </w:p>
    <w:p w14:paraId="2FA840DA" w14:textId="0935FC4B" w:rsidR="00F94AC9" w:rsidRPr="00F94AC9" w:rsidRDefault="00F94AC9" w:rsidP="00F94AC9">
      <w:r w:rsidRPr="00F94AC9">
        <w:rPr>
          <w:b/>
          <w:bCs/>
        </w:rPr>
        <w:t>Average Travel Time to Schools</w:t>
      </w:r>
      <w:r w:rsidRPr="00F94AC9">
        <w:t>:</w:t>
      </w:r>
    </w:p>
    <w:p w14:paraId="64CCA929" w14:textId="77777777" w:rsidR="00F94AC9" w:rsidRPr="00F94AC9" w:rsidRDefault="00F94AC9" w:rsidP="00F94AC9">
      <w:pPr>
        <w:numPr>
          <w:ilvl w:val="0"/>
          <w:numId w:val="7"/>
        </w:numPr>
      </w:pPr>
      <w:r w:rsidRPr="00F94AC9">
        <w:t>The chart shows varying average travel times to schools, which could depend on district, school level, or public transportation access.</w:t>
      </w:r>
    </w:p>
    <w:p w14:paraId="1A826C0E" w14:textId="77777777" w:rsidR="00F94AC9" w:rsidRPr="00F94AC9" w:rsidRDefault="00F94AC9" w:rsidP="00F94AC9">
      <w:pPr>
        <w:numPr>
          <w:ilvl w:val="0"/>
          <w:numId w:val="7"/>
        </w:numPr>
      </w:pPr>
      <w:r w:rsidRPr="00F94AC9">
        <w:t>Shorter travel times might reflect well-planned urban infrastructure or the strategic location of educational institutions across districts.</w:t>
      </w:r>
    </w:p>
    <w:p w14:paraId="1878069E" w14:textId="1A33DC17" w:rsidR="00F94AC9" w:rsidRPr="00F94AC9" w:rsidRDefault="00F94AC9" w:rsidP="00F94AC9">
      <w:r w:rsidRPr="00F94AC9">
        <w:rPr>
          <w:b/>
          <w:bCs/>
        </w:rPr>
        <w:t>Map of Schools by District and Level</w:t>
      </w:r>
      <w:r w:rsidRPr="00F94AC9">
        <w:t>:</w:t>
      </w:r>
    </w:p>
    <w:p w14:paraId="4FA29159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This map provides insights into the geographic distribution of schools by level (primary, secondary, junior college, etc.).</w:t>
      </w:r>
    </w:p>
    <w:p w14:paraId="2AAED4C8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Higher concentrations of schools in certain districts may align with population density, accessibility, or policy decisions.</w:t>
      </w:r>
    </w:p>
    <w:p w14:paraId="1025C125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This distribution can impact educational accessibility and district-specific school travel times.</w:t>
      </w:r>
    </w:p>
    <w:p w14:paraId="3428D3D4" w14:textId="77777777" w:rsidR="00F94AC9" w:rsidRDefault="00F94AC9"/>
    <w:sectPr w:rsidR="00F9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347"/>
    <w:multiLevelType w:val="multilevel"/>
    <w:tmpl w:val="E1A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0BC0"/>
    <w:multiLevelType w:val="multilevel"/>
    <w:tmpl w:val="E38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38B3"/>
    <w:multiLevelType w:val="multilevel"/>
    <w:tmpl w:val="BEA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03AFB"/>
    <w:multiLevelType w:val="multilevel"/>
    <w:tmpl w:val="C7D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2BD0"/>
    <w:multiLevelType w:val="multilevel"/>
    <w:tmpl w:val="11E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E436B"/>
    <w:multiLevelType w:val="multilevel"/>
    <w:tmpl w:val="4F9E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F133C"/>
    <w:multiLevelType w:val="multilevel"/>
    <w:tmpl w:val="320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A40B9"/>
    <w:multiLevelType w:val="multilevel"/>
    <w:tmpl w:val="61B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7015">
    <w:abstractNumId w:val="0"/>
  </w:num>
  <w:num w:numId="2" w16cid:durableId="626204761">
    <w:abstractNumId w:val="1"/>
  </w:num>
  <w:num w:numId="3" w16cid:durableId="1814175377">
    <w:abstractNumId w:val="2"/>
  </w:num>
  <w:num w:numId="4" w16cid:durableId="1841188928">
    <w:abstractNumId w:val="5"/>
  </w:num>
  <w:num w:numId="5" w16cid:durableId="1077751653">
    <w:abstractNumId w:val="7"/>
  </w:num>
  <w:num w:numId="6" w16cid:durableId="1414086397">
    <w:abstractNumId w:val="6"/>
  </w:num>
  <w:num w:numId="7" w16cid:durableId="1537044289">
    <w:abstractNumId w:val="3"/>
  </w:num>
  <w:num w:numId="8" w16cid:durableId="27952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9"/>
    <w:rsid w:val="00206F51"/>
    <w:rsid w:val="003B1150"/>
    <w:rsid w:val="004215E3"/>
    <w:rsid w:val="00A8607F"/>
    <w:rsid w:val="00C86A6E"/>
    <w:rsid w:val="00DF104E"/>
    <w:rsid w:val="00F3284A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60DB"/>
  <w15:chartTrackingRefBased/>
  <w15:docId w15:val="{B8056766-A856-4BBA-8AF9-F9E6AB4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AryanShankhapal</dc:creator>
  <cp:keywords/>
  <dc:description/>
  <cp:lastModifiedBy>Tathagat Sengupta</cp:lastModifiedBy>
  <cp:revision>2</cp:revision>
  <dcterms:created xsi:type="dcterms:W3CDTF">2024-11-09T13:41:00Z</dcterms:created>
  <dcterms:modified xsi:type="dcterms:W3CDTF">2024-11-09T13:41:00Z</dcterms:modified>
</cp:coreProperties>
</file>