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01EE" w14:textId="3466ED29" w:rsidR="00D22D9D" w:rsidRPr="00D22D9D" w:rsidRDefault="00D22D9D" w:rsidP="00D22D9D">
      <w:r w:rsidRPr="00D22D9D">
        <w:t>observations from each chart</w:t>
      </w:r>
      <w:r>
        <w:t>:</w:t>
      </w:r>
      <w:r>
        <w:br/>
      </w:r>
      <w:r>
        <w:br/>
      </w:r>
      <w:r w:rsidRPr="00D22D9D">
        <w:rPr>
          <w:b/>
          <w:bCs/>
        </w:rPr>
        <w:t>Proportion of Poor Families by Sex of Household Head:</w:t>
      </w:r>
    </w:p>
    <w:p w14:paraId="2B72C341" w14:textId="77777777" w:rsidR="00D22D9D" w:rsidRPr="00D22D9D" w:rsidRDefault="00D22D9D" w:rsidP="00D22D9D">
      <w:pPr>
        <w:numPr>
          <w:ilvl w:val="0"/>
          <w:numId w:val="1"/>
        </w:numPr>
      </w:pPr>
      <w:r w:rsidRPr="00D22D9D">
        <w:t>There is a notable disparity in poverty levels based on the sex of the household head. Households headed by women generally have a slightly higher poverty rate compared to those headed by men, indicating a possible gender-based economic inequality.</w:t>
      </w:r>
    </w:p>
    <w:p w14:paraId="6CB96C80" w14:textId="5B23E96D" w:rsidR="00D22D9D" w:rsidRPr="00D22D9D" w:rsidRDefault="00D22D9D" w:rsidP="00D22D9D">
      <w:r w:rsidRPr="00D22D9D">
        <w:t xml:space="preserve"> </w:t>
      </w:r>
      <w:r w:rsidRPr="00D22D9D">
        <w:rPr>
          <w:b/>
          <w:bCs/>
        </w:rPr>
        <w:t>Labor Force Participation Rate (%):</w:t>
      </w:r>
    </w:p>
    <w:p w14:paraId="20846D2D" w14:textId="77777777" w:rsidR="00D22D9D" w:rsidRPr="00D22D9D" w:rsidRDefault="00D22D9D" w:rsidP="00D22D9D">
      <w:pPr>
        <w:numPr>
          <w:ilvl w:val="0"/>
          <w:numId w:val="2"/>
        </w:numPr>
      </w:pPr>
      <w:r w:rsidRPr="00D22D9D">
        <w:t>Male labor force participation is consistently higher, at 77.9%, while female participation is significantly lower, at 49.3%. This suggests a substantial gap in employment engagement, possibly due to gender-specific socio-cultural or economic barriers affecting women’s participation in the workforce.</w:t>
      </w:r>
    </w:p>
    <w:p w14:paraId="135D28CC" w14:textId="51022A77" w:rsidR="00D22D9D" w:rsidRPr="00D22D9D" w:rsidRDefault="00D22D9D" w:rsidP="00D22D9D">
      <w:r w:rsidRPr="00D22D9D">
        <w:t xml:space="preserve"> </w:t>
      </w:r>
      <w:r w:rsidRPr="00D22D9D">
        <w:rPr>
          <w:b/>
          <w:bCs/>
        </w:rPr>
        <w:t>Number of Business Registrations:</w:t>
      </w:r>
    </w:p>
    <w:p w14:paraId="77F2DE97" w14:textId="77777777" w:rsidR="00D22D9D" w:rsidRPr="00D22D9D" w:rsidRDefault="00D22D9D" w:rsidP="00D22D9D">
      <w:pPr>
        <w:numPr>
          <w:ilvl w:val="0"/>
          <w:numId w:val="3"/>
        </w:numPr>
      </w:pPr>
      <w:r w:rsidRPr="00D22D9D">
        <w:t>Women’s participation in business registration is highlighted, though the actual numbers are not fully visible in the chart snippet provided. It implies an increasing trend of female entrepreneurship but may still reflect a lower count compared to men, depending on the data.</w:t>
      </w:r>
    </w:p>
    <w:p w14:paraId="3B5247CF" w14:textId="79FBEEB9" w:rsidR="00D22D9D" w:rsidRPr="00D22D9D" w:rsidRDefault="00D22D9D" w:rsidP="00D22D9D">
      <w:r w:rsidRPr="00D22D9D">
        <w:t xml:space="preserve"> </w:t>
      </w:r>
      <w:r w:rsidRPr="00D22D9D">
        <w:rPr>
          <w:b/>
          <w:bCs/>
        </w:rPr>
        <w:t>Average Annual Expenditures:</w:t>
      </w:r>
    </w:p>
    <w:p w14:paraId="5E999AE7" w14:textId="77777777" w:rsidR="00D22D9D" w:rsidRPr="00D22D9D" w:rsidRDefault="00D22D9D" w:rsidP="00D22D9D">
      <w:pPr>
        <w:numPr>
          <w:ilvl w:val="0"/>
          <w:numId w:val="4"/>
        </w:numPr>
      </w:pPr>
      <w:r w:rsidRPr="00D22D9D">
        <w:t>Expenditures differ by gender, indicating potential disparities in spending power or household financial roles. The chart may reflect economic roles where men, perhaps as primary earners, show different spending trends compared to women.</w:t>
      </w:r>
    </w:p>
    <w:p w14:paraId="45D86D6E" w14:textId="1C656C64" w:rsidR="00D22D9D" w:rsidRPr="00D22D9D" w:rsidRDefault="00D22D9D" w:rsidP="00D22D9D">
      <w:r w:rsidRPr="00D22D9D">
        <w:t xml:space="preserve"> </w:t>
      </w:r>
      <w:r w:rsidRPr="00D22D9D">
        <w:rPr>
          <w:b/>
          <w:bCs/>
        </w:rPr>
        <w:t>Population Trends (2012, 2017, 2021):</w:t>
      </w:r>
    </w:p>
    <w:p w14:paraId="1AEAE2D0" w14:textId="77777777" w:rsidR="00D22D9D" w:rsidRPr="00D22D9D" w:rsidRDefault="00D22D9D" w:rsidP="00D22D9D">
      <w:pPr>
        <w:numPr>
          <w:ilvl w:val="0"/>
          <w:numId w:val="5"/>
        </w:numPr>
      </w:pPr>
      <w:r w:rsidRPr="00D22D9D">
        <w:t>The population has grown steadily over the years, from approximately 50 million in 2012 to over 55 million in 2021. This demographic growth could influence employment, economic opportunities, and resource needs.</w:t>
      </w:r>
    </w:p>
    <w:p w14:paraId="400C14D6" w14:textId="379FF024" w:rsidR="00D22D9D" w:rsidRPr="00D22D9D" w:rsidRDefault="00D22D9D" w:rsidP="00D22D9D">
      <w:r w:rsidRPr="00D22D9D">
        <w:rPr>
          <w:b/>
          <w:bCs/>
        </w:rPr>
        <w:t>Basic and Functional Literacy Rates by Gender:</w:t>
      </w:r>
    </w:p>
    <w:p w14:paraId="2A883654" w14:textId="77777777" w:rsidR="00D22D9D" w:rsidRPr="00D22D9D" w:rsidRDefault="00D22D9D" w:rsidP="00D22D9D">
      <w:pPr>
        <w:numPr>
          <w:ilvl w:val="0"/>
          <w:numId w:val="6"/>
        </w:numPr>
      </w:pPr>
      <w:r w:rsidRPr="00D22D9D">
        <w:t>Literacy rates are high for both genders, with women slightly ahead. For basic literacy, women scored 97.1% compared to men’s 95.9%, and for functional literacy, women again lead with 92.9% versus men’s 90.2%. This suggests that women have slightly higher educational outcomes in terms of literacy.</w:t>
      </w:r>
    </w:p>
    <w:p w14:paraId="4698ED29" w14:textId="7E8B0DDE" w:rsidR="00D22D9D" w:rsidRPr="00D22D9D" w:rsidRDefault="00D22D9D" w:rsidP="00D22D9D">
      <w:r w:rsidRPr="00D22D9D">
        <w:rPr>
          <w:b/>
          <w:bCs/>
        </w:rPr>
        <w:t>Education Attainment Levels:</w:t>
      </w:r>
    </w:p>
    <w:p w14:paraId="73CF2405" w14:textId="77777777" w:rsidR="00D22D9D" w:rsidRPr="00D22D9D" w:rsidRDefault="00D22D9D" w:rsidP="00D22D9D">
      <w:pPr>
        <w:numPr>
          <w:ilvl w:val="0"/>
          <w:numId w:val="7"/>
        </w:numPr>
      </w:pPr>
      <w:r w:rsidRPr="00D22D9D">
        <w:t>There is a spread across different educational levels for both genders, though specific percentages for each category (e.g., elementary, college) are not visible in this preview. Generally, higher education levels might be less represented among women, pointing to a potential gender gap in higher educational attainment.</w:t>
      </w:r>
    </w:p>
    <w:p w14:paraId="7C97A595" w14:textId="77777777" w:rsidR="00A8607F" w:rsidRDefault="00A8607F"/>
    <w:sectPr w:rsidR="00A8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68C4"/>
    <w:multiLevelType w:val="multilevel"/>
    <w:tmpl w:val="D860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A6224"/>
    <w:multiLevelType w:val="multilevel"/>
    <w:tmpl w:val="A8A0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41DBB"/>
    <w:multiLevelType w:val="multilevel"/>
    <w:tmpl w:val="B01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262EC"/>
    <w:multiLevelType w:val="multilevel"/>
    <w:tmpl w:val="73A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D4E9E"/>
    <w:multiLevelType w:val="multilevel"/>
    <w:tmpl w:val="9A8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60347"/>
    <w:multiLevelType w:val="multilevel"/>
    <w:tmpl w:val="F300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67919"/>
    <w:multiLevelType w:val="multilevel"/>
    <w:tmpl w:val="0A2E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4511">
    <w:abstractNumId w:val="2"/>
  </w:num>
  <w:num w:numId="2" w16cid:durableId="132793504">
    <w:abstractNumId w:val="0"/>
  </w:num>
  <w:num w:numId="3" w16cid:durableId="1410427422">
    <w:abstractNumId w:val="4"/>
  </w:num>
  <w:num w:numId="4" w16cid:durableId="2077701860">
    <w:abstractNumId w:val="1"/>
  </w:num>
  <w:num w:numId="5" w16cid:durableId="863984904">
    <w:abstractNumId w:val="6"/>
  </w:num>
  <w:num w:numId="6" w16cid:durableId="749424334">
    <w:abstractNumId w:val="3"/>
  </w:num>
  <w:num w:numId="7" w16cid:durableId="1727072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9D"/>
    <w:rsid w:val="00206F51"/>
    <w:rsid w:val="003B1150"/>
    <w:rsid w:val="0074616A"/>
    <w:rsid w:val="007A7A9E"/>
    <w:rsid w:val="009219AE"/>
    <w:rsid w:val="00A8607F"/>
    <w:rsid w:val="00D22D9D"/>
    <w:rsid w:val="00D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405C"/>
  <w15:chartTrackingRefBased/>
  <w15:docId w15:val="{C26F05F2-FC1E-4EB6-9236-46047EF4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D9D"/>
    <w:rPr>
      <w:rFonts w:eastAsiaTheme="majorEastAsia" w:cstheme="majorBidi"/>
      <w:color w:val="272727" w:themeColor="text1" w:themeTint="D8"/>
    </w:rPr>
  </w:style>
  <w:style w:type="paragraph" w:styleId="Title">
    <w:name w:val="Title"/>
    <w:basedOn w:val="Normal"/>
    <w:next w:val="Normal"/>
    <w:link w:val="TitleChar"/>
    <w:uiPriority w:val="10"/>
    <w:qFormat/>
    <w:rsid w:val="00D22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D9D"/>
    <w:pPr>
      <w:spacing w:before="160"/>
      <w:jc w:val="center"/>
    </w:pPr>
    <w:rPr>
      <w:i/>
      <w:iCs/>
      <w:color w:val="404040" w:themeColor="text1" w:themeTint="BF"/>
    </w:rPr>
  </w:style>
  <w:style w:type="character" w:customStyle="1" w:styleId="QuoteChar">
    <w:name w:val="Quote Char"/>
    <w:basedOn w:val="DefaultParagraphFont"/>
    <w:link w:val="Quote"/>
    <w:uiPriority w:val="29"/>
    <w:rsid w:val="00D22D9D"/>
    <w:rPr>
      <w:i/>
      <w:iCs/>
      <w:color w:val="404040" w:themeColor="text1" w:themeTint="BF"/>
    </w:rPr>
  </w:style>
  <w:style w:type="paragraph" w:styleId="ListParagraph">
    <w:name w:val="List Paragraph"/>
    <w:basedOn w:val="Normal"/>
    <w:uiPriority w:val="34"/>
    <w:qFormat/>
    <w:rsid w:val="00D22D9D"/>
    <w:pPr>
      <w:ind w:left="720"/>
      <w:contextualSpacing/>
    </w:pPr>
  </w:style>
  <w:style w:type="character" w:styleId="IntenseEmphasis">
    <w:name w:val="Intense Emphasis"/>
    <w:basedOn w:val="DefaultParagraphFont"/>
    <w:uiPriority w:val="21"/>
    <w:qFormat/>
    <w:rsid w:val="00D22D9D"/>
    <w:rPr>
      <w:i/>
      <w:iCs/>
      <w:color w:val="0F4761" w:themeColor="accent1" w:themeShade="BF"/>
    </w:rPr>
  </w:style>
  <w:style w:type="paragraph" w:styleId="IntenseQuote">
    <w:name w:val="Intense Quote"/>
    <w:basedOn w:val="Normal"/>
    <w:next w:val="Normal"/>
    <w:link w:val="IntenseQuoteChar"/>
    <w:uiPriority w:val="30"/>
    <w:qFormat/>
    <w:rsid w:val="00D22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D9D"/>
    <w:rPr>
      <w:i/>
      <w:iCs/>
      <w:color w:val="0F4761" w:themeColor="accent1" w:themeShade="BF"/>
    </w:rPr>
  </w:style>
  <w:style w:type="character" w:styleId="IntenseReference">
    <w:name w:val="Intense Reference"/>
    <w:basedOn w:val="DefaultParagraphFont"/>
    <w:uiPriority w:val="32"/>
    <w:qFormat/>
    <w:rsid w:val="00D22D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210383">
      <w:bodyDiv w:val="1"/>
      <w:marLeft w:val="0"/>
      <w:marRight w:val="0"/>
      <w:marTop w:val="0"/>
      <w:marBottom w:val="0"/>
      <w:divBdr>
        <w:top w:val="none" w:sz="0" w:space="0" w:color="auto"/>
        <w:left w:val="none" w:sz="0" w:space="0" w:color="auto"/>
        <w:bottom w:val="none" w:sz="0" w:space="0" w:color="auto"/>
        <w:right w:val="none" w:sz="0" w:space="0" w:color="auto"/>
      </w:divBdr>
    </w:div>
    <w:div w:id="177689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AryanShankhapal</dc:creator>
  <cp:keywords/>
  <dc:description/>
  <cp:lastModifiedBy>Tathagat Sengupta</cp:lastModifiedBy>
  <cp:revision>2</cp:revision>
  <dcterms:created xsi:type="dcterms:W3CDTF">2024-11-09T13:37:00Z</dcterms:created>
  <dcterms:modified xsi:type="dcterms:W3CDTF">2024-11-09T13:37:00Z</dcterms:modified>
</cp:coreProperties>
</file>