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Times New Roman"/>
          <w:b/>
          <w:color w:val="000000"/>
          <w:sz w:val="28"/>
        </w:rPr>
        <w:t>TRẮC NGHIỆM ĐÚNG SAI</w:t>
      </w:r>
    </w:p>
    <w:p>
      <w:pPr>
        <w:spacing w:after="160"/>
        <w:jc w:val="center"/>
      </w:pPr>
      <w:r>
        <w:rPr>
          <w:rFonts w:ascii="Times New Roman" w:hAnsi="Times New Roman" w:eastAsia="Times New Roman"/>
          <w:b/>
          <w:color w:val="000000"/>
          <w:sz w:val="28"/>
        </w:rPr>
        <w:t>Nghị quyết số 198/2025/QH15</w:t>
      </w:r>
    </w:p>
    <w:p>
      <w:pPr>
        <w:spacing w:after="160"/>
        <w:jc w:val="both"/>
      </w:pPr>
      <w:r>
        <w:rPr>
          <w:rFonts w:ascii="Times New Roman" w:hAnsi="Times New Roman" w:eastAsia="Times New Roman"/>
          <w:b/>
          <w:color w:val="000000"/>
        </w:rPr>
        <w:t>Câu 1: Theo Nghị quyết số 198/2025/QH15, về phạm vi điều chỉnh và đối tượng áp dụng:</w:t>
      </w:r>
    </w:p>
    <w:p>
      <w:pPr>
        <w:spacing w:after="160"/>
        <w:jc w:val="both"/>
      </w:pPr>
      <w:r>
        <w:rPr>
          <w:rFonts w:ascii="Times New Roman" w:hAnsi="Times New Roman" w:eastAsia="Times New Roman"/>
          <w:color w:val="000000"/>
        </w:rPr>
        <w:t xml:space="preserve">A. Nghị quyết này quy định một số cơ chế, chính sách đặc biệt phát triển kinh tế tư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Nghị quyết này áp dụng đối với doanh nghiệp, hộ kinh doanh, cá nhân kinh doanh và tổ chức, cá nhân khác có liên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Nghị quyết này quy định toàn bộ cơ chế, chính sách phát triển kinh tế nhà nước.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Nghị quyết này chỉ áp dụng đối với doanh nghiệp và hộ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(Một số cơ chế, chính sách đặc biệt phát triển kinh tế tư nhân) D. Sai (Áp dụng đối với doanh nghiệp, hộ kinh doanh, cá nhân kinh doanh và tổ chức, cá nhân khác có liên quan) (Căn cứ Điều 1, Điều 2).</w:t>
      </w:r>
    </w:p>
    <w:p>
      <w:pPr>
        <w:spacing w:after="160"/>
        <w:jc w:val="both"/>
      </w:pPr>
      <w:r>
        <w:rPr>
          <w:rFonts w:ascii="Times New Roman" w:hAnsi="Times New Roman" w:eastAsia="Times New Roman"/>
          <w:b/>
          <w:color w:val="000000"/>
        </w:rPr>
        <w:t>Câu 2: Theo Nghị quyết số 198/2025/QH15, về giải thích từ ngữ:</w:t>
      </w:r>
    </w:p>
    <w:p>
      <w:pPr>
        <w:spacing w:after="160"/>
        <w:jc w:val="both"/>
      </w:pPr>
      <w:r>
        <w:rPr>
          <w:rFonts w:ascii="Times New Roman" w:hAnsi="Times New Roman" w:eastAsia="Times New Roman"/>
          <w:color w:val="000000"/>
        </w:rPr>
        <w:t xml:space="preserve">A. Doanh nghiệp khởi nghiệp sáng tạo là doanh nghiệp được thành lập để thực hiện ý tưởng trên cơ sở khai thác tài sản trí tuệ, công nghệ, mô hình kinh doanh mới và có khả năng tăng trưởng nhanh.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Hộ kinh doanh là loại hình kinh doanh do một cá nhân hoặc các thành viên hộ gia đình đăng ký thành lập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Hộ kinh doanh chịu trách nhiệm trong phạm vi số vốn đã đăng ký đối với hoạt động kinh doanh của hộ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Cá nhân kinh doanh là cá nhân có thực hiện hoạt động kinh doanh và chịu trách nhiệm bằng toàn bộ tài sản của mình đối với hoạt động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(Chịu trách nhiệm bằng toàn bộ tài sản của mình) D. Đúng (Căn cứ Điều 3, khoản 1, 2, 3).</w:t>
      </w:r>
    </w:p>
    <w:p>
      <w:pPr>
        <w:spacing w:after="160"/>
        <w:jc w:val="both"/>
      </w:pPr>
      <w:r>
        <w:rPr>
          <w:rFonts w:ascii="Times New Roman" w:hAnsi="Times New Roman" w:eastAsia="Times New Roman"/>
          <w:b/>
          <w:color w:val="000000"/>
        </w:rPr>
        <w:t>Câu 3: Theo Nghị quyết số 198/2025/QH15, về nguyên tắc hoạt động thanh tra, kiểm tra:</w:t>
      </w:r>
    </w:p>
    <w:p>
      <w:pPr>
        <w:spacing w:after="160"/>
        <w:jc w:val="both"/>
      </w:pPr>
      <w:r>
        <w:rPr>
          <w:rFonts w:ascii="Times New Roman" w:hAnsi="Times New Roman" w:eastAsia="Times New Roman"/>
          <w:color w:val="000000"/>
        </w:rPr>
        <w:t xml:space="preserve">A. Số lần thanh tra đối với mỗi doanh nghiệp, hộ kinh doanh, cá nhân kinh doanh (nếu có) không được quá 01 lần trong năm, trừ trường hợp có dấu hiệu vi phạm rõ ràng.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Số lần kiểm tra tại doanh nghiệp, hộ kinh doanh, cá nhân kinh doanh (nếu có), bao gồm cả kiểm tra liên ngành, không được quá 02 lần trong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Kế hoạch, kết luận thanh tra, kiểm tra đối với doanh nghiệp, hộ kinh doanh, cá nhân kinh doanh phải được công khai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đã tiến hành hoạt động thanh tra thì vẫn thực hiện hoạt động kiểm tra trong cùng một năm.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(Không được quá 01 lần trong năm, trừ trường hợp có dấu hiệu vi phạm rõ ràng) C. Đúng D. Sai (Không thực hiện hoạt động kiểm tra trong cùng một năm, trừ trường hợp có dấu hiệu vi phạm rõ ràng) (Căn cứ Điều 4, khoản 1, 2, 3, 4).</w:t>
      </w:r>
    </w:p>
    <w:p>
      <w:pPr>
        <w:spacing w:after="160"/>
        <w:jc w:val="both"/>
      </w:pPr>
      <w:r>
        <w:rPr>
          <w:rFonts w:ascii="Times New Roman" w:hAnsi="Times New Roman" w:eastAsia="Times New Roman"/>
          <w:b/>
          <w:color w:val="000000"/>
        </w:rPr>
        <w:t>Câu 4: Theo Nghị quyết số 198/2025/QH15, về chuyển đổi số, hậu kiểm và không phân biệt đối xử:</w:t>
      </w:r>
    </w:p>
    <w:p>
      <w:pPr>
        <w:spacing w:after="160"/>
        <w:jc w:val="both"/>
      </w:pPr>
      <w:r>
        <w:rPr>
          <w:rFonts w:ascii="Times New Roman" w:hAnsi="Times New Roman" w:eastAsia="Times New Roman"/>
          <w:color w:val="000000"/>
        </w:rPr>
        <w:t xml:space="preserve">A. Ưu tiên thanh tra, kiểm tra từ xa dựa trên các dữ liệu điện tử; giảm thanh tra, kiểm tra trực tiếp.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Miễn kiểm tra thực tế tại doanh nghiệp, hộ kinh doanh, cá nhân kinh doanh đối với doanh nghiệp, hộ kinh doanh, cá nhân kinh doanh tuân thủ tốt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Chuyển việc quản lý điều kiện kinh doanh từ cấp phép, chứng nhận sang thực hiện tiền kiểm và đăng ký điều kiện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Không phân biệt đối xử giữa các chủ thể thuộc các thành phần kinh tế trong huy động, phân bổ và sử dụng các nguồn lực vốn, đất đai, tài nguyên, tài sản, công nghệ, nhân lực, dữ liệu và các nguồn lực tài nguyên khác.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(Thực hiện công bố điều kiện kinh doanh và hậu kiểm) D. Đúng (Căn cứ Điều 4, khoản 6, 7, 9, 10).</w:t>
      </w:r>
    </w:p>
    <w:p>
      <w:pPr>
        <w:spacing w:after="160"/>
        <w:jc w:val="both"/>
      </w:pPr>
      <w:r>
        <w:rPr>
          <w:rFonts w:ascii="Times New Roman" w:hAnsi="Times New Roman" w:eastAsia="Times New Roman"/>
          <w:b/>
          <w:color w:val="000000"/>
        </w:rPr>
        <w:t>Câu 5: Theo Nghị quyết số 198/2025/QH15, về nguyên tắc xử lý vi phạm và giải quyết vụ việc trong hoạt động kinh doanh:</w:t>
      </w:r>
    </w:p>
    <w:p>
      <w:pPr>
        <w:spacing w:after="160"/>
        <w:jc w:val="both"/>
      </w:pPr>
      <w:r>
        <w:rPr>
          <w:rFonts w:ascii="Times New Roman" w:hAnsi="Times New Roman" w:eastAsia="Times New Roman"/>
          <w:color w:val="000000"/>
        </w:rPr>
        <w:t xml:space="preserve">A. Phân định rõ giữa trách nhiệm của pháp nhân với trách nhiệm của cá nhân trong xử lý vi phạm.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Đối với vi phạm, vụ việc về dân sự, kinh tế, ưu tiên áp dụng các biện pháp về hình sự trước.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thực tiễn áp dụng pháp luật có thể dẫn đến xử lý hình sự hoặc không xử lý hình sự thì không áp dụng xử lý hình sự.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Đối với vi phạm đến mức xử lý hình sự thì ưu tiên các biện pháp khắc phục hậu quả kinh tế chủ động, kịp thời, toàn diện trước.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(Ưu tiên áp dụng các biện pháp về dân sự, kinh tế, hành chính trước) C. Đúng D. Đúng (Căn cứ Điều 5, khoản 1, 2, 3).</w:t>
      </w:r>
    </w:p>
    <w:p>
      <w:pPr>
        <w:spacing w:after="160"/>
        <w:jc w:val="both"/>
      </w:pPr>
      <w:r>
        <w:rPr>
          <w:rFonts w:ascii="Times New Roman" w:hAnsi="Times New Roman" w:eastAsia="Times New Roman"/>
          <w:b/>
          <w:color w:val="000000"/>
        </w:rPr>
        <w:t>Câu 6: Theo Nghị quyết số 198/2025/QH15, về nguyên tắc xử lý vi phạm và giải quyết vụ việc trong hoạt động kinh doanh:</w:t>
      </w:r>
    </w:p>
    <w:p>
      <w:pPr>
        <w:spacing w:after="160"/>
        <w:jc w:val="both"/>
      </w:pPr>
      <w:r>
        <w:rPr>
          <w:rFonts w:ascii="Times New Roman" w:hAnsi="Times New Roman" w:eastAsia="Times New Roman"/>
          <w:color w:val="000000"/>
        </w:rPr>
        <w:t xml:space="preserve">A. Không được áp dụng hồi tố quy định pháp luật để xử lý bất lợi cho doanh nghiệp, hộ kinh doanh, cá nhân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Đối với vụ việc mà thông tin, tài liệu, chứng cứ chưa đủ rõ ràng để kết luận có hành vi vi phạm pháp luật thì phải sớm có kết luận theo quy định của pháp luật tố tụng.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Bảo đảm nguyên tắc suy đoán có tội trong quá trình điều tra, truy tố, xét xử các vụ 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công bố công khai kết luận đối với vụ việc chưa đủ chứng cứ là không bắt buộc.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(Nguyên tắc suy đoán vô tội) D. Sai (Thực hiện công bố công khai kết luận này) (Căn cứ Điều 5, khoản 4, 5, 6).</w:t>
      </w:r>
    </w:p>
    <w:p>
      <w:pPr>
        <w:spacing w:after="160"/>
        <w:jc w:val="both"/>
      </w:pPr>
      <w:r>
        <w:rPr>
          <w:rFonts w:ascii="Times New Roman" w:hAnsi="Times New Roman" w:eastAsia="Times New Roman"/>
          <w:b/>
          <w:color w:val="000000"/>
        </w:rPr>
        <w:t>Câu 7: Theo Nghị quyết số 198/2025/QH15, về nguyên tắc xử lý vi phạm và giải quyết vụ việc trong hoạt động kinh doanh:</w:t>
      </w:r>
    </w:p>
    <w:p>
      <w:pPr>
        <w:spacing w:after="160"/>
        <w:jc w:val="both"/>
      </w:pPr>
      <w:r>
        <w:rPr>
          <w:rFonts w:ascii="Times New Roman" w:hAnsi="Times New Roman" w:eastAsia="Times New Roman"/>
          <w:color w:val="000000"/>
        </w:rPr>
        <w:t xml:space="preserve">A. Bảo đảm việc niêm phong, kê biên tạm giữ, phong tỏa tài sản liên quan đến vụ việc, vụ án phải theo đúng thẩm quyền, trình tự, thủ tục, phạm vi, không xâm phạm quyền, lợi ích hợp pháp của tổ chức, cá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Bảo đảm giá trị niêm phong, kê biên, tạm giữ, phong tỏa tương ứng với dự kiến hậu quả thiệt hại trong vụ 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Phân biệt rõ tài sản hình thành hợp pháp với tài sản, thu nhập có được từ hành vi vi phạm pháp luật, tài sản khác liên quan đến vụ 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Xử lý vật chứng, tài sản phải phù hợp với thông lệ quốc tế về giải quyết vụ án.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(Phù hợp với điều ước quốc tế mà nước Cộng hòa xã hội chủ nghĩa Việt Nam là thành viên) (Căn cứ Điều 5, khoản 7, 8, 9).</w:t>
      </w:r>
    </w:p>
    <w:p>
      <w:pPr>
        <w:spacing w:after="160"/>
        <w:jc w:val="both"/>
      </w:pPr>
      <w:r>
        <w:rPr>
          <w:rFonts w:ascii="Times New Roman" w:hAnsi="Times New Roman" w:eastAsia="Times New Roman"/>
          <w:b/>
          <w:color w:val="000000"/>
        </w:rPr>
        <w:t>Câu 8: Theo Nghị quyết số 198/2025/QH15, về hỗ trợ tiếp cận đất đai, mặt bằng sản xuất kinh doanh:</w:t>
      </w:r>
    </w:p>
    <w:p>
      <w:pPr>
        <w:spacing w:after="160"/>
        <w:jc w:val="both"/>
      </w:pPr>
      <w:r>
        <w:rPr>
          <w:rFonts w:ascii="Times New Roman" w:hAnsi="Times New Roman" w:eastAsia="Times New Roman"/>
          <w:color w:val="000000"/>
        </w:rPr>
        <w:t xml:space="preserve">A. Các địa phương được sử dụng ngân sách địa phương để hỗ trợ một phần đầu tư xây dựng hệ thống kết cấu hạ tầng khu công nghiệp, cụm công nghiệp, vườn ươm công nghệ.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Các địa phương được sử dụng ngân sách trung ương để hỗ trợ một phần đầu tư xây dựng hệ thống kết cấu hạ tầng khu công nghiệp, cụm công nghiệp, vườn ươm công nghệ.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Không áp dụng quy định của pháp luật về quản lý, sử dụng tài sản công đối với tài sản hình thành từ nguồn vốn hỗ trợ đầu tư quy định tại khoản 1 Điều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Chủ đầu tư được hỗ trợ đầu tư phải dành một phần diện tích đất đã đầu tư hạ tầng cho doanh nghiệp công nghệ cao thuộc khu vực kinh tế tư nhân, doanh nghiệp nhỏ và vừa, doanh nghiệp khởi nghiệp sáng tạo thuê, thuê lại.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(Ngân sách địa phương) C. Đúng D. Đúng (Căn cứ Điều 7, khoản 1, 2).</w:t>
      </w:r>
    </w:p>
    <w:p>
      <w:pPr>
        <w:spacing w:after="160"/>
        <w:jc w:val="both"/>
      </w:pPr>
      <w:r>
        <w:rPr>
          <w:rFonts w:ascii="Times New Roman" w:hAnsi="Times New Roman" w:eastAsia="Times New Roman"/>
          <w:b/>
          <w:color w:val="000000"/>
        </w:rPr>
        <w:t>Câu 9: Theo Nghị quyết số 198/2025/QH15, về hỗ trợ tiếp cận đất đai, mặt bằng sản xuất kinh doanh:</w:t>
      </w:r>
    </w:p>
    <w:p>
      <w:pPr>
        <w:spacing w:after="160"/>
        <w:jc w:val="both"/>
      </w:pPr>
      <w:r>
        <w:rPr>
          <w:rFonts w:ascii="Times New Roman" w:hAnsi="Times New Roman" w:eastAsia="Times New Roman"/>
          <w:color w:val="000000"/>
        </w:rPr>
        <w:t xml:space="preserve">A. Đối với khu công nghiệp, cụm công nghiệp thành lập mới, diện tích đất dành cho doanh nghiệp thuê, thuê lại được bảo đảm bình quân 20 ha/khu công nghiệp, cụm công nghiệp hoặc 5% diện tích đất khu công nghiệp, cụm công nghiệp trên địa bàn.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Diện tích đất dành cho doanh nghiệp thuê, thuê lại được bảo đảm bình quân 50 ha/khu công nghiệp, cụm công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Sau thời hạn 02 năm kể từ ngày hoàn thành đầu tư hạ tầng mà không có doanh nghiệp thuộc đối tượng thuê, thuê lại thì chủ đầu tư được quyền cho các doanh nghiệp khác thuê, thuê lại.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Sau thời hạn 05 năm kể từ ngày hoàn thành đầu tư hạ tầng mà không có doanh nghiệp thuộc đối tượng thuê, thuê lại thì chủ đầu tư được quyền cho các doanh nghiệp khác thuê, thuê lại.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(Bình quân 20 ha/khu công nghiệp, cụm công nghiệp hoặc 5% diện tích đất khu công nghiệp, cụm công nghiệp trên địa bàn) C. Đúng D. Sai (Sau thời hạn 02 năm) (Căn cứ Điều 7, khoản 4, 5).</w:t>
      </w:r>
    </w:p>
    <w:p>
      <w:pPr>
        <w:spacing w:after="160"/>
        <w:jc w:val="both"/>
      </w:pPr>
      <w:r>
        <w:rPr>
          <w:rFonts w:ascii="Times New Roman" w:hAnsi="Times New Roman" w:eastAsia="Times New Roman"/>
          <w:b/>
          <w:color w:val="000000"/>
        </w:rPr>
        <w:t>Câu 10: Theo Nghị quyết số 198/2025/QH15, về hỗ trợ tiếp cận đất đai, mặt bằng sản xuất kinh doanh:</w:t>
      </w:r>
    </w:p>
    <w:p>
      <w:pPr>
        <w:spacing w:after="160"/>
        <w:jc w:val="both"/>
      </w:pPr>
      <w:r>
        <w:rPr>
          <w:rFonts w:ascii="Times New Roman" w:hAnsi="Times New Roman" w:eastAsia="Times New Roman"/>
          <w:color w:val="000000"/>
        </w:rPr>
        <w:t xml:space="preserve">A. Doanh nghiệp công nghệ cao thuộc khu vực kinh tế tư nhân, doanh nghiệp nhỏ và vừa, doanh nghiệp khởi nghiệp sáng tạo được hỗ trợ giảm tối thiểu 30% tiền thuê lại đất trong vòng 05 năm đầu kể từ ngày ký hợp đồng thuê đất.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Doanh nghiệp được hỗ trợ giảm tối đa 30% tiền thuê lại đất trong vòng 05 năm đầu kể từ ngày ký hợp đồng thuê đất.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Khoản hỗ trợ tiền thuê đất này được Nhà nước hoàn trả cho chủ đầu tư theo quy định của Chính phủ.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Chính phủ quyết định mức giảm tiền thuê lại đất quy định tại khoản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(Giảm tối thiểu 30%) C. Đúng D. Sai (Ủy ban nhân dân cấp tỉnh quyết định mức giảm tiền thuê lại đất) (Căn cứ Điều 7, khoản 6).</w:t>
      </w:r>
    </w:p>
    <w:p>
      <w:pPr>
        <w:spacing w:after="160"/>
        <w:jc w:val="both"/>
      </w:pPr>
      <w:r>
        <w:rPr>
          <w:rFonts w:ascii="Times New Roman" w:hAnsi="Times New Roman" w:eastAsia="Times New Roman"/>
          <w:b/>
          <w:color w:val="000000"/>
        </w:rPr>
        <w:t>Câu 11: Theo Nghị quyết số 198/2025/QH15, về hỗ trợ tài chính, tín dụng:</w:t>
      </w:r>
    </w:p>
    <w:p>
      <w:pPr>
        <w:spacing w:after="160"/>
        <w:jc w:val="both"/>
      </w:pPr>
      <w:r>
        <w:rPr>
          <w:rFonts w:ascii="Times New Roman" w:hAnsi="Times New Roman" w:eastAsia="Times New Roman"/>
          <w:color w:val="000000"/>
        </w:rPr>
        <w:t xml:space="preserve">A. Doanh nghiệp thuộc khu vực kinh tế tư nhân, hộ kinh doanh, cá nhân kinh doanh được Nhà nước hỗ trợ lãi suất 2%/năm khi vay vốn để thực hiện các dự án xanh, tuần hoàn.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Quỹ Phát triển doanh nghiệp nhỏ và vừa thực hiện chức năng cho vay các doanh nghiệp nhỏ và vừa.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Quỹ Phát triển doanh nghiệp nhỏ và vừa thực hiện chức năng cho vay khởi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Quỹ Phát triển doanh nghiệp nhỏ và vừa tiếp nhận và quản lý nguồn vốn vay, tài trợ, viện trợ, đóng góp, ủy thác của các tổ chức, cá nhân để hỗ trợ doanh nghiệp nhỏ và vừa.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Đúng (Căn cứ Điều 9, khoản 1, 2, điểm a, b, đ).</w:t>
      </w:r>
    </w:p>
    <w:p>
      <w:pPr>
        <w:spacing w:after="160"/>
        <w:jc w:val="both"/>
      </w:pPr>
      <w:r>
        <w:rPr>
          <w:rFonts w:ascii="Times New Roman" w:hAnsi="Times New Roman" w:eastAsia="Times New Roman"/>
          <w:b/>
          <w:color w:val="000000"/>
        </w:rPr>
        <w:t>Câu 12: Theo Nghị quyết số 198/2025/QH15, về hỗ trợ thuế, phí, lệ phí:</w:t>
      </w:r>
    </w:p>
    <w:p>
      <w:pPr>
        <w:spacing w:after="160"/>
        <w:jc w:val="both"/>
      </w:pPr>
      <w:r>
        <w:rPr>
          <w:rFonts w:ascii="Times New Roman" w:hAnsi="Times New Roman" w:eastAsia="Times New Roman"/>
          <w:color w:val="000000"/>
        </w:rPr>
        <w:t xml:space="preserve">A. Miễn thuế thu nhập doanh nghiệp trong thời hạn 02 năm và giảm 50% số thuế phải nộp trong 04 năm tiếp theo đối với thu nhập từ hoạt động khởi nghiệp đổi mới sáng tạo của doanh nghiệp khởi nghiệp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Miễn thuế thu nhập cá nhân, thuế thu nhập doanh nghiệp đối với khoản thu nhập từ chuyển nhượng cổ phần, phần vốn góp, quyền góp vốn, quyền mua cổ phần, quyền mua phần vốn góp vào doanh nghiệp khởi nghiệp sáng tạo.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Chuyên gia, nhà khoa học được miễn thuế thu nhập cá nhân trong thời hạn 03 năm và giảm 50% số thuế phải nộp trong 06 năm tiếp theo.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Miễn thuế thu nhập doanh nghiệp cho doanh nghiệp nhỏ và vừa trong 05 năm kể từ ngày được cấp Giấy chứng nhận đăng ký doanh nghiệp lần đầu.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(Miễn thuế trong thời hạn 02 năm và giảm 50% số thuế phải nộp trong 04 năm tiếp theo) D. Sai (Trong 03 năm) (Căn cứ Điều 10, khoản 1, 2, 3, 4).</w:t>
      </w:r>
    </w:p>
    <w:p>
      <w:pPr>
        <w:spacing w:after="160"/>
        <w:jc w:val="both"/>
      </w:pPr>
      <w:r>
        <w:rPr>
          <w:rFonts w:ascii="Times New Roman" w:hAnsi="Times New Roman" w:eastAsia="Times New Roman"/>
          <w:b/>
          <w:color w:val="000000"/>
        </w:rPr>
        <w:t>Câu 13: Theo Nghị quyết số 198/2025/QH15, về hỗ trợ thuế, phí, lệ phí:</w:t>
      </w:r>
    </w:p>
    <w:p>
      <w:pPr>
        <w:spacing w:after="160"/>
        <w:jc w:val="both"/>
      </w:pPr>
      <w:r>
        <w:rPr>
          <w:rFonts w:ascii="Times New Roman" w:hAnsi="Times New Roman" w:eastAsia="Times New Roman"/>
          <w:color w:val="000000"/>
        </w:rPr>
        <w:t xml:space="preserve">A. Chi phí đào tạo và đào tạo lại nhân lực của doanh nghiệp lớn cho doanh nghiệp nhỏ và vừa tham gia chuỗi được tính vào chi phí được trừ để xác định thu nhập chịu thuế khi tính thuế thu nhập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Hộ kinh doanh, cá nhân kinh doanh không áp dụng phương pháp khoán thuế từ ngày 01 tháng 01 năm 2026.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Chấm dứt việc thu, nộp lệ phí môn bài từ ngày 01 tháng 01 năm 2025.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Miễn thu phí, lệ phí cho tổ chức, cá nhân, doanh nghiệp đối với các loại giấy tờ nếu phải cấp lại, cấp đổi khi thực hiện sắp xếp, tổ chức lại bộ máy nhà nước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(Từ ngày 01 tháng 01 năm 2026) D. Đúng (Căn cứ Điều 10, khoản 5, 6, 7, 8).</w:t>
      </w:r>
    </w:p>
    <w:p>
      <w:pPr>
        <w:spacing w:after="160"/>
        <w:jc w:val="both"/>
      </w:pPr>
      <w:r>
        <w:rPr>
          <w:rFonts w:ascii="Times New Roman" w:hAnsi="Times New Roman" w:eastAsia="Times New Roman"/>
          <w:b/>
          <w:color w:val="000000"/>
        </w:rPr>
        <w:t>Câu 14: Theo Nghị quyết số 198/2025/QH15, về ưu đãi trong lựa chọn nhà thầu:</w:t>
      </w:r>
    </w:p>
    <w:p>
      <w:pPr>
        <w:spacing w:after="160"/>
        <w:jc w:val="both"/>
      </w:pPr>
      <w:r>
        <w:rPr>
          <w:rFonts w:ascii="Times New Roman" w:hAnsi="Times New Roman" w:eastAsia="Times New Roman"/>
          <w:color w:val="000000"/>
        </w:rPr>
        <w:t xml:space="preserve">A. Gói thầu xây lắp, mua sắm hàng hóa, gói thầu hỗn hợp cung cấp hàng hóa và xây lắp sử dụng ngân sách nhà nước có giá gói thầu không quá 20 tỷ đồng được dành cho doanh nghiệp nhỏ và vừa.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Gói thầu sử dụng ngân sách nhà nước có giá gói thầu không quá 50 tỷ đồng được dành cho doanh nghiệp nhỏ và vừa.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Trường hợp đã tổ chức đấu thầu, nếu không có doanh nghiệp nhỏ và vừa đáp ứng được yêu cầu thì được phép tổ chức đấu thầu lại.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đã tổ chức đấu thầu mà không có doanh nghiệp nhỏ và vừa đáp ứng được yêu cầu thì phải hủy gói thầu và không được tổ chức đấu thầu lại.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(Không quá 20 tỷ đồng) C. Đúng D. Sai (Được phép tổ chức đấu thầu lại và không phải áp dụng quy định tại khoản 1) (Căn cứ Điều 11, khoản 1, 2).</w:t>
      </w:r>
    </w:p>
    <w:p>
      <w:pPr>
        <w:spacing w:after="160"/>
        <w:jc w:val="both"/>
      </w:pPr>
      <w:r>
        <w:rPr>
          <w:rFonts w:ascii="Times New Roman" w:hAnsi="Times New Roman" w:eastAsia="Times New Roman"/>
          <w:b/>
          <w:color w:val="000000"/>
        </w:rPr>
        <w:t>Câu 15: Theo Nghị quyết số 198/2025/QH15, về hỗ trợ nghiên cứu, phát triển và ứng dụng khoa học, công nghệ, đổi mới sáng tạo và chuyển đổi số:</w:t>
      </w:r>
    </w:p>
    <w:p>
      <w:pPr>
        <w:spacing w:after="160"/>
        <w:jc w:val="both"/>
      </w:pPr>
      <w:r>
        <w:rPr>
          <w:rFonts w:ascii="Times New Roman" w:hAnsi="Times New Roman" w:eastAsia="Times New Roman"/>
          <w:color w:val="000000"/>
        </w:rPr>
        <w:t xml:space="preserve">A. Doanh nghiệp được trích tối đa 20% thu nhập tính thuế thu nhập doanh nghiệp để lập quỹ phát triển khoa học, công nghệ, đổi mới sáng tạo và chuyển đổi số của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Doanh nghiệp được trích tối thiểu 20% thu nhập tính thuế thu nhập doanh nghiệp để lập quỹ phát triển khoa học, công nghệ, đổi mới sáng tạo và chuyển đổi số của doanh nghiệp.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Doanh nghiệp được tính vào chi phí được trừ để xác định thu nhập chịu thuế đối với chi phí cho hoạt động nghiên cứu và phát triển của doanh nghiệp bằng 200% chi phí thực tế của hoạt động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Nhà nước bố trí kinh phí để cung cấp miễn phí các nền tảng số, phần mềm kế toán dùng chung cho doanh nghiệp nhỏ, siêu nhỏ, hộ kinh doanh và cá nhân kinh doanh theo quy định của Chính phủ.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Sai (Trích tối đa 20%) C. Đúng D. Đúng (Căn cứ Điều 12, khoản 1, 2, 3).</w:t>
      </w:r>
    </w:p>
    <w:p>
      <w:pPr>
        <w:spacing w:after="160"/>
        <w:jc w:val="both"/>
      </w:pPr>
      <w:r>
        <w:rPr>
          <w:rFonts w:ascii="Times New Roman" w:hAnsi="Times New Roman" w:eastAsia="Times New Roman"/>
          <w:b/>
          <w:color w:val="000000"/>
        </w:rPr>
        <w:t>Câu 16: Theo Nghị quyết số 198/2025/QH15, về đặt hàng, đấu thầu hạn chế, chỉ định thầu thực hiện dự án trọng điểm, quan trọng quốc gia:</w:t>
      </w:r>
    </w:p>
    <w:p>
      <w:pPr>
        <w:spacing w:after="160"/>
        <w:jc w:val="both"/>
      </w:pPr>
      <w:r>
        <w:rPr>
          <w:rFonts w:ascii="Times New Roman" w:hAnsi="Times New Roman" w:eastAsia="Times New Roman"/>
          <w:color w:val="000000"/>
        </w:rPr>
        <w:t xml:space="preserve">A. Nhà nước mở rộng sự tham gia của doanh nghiệp thuộc khu vực kinh tế tư nhân vào các dự án trọng điểm có ý nghĩa lớn với phát triển kinh tế - xã hội, dự án quan trọng quốc gia.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Người có thẩm quyền, chủ đầu tư được lựa chọn áp dụng một trong các hình thức đặt hàng hoặc đấu thầu hạn chế hoặc chỉ định thầu hoặc hình thức phù hợp khác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Người có thẩm quyền, chủ đầu tư phải áp dụng đồng thời cả ba hình thức đặt hàng, đấu thầu hạn chế và chỉ định thầu.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Việc thực hiện phải trên cơ sở bảo đảm công khai, minh bạch, chất lượng, tiến độ, hiệu quả và trách nhiệm giải trình.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(Được lựa chọn áp dụng một trong các hình thức) D. Đúng (Căn cứ Điều 14, khoản 1, 2).</w:t>
      </w:r>
    </w:p>
    <w:p>
      <w:pPr>
        <w:spacing w:after="160"/>
        <w:jc w:val="both"/>
      </w:pPr>
      <w:r>
        <w:rPr>
          <w:rFonts w:ascii="Times New Roman" w:hAnsi="Times New Roman" w:eastAsia="Times New Roman"/>
          <w:b/>
          <w:color w:val="000000"/>
        </w:rPr>
        <w:t>Câu 17: Theo Nghị quyết số 198/2025/QH15, về tổ chức thực hiện:</w:t>
      </w:r>
    </w:p>
    <w:p>
      <w:pPr>
        <w:spacing w:after="160"/>
        <w:jc w:val="both"/>
      </w:pPr>
      <w:r>
        <w:rPr>
          <w:rFonts w:ascii="Times New Roman" w:hAnsi="Times New Roman" w:eastAsia="Times New Roman"/>
          <w:color w:val="000000"/>
        </w:rPr>
        <w:t xml:space="preserve">A. Chính phủ, Hội đồng thẩm phán Tòa án nhân dân tối cao, Chánh án Tòa án nhân dân tối cao, Viện trưởng Viện kiểm sát nhân dân tối cao, chính quyền địa phương cấp tỉnh theo thẩm quyền quy định chi tiết, hướng dẫn áp dụng và tổ chức thực hiện Nghị quyết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Chính phủ, các Bộ, cơ quan ngang Bộ, cơ quan khác ở trung ương và địa phương đề cao trách nhiệm, nhất là trách nhiệm của người đứng đầu trong lãnh đạo, chỉ đạo tổ chức triển khai, thanh tra, kiểm tra việc thực hiện các quy định tại Nghị quyết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Chậm nhất ngày 31 tháng 12 năm 2025, hoàn thành việc rà soát, sửa đổi, bổ sung, hoàn thiện pháp luật về đất đai, quy hoạch, đầu tư.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Thể chế hóa đầy đủ Nghị quyết số 68-NQ/TW ngày 04 tháng 5 năm 2025 của Bộ Chính trị về phát triển kinh tế tư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(Chậm nhất ngày 31 tháng 12 năm 2026) D. Đúng (Căn cứ Điều 16, khoản 1, 2, 3).</w:t>
      </w:r>
    </w:p>
    <w:p>
      <w:pPr>
        <w:spacing w:after="160"/>
        <w:jc w:val="both"/>
      </w:pPr>
      <w:r>
        <w:rPr>
          <w:rFonts w:ascii="Times New Roman" w:hAnsi="Times New Roman" w:eastAsia="Times New Roman"/>
          <w:b/>
          <w:color w:val="000000"/>
        </w:rPr>
        <w:t>Câu 18: Theo Nghị quyết số 198/2025/QH15, về tổ chức thực hiện:</w:t>
      </w:r>
    </w:p>
    <w:p>
      <w:pPr>
        <w:spacing w:after="160"/>
        <w:jc w:val="both"/>
      </w:pPr>
      <w:r>
        <w:rPr>
          <w:rFonts w:ascii="Times New Roman" w:hAnsi="Times New Roman" w:eastAsia="Times New Roman"/>
          <w:color w:val="000000"/>
        </w:rPr>
        <w:t xml:space="preserve">A. Chính phủ chậm nhất ngày 31 tháng 12 năm 2025 hoàn thành việc rà soát, loại bỏ những điều kiện kinh doanh không cần thiết, quy định chồng chéo, không phù hợp, cản trở sự phát triển của doanh nghiệp tư nhân.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Chính phủ thực hiện giảm ít nhất 30% thời gian xử lý thủ tục hành chính, ít nhất 30% chi phí tuân thủ pháp luật, ít nhất 30% điều kiện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Chính phủ thực hiện phân công, phân cấp, phân nhiệm rõ ràng giữa các cấp, các ngành của từng cơ quan, đơn vị, xác định rõ trách nhiệm người đứng đầu trong giải quyết thủ tục hành chính.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Chính phủ thiết lập cơ chế giải quyết khiếu nại về rào cản, vướng mắc trong hoạt động sản xuất kinh doanh.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(Cơ chế đánh giá, phản hồi về rào cản, vướng mắc trong hoạt động sản xuất kinh doanh) (Căn cứ Điều 16, khoản 4, điểm a, b, c).</w:t>
      </w:r>
    </w:p>
    <w:p>
      <w:pPr>
        <w:spacing w:after="160"/>
        <w:jc w:val="both"/>
      </w:pPr>
      <w:r>
        <w:rPr>
          <w:rFonts w:ascii="Times New Roman" w:hAnsi="Times New Roman" w:eastAsia="Times New Roman"/>
          <w:b/>
          <w:color w:val="000000"/>
        </w:rPr>
        <w:t>Câu 19: Theo Nghị quyết số 198/2025/QH15, về tổ chức thực hiện:</w:t>
      </w:r>
    </w:p>
    <w:p>
      <w:pPr>
        <w:spacing w:after="160"/>
        <w:jc w:val="both"/>
      </w:pPr>
      <w:r>
        <w:rPr>
          <w:rFonts w:ascii="Times New Roman" w:hAnsi="Times New Roman" w:eastAsia="Times New Roman"/>
          <w:color w:val="000000"/>
        </w:rPr>
        <w:t xml:space="preserve">A. Người đứng đầu cơ quan, đơn vị và cán bộ, công chức, viên chức, người lao động tham gia xây dựng, ban hành và triển khai các cơ chế, chính sách quy định tại Nghị quyết này được xem xét loại trừ, miễn trách nhiệm đối với trường hợp đã thực hiện đầy đủ các quy trình, quy định liên quan, không tư lợi trong quá trình thực hiện nhiệm vụ, nhưng có thiệt hại do rủi ro khách quan.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Các tổ chức, cá nhân có thành tích trong thực hiện Nghị quyết này được khen thưởng theo quy định của pháp luật.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Xử lý nghiêm các hành vi tham nhũng, trục lợi, nhũng nhiễu của cán bộ, công chức trong quá trình triển khai thực hiện Nghị quyết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Chính phủ giám sát việc thực hiện Nghị quyết này trong phạm vi nhiệm vụ, quyền hạn của mình.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Đúng D. Sai (Quốc hội, Ủy ban Thường vụ Quốc hội, Ủy ban Trung ương Mặt trận Tổ quốc Việt Nam, Hội đồng Dân tộc, các Ủy ban của Quốc hội, các Đoàn đại biểu Quốc hội và đại biểu Quốc hội, Hội đồng nhân dân các cấp giám sát) (Căn cứ Điều 16, khoản 5, 6).</w:t>
      </w:r>
    </w:p>
    <w:p>
      <w:pPr>
        <w:spacing w:after="160"/>
        <w:jc w:val="both"/>
      </w:pPr>
      <w:r>
        <w:rPr>
          <w:rFonts w:ascii="Times New Roman" w:hAnsi="Times New Roman" w:eastAsia="Times New Roman"/>
          <w:b/>
          <w:color w:val="000000"/>
        </w:rPr>
        <w:t>Câu 20: Theo Nghị quyết số 198/2025/QH15, về điều khoản thi hành:</w:t>
      </w:r>
    </w:p>
    <w:p>
      <w:pPr>
        <w:spacing w:after="160"/>
        <w:jc w:val="both"/>
      </w:pPr>
      <w:r>
        <w:rPr>
          <w:rFonts w:ascii="Times New Roman" w:hAnsi="Times New Roman" w:eastAsia="Times New Roman"/>
          <w:color w:val="000000"/>
        </w:rPr>
        <w:t xml:space="preserve">A. Nghị quyết này có hiệu lực thi hành từ ngày được Quốc hội thông qua.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B. Trường hợp có quy định khác nhau về cùng một vấn đề giữa Nghị quyết này với luật, nghị quyết khác của Quốc hội thì áp dụng quy định của Nghị quyết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C. Nghị quyết này có hiệu lực thi hành từ ngày 01 tháng 01 năm 2026.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color w:val="000000"/>
        </w:rPr>
        <w:t xml:space="preserve">D. Trường hợp văn bản quy phạm pháp luật khác có quy định cơ chế, chính sách ưu đãi hoặc thuận lợi hơn Nghị quyết này thì vẫn áp dụng quy định của Nghị quyết này. </w:t>
      </w:r>
      <w:r>
        <w:rPr>
          <w:rFonts w:ascii="Segoe UI Symbol" w:hAnsi="Segoe UI Symbol" w:eastAsia="Segoe UI Symbol" w:cs="Segoe UI Symbol"/>
          <w:color w:val="000000"/>
        </w:rPr>
        <w:t>☐</w:t>
      </w:r>
      <w:r>
        <w:rPr>
          <w:rFonts w:ascii="Times New Roman" w:hAnsi="Times New Roman" w:eastAsia="Times New Roman"/>
          <w:color w:val="000000"/>
        </w:rPr>
        <w:t xml:space="preserve"> Đúng </w:t>
      </w:r>
      <w:r>
        <w:rPr>
          <w:rFonts w:ascii="Segoe UI Symbol" w:hAnsi="Segoe UI Symbol" w:eastAsia="Segoe UI Symbol" w:cs="Segoe UI Symbol"/>
          <w:color w:val="000000"/>
        </w:rPr>
        <w:t>☐</w:t>
      </w:r>
      <w:r>
        <w:rPr>
          <w:rFonts w:ascii="Times New Roman" w:hAnsi="Times New Roman" w:eastAsia="Times New Roman"/>
          <w:color w:val="000000"/>
        </w:rPr>
        <w:t xml:space="preserve"> Sai</w:t>
      </w:r>
    </w:p>
    <w:p>
      <w:pPr>
        <w:spacing w:after="160"/>
        <w:jc w:val="both"/>
      </w:pPr>
      <w:r>
        <w:rPr>
          <w:rFonts w:ascii="Times New Roman" w:hAnsi="Times New Roman" w:eastAsia="Times New Roman"/>
          <w:i/>
          <w:color w:val="000000"/>
        </w:rPr>
        <w:t>Đáp án: A. Đúng B. Đúng C. Sai (Từ ngày được Quốc hội thông qua) D. Sai (Áp dụng theo quy định tại văn bản quy phạm pháp luật đó) (Căn cứ Điều 17, khoản 1, 2).</w:t>
      </w:r>
    </w:p>
    <w:sectPr w:rsidR="00FC693F" w:rsidRPr="0006063C" w:rsidSect="00034616">
      <w:headerReference w:type="first" r:id="rId9"/>
      <w:headerReference w:type="default" r:id="rId10"/>
      <w:footerReference w:type="first" r:id="rId11"/>
      <w:footerReference w:type="default" r:id="rId12"/>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512000" cy="44969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449690"/>
                  </a:xfrm>
                  <a:prstGeom prst="rect"/>
                </pic:spPr>
              </pic:pic>
            </a:graphicData>
          </a:graphic>
        </wp:inline>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