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2948"/>
        <w:gridCol w:w="6690"/>
      </w:tblGrid>
      <w:tr>
        <w:tc>
          <w:tcPr>
            <w:tcW w:type="dxa" w:w="2948"/>
          </w:tcPr>
          <w:p>
            <w:pPr>
              <w:jc w:val="center"/>
            </w:pPr>
            <w:r>
              <w:drawing>
                <wp:inline xmlns:a="http://schemas.openxmlformats.org/drawingml/2006/main" xmlns:pic="http://schemas.openxmlformats.org/drawingml/2006/picture">
                  <wp:extent cx="1655999" cy="1655999"/>
                  <wp:docPr id="1" name="Picture 1"/>
                  <wp:cNvGraphicFramePr>
                    <a:graphicFrameLocks noChangeAspect="1"/>
                  </wp:cNvGraphicFramePr>
                  <a:graphic>
                    <a:graphicData uri="http://schemas.openxmlformats.org/drawingml/2006/picture">
                      <pic:pic>
                        <pic:nvPicPr>
                          <pic:cNvPr id="0" name="photo.png"/>
                          <pic:cNvPicPr/>
                        </pic:nvPicPr>
                        <pic:blipFill>
                          <a:blip r:embed="rId11"/>
                          <a:stretch>
                            <a:fillRect/>
                          </a:stretch>
                        </pic:blipFill>
                        <pic:spPr>
                          <a:xfrm>
                            <a:off x="0" y="0"/>
                            <a:ext cx="1655999" cy="1655999"/>
                          </a:xfrm>
                          <a:prstGeom prst="rect"/>
                        </pic:spPr>
                      </pic:pic>
                    </a:graphicData>
                  </a:graphic>
                </wp:inline>
              </w:drawing>
            </w:r>
          </w:p>
        </w:tc>
        <w:tc>
          <w:tcPr>
            <w:tcW w:type="dxa" w:w="6690"/>
            <w:vAlign w:val="center"/>
            <w:tcBorders>
              <w:top w:val="single" w:sz="18" w:color="E8632B"/>
              <w:left w:val="single" w:sz="18" w:color="E8632B"/>
              <w:bottom w:val="single" w:sz="18" w:color="E8632B"/>
              <w:right w:val="single" w:sz="18" w:color="E8632B"/>
            </w:tcBorders>
          </w:tcPr>
          <w:p>
            <w:pPr>
              <w:spacing w:before="120" w:after="120"/>
              <w:jc w:val="center"/>
            </w:pPr>
            <w:r>
              <w:rPr>
                <w:rFonts w:ascii="Times New Roman" w:hAnsi="Times New Roman" w:eastAsia="Times New Roman"/>
                <w:b/>
                <w:color w:val="1F3764"/>
                <w:sz w:val="28"/>
              </w:rPr>
              <w:t>TÓM TẮT</w:t>
            </w:r>
            <w:r>
              <w:br/>
            </w:r>
            <w:r>
              <w:rPr>
                <w:rFonts w:ascii="Times New Roman" w:hAnsi="Times New Roman" w:eastAsia="Times New Roman"/>
                <w:b/>
                <w:color w:val="1F3764"/>
                <w:sz w:val="28"/>
              </w:rPr>
              <w:t>NGHỊ ĐỊNH</w:t>
            </w:r>
            <w:r>
              <w:br/>
            </w:r>
            <w:r>
              <w:rPr>
                <w:rFonts w:ascii="Times New Roman" w:hAnsi="Times New Roman" w:eastAsia="Times New Roman"/>
                <w:b/>
                <w:color w:val="1F3764"/>
                <w:sz w:val="28"/>
              </w:rPr>
              <w:t>SỐ 264/2025/NĐ-CP</w:t>
            </w:r>
          </w:p>
        </w:tc>
      </w:tr>
    </w:tbl>
    <w:p>
      <w:pPr>
        <w:spacing w:before="80" w:after="160"/>
        <w:jc w:val="center"/>
      </w:pPr>
      <w:r>
        <w:rPr>
          <w:rFonts w:ascii="Times New Roman" w:hAnsi="Times New Roman" w:eastAsia="Times New Roman"/>
          <w:b/>
          <w:color w:val="E8632B"/>
          <w:sz w:val="30"/>
        </w:rPr>
        <w:t>NGẮN GỌN, DỄ NHỚ</w:t>
      </w:r>
    </w:p>
    <w:p>
      <w:pPr>
        <w:spacing w:before="0" w:after="160"/>
        <w:jc w:val="center"/>
      </w:pPr>
      <w:r>
        <w:rPr>
          <w:rFonts w:ascii="Times New Roman" w:hAnsi="Times New Roman" w:eastAsia="Times New Roman"/>
          <w:b/>
          <w:color w:val="FF0000"/>
          <w:sz w:val="28"/>
        </w:rPr>
        <w:t>TÓM TẮT NGHỊ ĐỊNH SỐ 264/2025/NĐ-CP</w:t>
      </w:r>
    </w:p>
    <w:tbl>
      <w:tblPr>
        <w:tblStyle w:val="TableGrid"/>
        <w:tblW w:type="auto" w:w="0"/>
        <w:jc w:val="center"/>
        <w:tblLayout w:type="fixed"/>
        <w:tblLook w:firstColumn="1" w:firstRow="1" w:lastColumn="0" w:lastRow="0" w:noHBand="0" w:noVBand="1" w:val="04A0"/>
        <w:tblLayout w:type="fixed"/>
      </w:tblPr>
      <w:tblGrid>
        <w:gridCol w:w="2551"/>
        <w:gridCol w:w="7087"/>
      </w:tblGrid>
      <w:tr>
        <w:tc>
          <w:tcPr>
            <w:tcW w:type="dxa" w:w="2551"/>
          </w:tcPr>
          <w:p>
            <w:pPr>
              <w:spacing w:before="40" w:after="40"/>
              <w:jc w:val="left"/>
            </w:pPr>
            <w:r>
              <w:rPr>
                <w:rFonts w:ascii="Times New Roman" w:hAnsi="Times New Roman" w:eastAsia="Times New Roman"/>
                <w:b/>
              </w:rPr>
              <w:t>Tên văn bản</w:t>
            </w:r>
          </w:p>
        </w:tc>
        <w:tc>
          <w:tcPr>
            <w:tcW w:type="dxa" w:w="7087"/>
          </w:tcPr>
          <w:p>
            <w:pPr>
              <w:spacing w:before="40" w:after="40"/>
              <w:jc w:val="left"/>
            </w:pPr>
            <w:r>
              <w:rPr>
                <w:rFonts w:ascii="Times New Roman" w:hAnsi="Times New Roman" w:eastAsia="Times New Roman"/>
                <w:b/>
              </w:rPr>
              <w:t>Nghị định quy định về Quỹ đầu tư mạo hiểm quốc gia và quỹ đầu tư mạo hiểm của địa phương</w:t>
            </w:r>
          </w:p>
        </w:tc>
      </w:tr>
      <w:tr>
        <w:tc>
          <w:tcPr>
            <w:tcW w:type="dxa" w:w="2551"/>
          </w:tcPr>
          <w:p>
            <w:pPr>
              <w:spacing w:before="40" w:after="40"/>
              <w:jc w:val="left"/>
            </w:pPr>
            <w:r>
              <w:rPr>
                <w:rFonts w:ascii="Times New Roman" w:hAnsi="Times New Roman" w:eastAsia="Times New Roman"/>
                <w:b/>
              </w:rPr>
              <w:t>Số hiệu</w:t>
            </w:r>
          </w:p>
        </w:tc>
        <w:tc>
          <w:tcPr>
            <w:tcW w:type="dxa" w:w="7087"/>
          </w:tcPr>
          <w:p>
            <w:pPr>
              <w:spacing w:before="40" w:after="40"/>
              <w:jc w:val="left"/>
            </w:pPr>
            <w:r>
              <w:rPr>
                <w:rFonts w:ascii="Times New Roman" w:hAnsi="Times New Roman" w:eastAsia="Times New Roman"/>
                <w:b/>
              </w:rPr>
              <w:t>264/2025/NĐ-CP</w:t>
            </w:r>
          </w:p>
        </w:tc>
      </w:tr>
      <w:tr>
        <w:tc>
          <w:tcPr>
            <w:tcW w:type="dxa" w:w="2551"/>
          </w:tcPr>
          <w:p>
            <w:pPr>
              <w:spacing w:before="40" w:after="40"/>
              <w:jc w:val="left"/>
            </w:pPr>
            <w:r>
              <w:rPr>
                <w:rFonts w:ascii="Times New Roman" w:hAnsi="Times New Roman" w:eastAsia="Times New Roman"/>
                <w:b/>
              </w:rPr>
              <w:t>Cơ quan ban hành</w:t>
            </w:r>
          </w:p>
        </w:tc>
        <w:tc>
          <w:tcPr>
            <w:tcW w:type="dxa" w:w="7087"/>
          </w:tcPr>
          <w:p>
            <w:pPr>
              <w:spacing w:before="40" w:after="40"/>
              <w:jc w:val="left"/>
            </w:pPr>
            <w:r>
              <w:rPr>
                <w:rFonts w:ascii="Times New Roman" w:hAnsi="Times New Roman" w:eastAsia="Times New Roman"/>
                <w:b/>
              </w:rPr>
              <w:t>Chính phủ</w:t>
            </w:r>
          </w:p>
        </w:tc>
      </w:tr>
      <w:tr>
        <w:tc>
          <w:tcPr>
            <w:tcW w:type="dxa" w:w="2551"/>
          </w:tcPr>
          <w:p>
            <w:pPr>
              <w:spacing w:before="40" w:after="40"/>
              <w:jc w:val="left"/>
            </w:pPr>
            <w:r>
              <w:rPr>
                <w:rFonts w:ascii="Times New Roman" w:hAnsi="Times New Roman" w:eastAsia="Times New Roman"/>
                <w:b/>
              </w:rPr>
              <w:t>Ngày ban hành</w:t>
            </w:r>
          </w:p>
        </w:tc>
        <w:tc>
          <w:tcPr>
            <w:tcW w:type="dxa" w:w="7087"/>
          </w:tcPr>
          <w:p>
            <w:pPr>
              <w:spacing w:before="40" w:after="40"/>
              <w:jc w:val="left"/>
            </w:pPr>
            <w:r>
              <w:rPr>
                <w:rFonts w:ascii="Times New Roman" w:hAnsi="Times New Roman" w:eastAsia="Times New Roman"/>
                <w:b/>
              </w:rPr>
              <w:t>14/10/2025</w:t>
            </w:r>
          </w:p>
        </w:tc>
      </w:tr>
      <w:tr>
        <w:tc>
          <w:tcPr>
            <w:tcW w:type="dxa" w:w="2551"/>
          </w:tcPr>
          <w:p>
            <w:pPr>
              <w:spacing w:before="40" w:after="40"/>
              <w:jc w:val="left"/>
            </w:pPr>
            <w:r>
              <w:rPr>
                <w:rFonts w:ascii="Times New Roman" w:hAnsi="Times New Roman" w:eastAsia="Times New Roman"/>
                <w:b/>
              </w:rPr>
              <w:t>Ngày có hiệu lực</w:t>
            </w:r>
          </w:p>
        </w:tc>
        <w:tc>
          <w:tcPr>
            <w:tcW w:type="dxa" w:w="7087"/>
          </w:tcPr>
          <w:p>
            <w:pPr>
              <w:spacing w:before="40" w:after="40"/>
              <w:jc w:val="left"/>
            </w:pPr>
            <w:r>
              <w:rPr>
                <w:rFonts w:ascii="Times New Roman" w:hAnsi="Times New Roman" w:eastAsia="Times New Roman"/>
                <w:b/>
              </w:rPr>
              <w:t>14/10/2025</w:t>
            </w:r>
          </w:p>
        </w:tc>
      </w:tr>
      <w:tr>
        <w:tc>
          <w:tcPr>
            <w:tcW w:type="dxa" w:w="2551"/>
          </w:tcPr>
          <w:p>
            <w:pPr>
              <w:spacing w:before="40" w:after="40"/>
              <w:jc w:val="left"/>
            </w:pPr>
            <w:r>
              <w:rPr>
                <w:rFonts w:ascii="Times New Roman" w:hAnsi="Times New Roman" w:eastAsia="Times New Roman"/>
                <w:b/>
              </w:rPr>
              <w:t>Tổng số Điều</w:t>
            </w:r>
          </w:p>
        </w:tc>
        <w:tc>
          <w:tcPr>
            <w:tcW w:type="dxa" w:w="7087"/>
          </w:tcPr>
          <w:p>
            <w:pPr>
              <w:spacing w:before="40" w:after="40"/>
              <w:jc w:val="left"/>
            </w:pPr>
            <w:r>
              <w:rPr>
                <w:rFonts w:ascii="Times New Roman" w:hAnsi="Times New Roman" w:eastAsia="Times New Roman"/>
                <w:b/>
              </w:rPr>
              <w:t>18 Điều, 3 Chương</w:t>
            </w:r>
          </w:p>
        </w:tc>
      </w:tr>
    </w:tbl>
    <w:p>
      <w:pPr>
        <w:spacing w:before="240" w:after="80"/>
        <w:jc w:val="left"/>
      </w:pPr>
      <w:r>
        <w:rPr>
          <w:rFonts w:ascii="Times New Roman" w:hAnsi="Times New Roman" w:eastAsia="Times New Roman"/>
          <w:b/>
          <w:color w:val="FF0000"/>
        </w:rPr>
        <w:t>Chữ viết tắt dùng trong phần Tóm tắt dễ học</w:t>
      </w:r>
    </w:p>
    <w:tbl>
      <w:tblPr>
        <w:tblStyle w:val="TableGrid"/>
        <w:tblW w:type="auto" w:w="0"/>
        <w:jc w:val="center"/>
        <w:tblLayout w:type="fixed"/>
        <w:tblLook w:firstColumn="1" w:firstRow="1" w:lastColumn="0" w:lastRow="0" w:noHBand="0" w:noVBand="1" w:val="04A0"/>
        <w:tblLayout w:type="fixed"/>
      </w:tblPr>
      <w:tblGrid>
        <w:gridCol w:w="1530"/>
        <w:gridCol w:w="3288"/>
        <w:gridCol w:w="1530"/>
        <w:gridCol w:w="3288"/>
      </w:tblGrid>
      <w:tr>
        <w:tc>
          <w:tcPr>
            <w:tcW w:type="dxa" w:w="1531"/>
          </w:tcPr>
          <w:p>
            <w:pPr>
              <w:spacing w:before="20" w:after="20"/>
              <w:jc w:val="left"/>
            </w:pPr>
            <w:r>
              <w:rPr>
                <w:rFonts w:ascii="Times New Roman" w:hAnsi="Times New Roman" w:eastAsia="Times New Roman"/>
                <w:b/>
                <w:sz w:val="24"/>
              </w:rPr>
              <w:t>CP</w:t>
            </w:r>
          </w:p>
        </w:tc>
        <w:tc>
          <w:tcPr>
            <w:tcW w:type="dxa" w:w="3288"/>
          </w:tcPr>
          <w:p>
            <w:pPr>
              <w:spacing w:before="20" w:after="20"/>
              <w:jc w:val="left"/>
            </w:pPr>
            <w:r>
              <w:rPr>
                <w:rFonts w:ascii="Times New Roman" w:hAnsi="Times New Roman" w:eastAsia="Times New Roman"/>
                <w:sz w:val="24"/>
              </w:rPr>
              <w:t>Chính phủ</w:t>
            </w:r>
          </w:p>
        </w:tc>
        <w:tc>
          <w:tcPr>
            <w:tcW w:type="dxa" w:w="1531"/>
          </w:tcPr>
          <w:p>
            <w:pPr>
              <w:spacing w:before="20" w:after="20"/>
              <w:jc w:val="left"/>
            </w:pPr>
            <w:r>
              <w:rPr>
                <w:rFonts w:ascii="Times New Roman" w:hAnsi="Times New Roman" w:eastAsia="Times New Roman"/>
                <w:b/>
                <w:sz w:val="24"/>
              </w:rPr>
              <w:t>KH&amp;CN</w:t>
            </w:r>
          </w:p>
        </w:tc>
        <w:tc>
          <w:tcPr>
            <w:tcW w:type="dxa" w:w="3288"/>
          </w:tcPr>
          <w:p>
            <w:pPr>
              <w:spacing w:before="20" w:after="20"/>
              <w:jc w:val="left"/>
            </w:pPr>
            <w:r>
              <w:rPr>
                <w:rFonts w:ascii="Times New Roman" w:hAnsi="Times New Roman" w:eastAsia="Times New Roman"/>
                <w:sz w:val="24"/>
              </w:rPr>
              <w:t>Khoa học và Công nghệ</w:t>
            </w:r>
          </w:p>
        </w:tc>
      </w:tr>
      <w:tr>
        <w:tc>
          <w:tcPr>
            <w:tcW w:type="dxa" w:w="1531"/>
          </w:tcPr>
          <w:p>
            <w:pPr>
              <w:spacing w:before="20" w:after="20"/>
              <w:jc w:val="left"/>
            </w:pPr>
            <w:r>
              <w:rPr>
                <w:rFonts w:ascii="Times New Roman" w:hAnsi="Times New Roman" w:eastAsia="Times New Roman"/>
                <w:b/>
                <w:sz w:val="24"/>
              </w:rPr>
              <w:t>BTC</w:t>
            </w:r>
          </w:p>
        </w:tc>
        <w:tc>
          <w:tcPr>
            <w:tcW w:type="dxa" w:w="3288"/>
          </w:tcPr>
          <w:p>
            <w:pPr>
              <w:spacing w:before="20" w:after="20"/>
              <w:jc w:val="left"/>
            </w:pPr>
            <w:r>
              <w:rPr>
                <w:rFonts w:ascii="Times New Roman" w:hAnsi="Times New Roman" w:eastAsia="Times New Roman"/>
                <w:sz w:val="24"/>
              </w:rPr>
              <w:t>Bộ Tài chính</w:t>
            </w:r>
          </w:p>
        </w:tc>
        <w:tc>
          <w:tcPr>
            <w:tcW w:type="dxa" w:w="1531"/>
          </w:tcPr>
          <w:p>
            <w:pPr>
              <w:spacing w:before="20" w:after="20"/>
              <w:jc w:val="left"/>
            </w:pPr>
            <w:r>
              <w:rPr>
                <w:rFonts w:ascii="Times New Roman" w:hAnsi="Times New Roman" w:eastAsia="Times New Roman"/>
                <w:b/>
                <w:sz w:val="24"/>
              </w:rPr>
              <w:t>UBND</w:t>
            </w:r>
          </w:p>
        </w:tc>
        <w:tc>
          <w:tcPr>
            <w:tcW w:type="dxa" w:w="3288"/>
          </w:tcPr>
          <w:p>
            <w:pPr>
              <w:spacing w:before="20" w:after="20"/>
              <w:jc w:val="left"/>
            </w:pPr>
            <w:r>
              <w:rPr>
                <w:rFonts w:ascii="Times New Roman" w:hAnsi="Times New Roman" w:eastAsia="Times New Roman"/>
                <w:sz w:val="24"/>
              </w:rPr>
              <w:t>Ủy ban nhân dân</w:t>
            </w:r>
          </w:p>
        </w:tc>
      </w:tr>
      <w:tr>
        <w:tc>
          <w:tcPr>
            <w:tcW w:type="dxa" w:w="1531"/>
          </w:tcPr>
          <w:p>
            <w:pPr>
              <w:spacing w:before="20" w:after="20"/>
              <w:jc w:val="left"/>
            </w:pPr>
            <w:r>
              <w:rPr>
                <w:rFonts w:ascii="Times New Roman" w:hAnsi="Times New Roman" w:eastAsia="Times New Roman"/>
                <w:b/>
                <w:sz w:val="24"/>
              </w:rPr>
              <w:t>NSNN</w:t>
            </w:r>
          </w:p>
        </w:tc>
        <w:tc>
          <w:tcPr>
            <w:tcW w:type="dxa" w:w="3288"/>
          </w:tcPr>
          <w:p>
            <w:pPr>
              <w:spacing w:before="20" w:after="20"/>
              <w:jc w:val="left"/>
            </w:pPr>
            <w:r>
              <w:rPr>
                <w:rFonts w:ascii="Times New Roman" w:hAnsi="Times New Roman" w:eastAsia="Times New Roman"/>
                <w:sz w:val="24"/>
              </w:rPr>
              <w:t>ngân sách nhà nước</w:t>
            </w:r>
          </w:p>
        </w:tc>
        <w:tc>
          <w:tcPr>
            <w:tcW w:type="dxa" w:w="1531"/>
          </w:tcPr>
          <w:p>
            <w:pPr>
              <w:spacing w:before="20" w:after="20"/>
              <w:jc w:val="left"/>
            </w:pPr>
            <w:r>
              <w:rPr>
                <w:rFonts w:ascii="Times New Roman" w:hAnsi="Times New Roman" w:eastAsia="Times New Roman"/>
                <w:b/>
                <w:sz w:val="24"/>
              </w:rPr>
              <w:t>ĐTMH</w:t>
            </w:r>
          </w:p>
        </w:tc>
        <w:tc>
          <w:tcPr>
            <w:tcW w:type="dxa" w:w="3288"/>
          </w:tcPr>
          <w:p>
            <w:pPr>
              <w:spacing w:before="20" w:after="20"/>
              <w:jc w:val="left"/>
            </w:pPr>
            <w:r>
              <w:rPr>
                <w:rFonts w:ascii="Times New Roman" w:hAnsi="Times New Roman" w:eastAsia="Times New Roman"/>
                <w:sz w:val="24"/>
              </w:rPr>
              <w:t>đầu tư mạo hiểm</w:t>
            </w:r>
          </w:p>
        </w:tc>
      </w:tr>
      <w:tr>
        <w:tc>
          <w:tcPr>
            <w:tcW w:type="dxa" w:w="1531"/>
          </w:tcPr>
          <w:p>
            <w:pPr>
              <w:spacing w:before="20" w:after="20"/>
              <w:jc w:val="left"/>
            </w:pPr>
            <w:r>
              <w:rPr>
                <w:rFonts w:ascii="Times New Roman" w:hAnsi="Times New Roman" w:eastAsia="Times New Roman"/>
                <w:b/>
                <w:sz w:val="24"/>
              </w:rPr>
              <w:t>KNST</w:t>
            </w:r>
          </w:p>
        </w:tc>
        <w:tc>
          <w:tcPr>
            <w:tcW w:type="dxa" w:w="3288"/>
          </w:tcPr>
          <w:p>
            <w:pPr>
              <w:spacing w:before="20" w:after="20"/>
              <w:jc w:val="left"/>
            </w:pPr>
            <w:r>
              <w:rPr>
                <w:rFonts w:ascii="Times New Roman" w:hAnsi="Times New Roman" w:eastAsia="Times New Roman"/>
                <w:sz w:val="24"/>
              </w:rPr>
              <w:t>khởi nghiệp sáng tạo</w:t>
            </w:r>
          </w:p>
        </w:tc>
        <w:tc>
          <w:tcPr>
            <w:tcW w:type="dxa" w:w="1531"/>
          </w:tcPr>
          <w:p>
            <w:pPr>
              <w:spacing w:before="20" w:after="20"/>
              <w:jc w:val="left"/>
            </w:pPr>
            <w:r>
              <w:rPr>
                <w:rFonts w:ascii="Times New Roman" w:hAnsi="Times New Roman" w:eastAsia="Times New Roman"/>
                <w:b/>
                <w:sz w:val="24"/>
              </w:rPr>
              <w:t>DN</w:t>
            </w:r>
          </w:p>
        </w:tc>
        <w:tc>
          <w:tcPr>
            <w:tcW w:type="dxa" w:w="3288"/>
          </w:tcPr>
          <w:p>
            <w:pPr>
              <w:spacing w:before="20" w:after="20"/>
              <w:jc w:val="left"/>
            </w:pPr>
            <w:r>
              <w:rPr>
                <w:rFonts w:ascii="Times New Roman" w:hAnsi="Times New Roman" w:eastAsia="Times New Roman"/>
                <w:sz w:val="24"/>
              </w:rPr>
              <w:t>doanh nghiệp</w:t>
            </w:r>
          </w:p>
        </w:tc>
      </w:tr>
      <w:tr>
        <w:tc>
          <w:tcPr>
            <w:tcW w:type="dxa" w:w="1531"/>
          </w:tcPr>
          <w:p>
            <w:pPr>
              <w:spacing w:before="20" w:after="20"/>
              <w:jc w:val="left"/>
            </w:pPr>
            <w:r>
              <w:rPr>
                <w:rFonts w:ascii="Times New Roman" w:hAnsi="Times New Roman" w:eastAsia="Times New Roman"/>
                <w:b/>
                <w:sz w:val="24"/>
              </w:rPr>
              <w:t>Quỹ QG</w:t>
            </w:r>
          </w:p>
        </w:tc>
        <w:tc>
          <w:tcPr>
            <w:tcW w:type="dxa" w:w="3288"/>
          </w:tcPr>
          <w:p>
            <w:pPr>
              <w:spacing w:before="20" w:after="20"/>
              <w:jc w:val="left"/>
            </w:pPr>
            <w:r>
              <w:rPr>
                <w:rFonts w:ascii="Times New Roman" w:hAnsi="Times New Roman" w:eastAsia="Times New Roman"/>
                <w:sz w:val="24"/>
              </w:rPr>
              <w:t>Quỹ đầu tư mạo hiểm quốc gia</w:t>
            </w:r>
          </w:p>
        </w:tc>
        <w:tc>
          <w:tcPr>
            <w:tcW w:type="dxa" w:w="1531"/>
          </w:tcPr>
          <w:p>
            <w:pPr>
              <w:spacing w:before="20" w:after="20"/>
              <w:jc w:val="left"/>
            </w:pPr>
            <w:r>
              <w:rPr>
                <w:rFonts w:ascii="Times New Roman" w:hAnsi="Times New Roman" w:eastAsia="Times New Roman"/>
                <w:b/>
                <w:sz w:val="24"/>
              </w:rPr>
              <w:t>Quỹ ĐP</w:t>
            </w:r>
          </w:p>
        </w:tc>
        <w:tc>
          <w:tcPr>
            <w:tcW w:type="dxa" w:w="3288"/>
          </w:tcPr>
          <w:p>
            <w:pPr>
              <w:spacing w:before="20" w:after="20"/>
              <w:jc w:val="left"/>
            </w:pPr>
            <w:r>
              <w:rPr>
                <w:rFonts w:ascii="Times New Roman" w:hAnsi="Times New Roman" w:eastAsia="Times New Roman"/>
                <w:sz w:val="24"/>
              </w:rPr>
              <w:t>quỹ đầu tư mạo hiểm của địa phương</w:t>
            </w:r>
          </w:p>
        </w:tc>
      </w:tr>
      <w:tr>
        <w:tc>
          <w:tcPr>
            <w:tcW w:type="dxa" w:w="1531"/>
          </w:tcPr>
          <w:p>
            <w:pPr>
              <w:spacing w:before="20" w:after="20"/>
              <w:jc w:val="left"/>
            </w:pPr>
            <w:r>
              <w:rPr>
                <w:rFonts w:ascii="Times New Roman" w:hAnsi="Times New Roman" w:eastAsia="Times New Roman"/>
                <w:b/>
                <w:sz w:val="24"/>
              </w:rPr>
              <w:t>VĐL</w:t>
            </w:r>
          </w:p>
        </w:tc>
        <w:tc>
          <w:tcPr>
            <w:tcW w:type="dxa" w:w="3288"/>
          </w:tcPr>
          <w:p>
            <w:pPr>
              <w:spacing w:before="20" w:after="20"/>
              <w:jc w:val="left"/>
            </w:pPr>
            <w:r>
              <w:rPr>
                <w:rFonts w:ascii="Times New Roman" w:hAnsi="Times New Roman" w:eastAsia="Times New Roman"/>
                <w:sz w:val="24"/>
              </w:rPr>
              <w:t>vốn điều lệ</w:t>
            </w:r>
          </w:p>
        </w:tc>
        <w:tc>
          <w:tcPr>
            <w:tcW w:type="dxa" w:w="1531"/>
          </w:tcPr>
          <w:p>
            <w:pPr>
              <w:spacing w:before="20" w:after="20"/>
              <w:jc w:val="left"/>
            </w:pPr>
            <w:r>
              <w:rPr>
                <w:rFonts w:ascii="Times New Roman" w:hAnsi="Times New Roman" w:eastAsia="Times New Roman"/>
                <w:b/>
                <w:sz w:val="24"/>
              </w:rPr>
              <w:t>NĐT</w:t>
            </w:r>
          </w:p>
        </w:tc>
        <w:tc>
          <w:tcPr>
            <w:tcW w:type="dxa" w:w="3288"/>
          </w:tcPr>
          <w:p>
            <w:pPr>
              <w:spacing w:before="20" w:after="20"/>
              <w:jc w:val="left"/>
            </w:pPr>
            <w:r>
              <w:rPr>
                <w:rFonts w:ascii="Times New Roman" w:hAnsi="Times New Roman" w:eastAsia="Times New Roman"/>
                <w:sz w:val="24"/>
              </w:rPr>
              <w:t>nhà đầu tư</w:t>
            </w:r>
          </w:p>
        </w:tc>
      </w:tr>
    </w:tbl>
    <w:p>
      <w:r>
        <w:br w:type="page"/>
      </w:r>
    </w:p>
    <w:p>
      <w:pPr>
        <w:spacing w:before="0" w:after="0"/>
        <w:jc w:val="center"/>
      </w:pPr>
      <w:r>
        <w:rPr>
          <w:rFonts w:ascii="Times New Roman" w:hAnsi="Times New Roman" w:eastAsia="Times New Roman"/>
          <w:b/>
          <w:color w:val="FF0000"/>
          <w:sz w:val="28"/>
        </w:rPr>
        <w:t>CHƯƠNG I</w:t>
      </w:r>
    </w:p>
    <w:p>
      <w:pPr>
        <w:spacing w:before="0" w:after="160"/>
        <w:jc w:val="center"/>
      </w:pPr>
      <w:r>
        <w:rPr>
          <w:rFonts w:ascii="Times New Roman" w:hAnsi="Times New Roman" w:eastAsia="Times New Roman"/>
          <w:b/>
          <w:color w:val="FF0000"/>
          <w:sz w:val="28"/>
        </w:rPr>
        <w:t>QUY ĐỊNH CHUNG</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 Phạm vi điều chỉnh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Nghị định này quy định về việc thành lập, cơ cấu tổ chức, hoạt động, quản lý, cơ cấu tỷ lệ phần vốn từ ngân sách nhà nước, sử dụng vốn, cơ chế giám sát đối với Quỹ đầu tư mạo hiểm quốc gia, quỹ đầu tư mạo hiểm của địa phương và các nội dung khác quy định tại Điều 40 của Luật Khoa học, công nghệ và đổi mới sáng tạo.</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Nghị định quy định về </w:t>
            </w:r>
            <w:r>
              <w:rPr>
                <w:rFonts w:ascii="Times New Roman" w:hAnsi="Times New Roman" w:eastAsia="Times New Roman"/>
                <w:b/>
                <w:color w:val="FF0000"/>
              </w:rPr>
              <w:t>thành lập, cơ cấu tổ chức, hoạt động, quản lý, cơ cấu tỷ lệ phần vốn từ NSNN, sử dụng vốn, cơ chế giám sát</w:t>
            </w:r>
            <w:r>
              <w:rPr>
                <w:rFonts w:ascii="Times New Roman" w:hAnsi="Times New Roman" w:eastAsia="Times New Roman"/>
              </w:rPr>
              <w:t xml:space="preserve"> đối với </w:t>
            </w:r>
            <w:r>
              <w:rPr>
                <w:rFonts w:ascii="Times New Roman" w:hAnsi="Times New Roman" w:eastAsia="Times New Roman"/>
                <w:b/>
                <w:color w:val="FF0000"/>
              </w:rPr>
              <w:t>Quỹ QG, Quỹ ĐP</w:t>
            </w:r>
            <w:r>
              <w:rPr>
                <w:rFonts w:ascii="Times New Roman" w:hAnsi="Times New Roman" w:eastAsia="Times New Roman"/>
              </w:rPr>
              <w:t xml:space="preserve"> và các nội dung khác tại </w:t>
            </w:r>
            <w:r>
              <w:rPr>
                <w:rFonts w:ascii="Times New Roman" w:hAnsi="Times New Roman" w:eastAsia="Times New Roman"/>
                <w:b/>
                <w:color w:val="FF0000"/>
              </w:rPr>
              <w:t>Điều 40 Luật Khoa học, công nghệ và đổi mới sáng tạo</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2. Đối tượng áp dụng</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Nghị định này áp dụng đối với:</w:t>
            </w:r>
          </w:p>
          <w:p>
            <w:pPr>
              <w:spacing w:before="40" w:after="40"/>
              <w:jc w:val="both"/>
            </w:pPr>
            <w:r>
              <w:rPr>
                <w:rFonts w:ascii="Times New Roman" w:hAnsi="Times New Roman" w:eastAsia="Times New Roman"/>
              </w:rPr>
              <w:t>1. Quỹ đầu tư mạo hiểm quốc gia.</w:t>
            </w:r>
          </w:p>
          <w:p>
            <w:pPr>
              <w:spacing w:before="40" w:after="40"/>
              <w:jc w:val="both"/>
            </w:pPr>
            <w:r>
              <w:rPr>
                <w:rFonts w:ascii="Times New Roman" w:hAnsi="Times New Roman" w:eastAsia="Times New Roman"/>
              </w:rPr>
              <w:t>2. Quỹ đầu tư mạo hiểm của địa phương.</w:t>
            </w:r>
          </w:p>
          <w:p>
            <w:pPr>
              <w:spacing w:before="40" w:after="40"/>
              <w:jc w:val="both"/>
            </w:pPr>
            <w:r>
              <w:rPr>
                <w:rFonts w:ascii="Times New Roman" w:hAnsi="Times New Roman" w:eastAsia="Times New Roman"/>
              </w:rPr>
              <w:t>3. Tổ chức, cá nhân đầu tư vào Quỹ đầu tư mạo hiểm quốc gia, quỹ đầu tư mạo hiểm của địa phương.</w:t>
            </w:r>
          </w:p>
          <w:p>
            <w:pPr>
              <w:spacing w:before="40" w:after="40"/>
              <w:jc w:val="both"/>
            </w:pPr>
            <w:r>
              <w:rPr>
                <w:rFonts w:ascii="Times New Roman" w:hAnsi="Times New Roman" w:eastAsia="Times New Roman"/>
              </w:rPr>
              <w:t>4. Các cơ quan, tổ chức, cá nhân có liên quan.</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Áp dụng đối với: </w:t>
            </w:r>
            <w:r>
              <w:rPr>
                <w:rFonts w:ascii="Times New Roman" w:hAnsi="Times New Roman" w:eastAsia="Times New Roman"/>
                <w:b/>
                <w:color w:val="FF0000"/>
              </w:rPr>
              <w:t>Quỹ QG</w:t>
            </w:r>
            <w:r>
              <w:rPr>
                <w:rFonts w:ascii="Times New Roman" w:hAnsi="Times New Roman" w:eastAsia="Times New Roman"/>
              </w:rPr>
              <w:t xml:space="preserve">; </w:t>
            </w:r>
            <w:r>
              <w:rPr>
                <w:rFonts w:ascii="Times New Roman" w:hAnsi="Times New Roman" w:eastAsia="Times New Roman"/>
                <w:b/>
                <w:color w:val="FF0000"/>
              </w:rPr>
              <w:t>Quỹ ĐP</w:t>
            </w:r>
            <w:r>
              <w:rPr>
                <w:rFonts w:ascii="Times New Roman" w:hAnsi="Times New Roman" w:eastAsia="Times New Roman"/>
              </w:rPr>
              <w:t xml:space="preserve">; </w:t>
            </w:r>
            <w:r>
              <w:rPr>
                <w:rFonts w:ascii="Times New Roman" w:hAnsi="Times New Roman" w:eastAsia="Times New Roman"/>
                <w:b/>
                <w:color w:val="FF0000"/>
              </w:rPr>
              <w:t>tổ chức, cá nhân đầu tư vào</w:t>
            </w:r>
            <w:r>
              <w:rPr>
                <w:rFonts w:ascii="Times New Roman" w:hAnsi="Times New Roman" w:eastAsia="Times New Roman"/>
              </w:rPr>
              <w:t xml:space="preserve"> Quỹ QG, Quỹ ĐP; các cơ quan, tổ chức, cá nhân có liên quan.</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3. Giải thích từ ngữ</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Trong Nghị định này, các từ ngữ dưới đây được hiểu như sau:</w:t>
            </w:r>
          </w:p>
          <w:p>
            <w:pPr>
              <w:spacing w:before="40" w:after="40"/>
              <w:jc w:val="both"/>
            </w:pPr>
            <w:r>
              <w:rPr>
                <w:rFonts w:ascii="Times New Roman" w:hAnsi="Times New Roman" w:eastAsia="Times New Roman"/>
              </w:rPr>
              <w:t>1. Đầu tư mạo hiểm là hoạt động đầu tư thông qua việc góp vốn thành lập, mua cổ phần, phần vốn góp tại doanh nghiệp khởi nghiệp sáng tạo hoặc thành lập, góp vốn vào quỹ đầu tư mạo hiểm, quỹ đầu tư khởi nghiệp sáng tạo.</w:t>
            </w:r>
          </w:p>
          <w:p>
            <w:pPr>
              <w:spacing w:before="40" w:after="40"/>
              <w:jc w:val="both"/>
            </w:pPr>
            <w:r>
              <w:rPr>
                <w:rFonts w:ascii="Times New Roman" w:hAnsi="Times New Roman" w:eastAsia="Times New Roman"/>
              </w:rPr>
              <w:t>2. Chiến lược đầu tư của quỹ là tập hợp các định hướng, nguyên tắc và tiêu chí được quỹ xác lập nhằm lựa chọn, triển khai và quản lý các khoản đầu tư vào doanh nghiệp khởi nghiệp sáng tạo hoặc đối tượng đầu tư khác phù hợp với mục tiêu của quỹ, trong đó xác định phạm vi ngành nghề, giai đoạn phát triển của doanh nghiệp, địa bàn đầu tư, tỷ lệ nắm giữ vốn, mức độ chấp nhận rủi ro, kỳ vọng lợi nhuận, phương thức đầu tư và phương thức thoái vốn.</w:t>
            </w:r>
          </w:p>
          <w:p>
            <w:pPr>
              <w:spacing w:before="40" w:after="40"/>
              <w:jc w:val="both"/>
            </w:pPr>
            <w:r>
              <w:rPr>
                <w:rFonts w:ascii="Times New Roman" w:hAnsi="Times New Roman" w:eastAsia="Times New Roman"/>
              </w:rPr>
              <w:t>3. Điều lệ quỹ là điều lệ công ty theo quy định của Luật Doanh nghiệp điều chỉnh toàn bộ hoạt động của quỹ, trong đó xác lập quyền và nghĩa vụ của các nhà đầu tư, bộ máy quản lý, vận hành quỹ và các bên liên quan trong quá trình huy động, quản lý và sử dụng vốn đầu tư mạo hiểm.</w:t>
            </w:r>
          </w:p>
          <w:p>
            <w:pPr>
              <w:spacing w:before="40" w:after="40"/>
              <w:jc w:val="both"/>
            </w:pPr>
            <w:r>
              <w:rPr>
                <w:rFonts w:ascii="Times New Roman" w:hAnsi="Times New Roman" w:eastAsia="Times New Roman"/>
              </w:rPr>
              <w:t>4. Ngưỡng rủi ro của quỹ là giới hạn tối đa của tổng mức tổn thất phát sinh từ hoạt động đầu tư được xác định trong chiến lược đầu tư hoặc kế hoạch đầu tư, trên cơ sở tổng thể danh mục đầu tư và trong một chu kỳ đầu tư.</w:t>
            </w:r>
          </w:p>
          <w:p>
            <w:pPr>
              <w:spacing w:before="40" w:after="40"/>
              <w:jc w:val="both"/>
            </w:pPr>
            <w:r>
              <w:rPr>
                <w:rFonts w:ascii="Times New Roman" w:hAnsi="Times New Roman" w:eastAsia="Times New Roman"/>
              </w:rPr>
              <w:t>5. Chu kỳ đầu tư của quỹ đầu tư mạo hiểm (chu kỳ đầu tư) là quá trình hoạt động tuần tự của quỹ, bao gồm các giai đoạn từ huy động vốn, tìm kiếm, đầu tư vốn vào doanh nghiệp khởi nghiệp sáng tạo, quản lý và phát triển danh mục đầu tư cho đến khi thoái vốn thành công để hiện thực hóa kỳ vọng lợi nhuận và phân phối lợi nhuận cho các nhà đầu tư.</w:t>
            </w:r>
          </w:p>
          <w:p>
            <w:pPr>
              <w:spacing w:before="40" w:after="40"/>
              <w:jc w:val="both"/>
            </w:pPr>
            <w:r>
              <w:rPr>
                <w:rFonts w:ascii="Times New Roman" w:hAnsi="Times New Roman" w:eastAsia="Times New Roman"/>
              </w:rPr>
              <w:t>6. Danh mục đầu tư của quỹ đầu tư mạo hiểm là tập hợp các khoản đầu tư mà quỹ đã đầu tư hoặc cam kết đầu tư vào các doanh nghiệp khởi nghiệp sáng tạo hoặc vào quỹ đầu tư khác được xác định phù hợp với chiến lược đầu tư, kế hoạch đầu tư hằng năm và Điều lệ quỹ nhằm mục tiêu tối ưu hóa lợi nhuận và phân tán rủi ro.</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Đầu tư mạo hiểm</w:t>
            </w:r>
            <w:r>
              <w:rPr>
                <w:rFonts w:ascii="Times New Roman" w:hAnsi="Times New Roman" w:eastAsia="Times New Roman"/>
              </w:rPr>
              <w:t xml:space="preserve">: đầu tư qua </w:t>
            </w:r>
            <w:r>
              <w:rPr>
                <w:rFonts w:ascii="Times New Roman" w:hAnsi="Times New Roman" w:eastAsia="Times New Roman"/>
                <w:b/>
                <w:color w:val="FF0000"/>
              </w:rPr>
              <w:t>góp vốn thành lập, mua cổ phần, phần vốn góp tại DN KNST</w:t>
            </w:r>
            <w:r>
              <w:rPr>
                <w:rFonts w:ascii="Times New Roman" w:hAnsi="Times New Roman" w:eastAsia="Times New Roman"/>
              </w:rPr>
              <w:t xml:space="preserve"> hoặc </w:t>
            </w:r>
            <w:r>
              <w:rPr>
                <w:rFonts w:ascii="Times New Roman" w:hAnsi="Times New Roman" w:eastAsia="Times New Roman"/>
                <w:b/>
                <w:color w:val="FF0000"/>
              </w:rPr>
              <w:t>thành lập, góp vốn vào quỹ</w:t>
            </w:r>
            <w:r>
              <w:rPr>
                <w:rFonts w:ascii="Times New Roman" w:hAnsi="Times New Roman" w:eastAsia="Times New Roman"/>
              </w:rPr>
              <w:t xml:space="preserve"> ĐTMH, quỹ đầu tư KNST.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Chiến lược đầu tư của quỹ</w:t>
            </w:r>
            <w:r>
              <w:rPr>
                <w:rFonts w:ascii="Times New Roman" w:hAnsi="Times New Roman" w:eastAsia="Times New Roman"/>
              </w:rPr>
              <w:t xml:space="preserve">: tập hợp định hướng, nguyên tắc, tiêu chí để lựa chọn, triển khai, quản lý khoản đầu tư; xác định ngành nghề, giai đoạn, địa bàn, tỷ lệ nắm giữ vốn, mức chấp nhận rủi ro, kỳ vọng lợi nhuận, phương thức đầu tư và </w:t>
            </w:r>
            <w:r>
              <w:rPr>
                <w:rFonts w:ascii="Times New Roman" w:hAnsi="Times New Roman" w:eastAsia="Times New Roman"/>
                <w:b/>
                <w:color w:val="FF0000"/>
              </w:rPr>
              <w:t>thoái vốn</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Điều lệ quỹ</w:t>
            </w:r>
            <w:r>
              <w:rPr>
                <w:rFonts w:ascii="Times New Roman" w:hAnsi="Times New Roman" w:eastAsia="Times New Roman"/>
              </w:rPr>
              <w:t xml:space="preserve">: điều lệ công ty theo Luật Doanh nghiệp, điều chỉnh </w:t>
            </w:r>
            <w:r>
              <w:rPr>
                <w:rFonts w:ascii="Times New Roman" w:hAnsi="Times New Roman" w:eastAsia="Times New Roman"/>
                <w:b/>
                <w:color w:val="FF0000"/>
              </w:rPr>
              <w:t>toàn bộ hoạt động của quỹ</w:t>
            </w:r>
            <w:r>
              <w:rPr>
                <w:rFonts w:ascii="Times New Roman" w:hAnsi="Times New Roman" w:eastAsia="Times New Roman"/>
              </w:rPr>
              <w:t>; xác lập quyền, nghĩa vụ của NĐT, bộ máy quản lý, vận hành.</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Ngưỡng rủi ro của quỹ</w:t>
            </w:r>
            <w:r>
              <w:rPr>
                <w:rFonts w:ascii="Times New Roman" w:hAnsi="Times New Roman" w:eastAsia="Times New Roman"/>
              </w:rPr>
              <w:t xml:space="preserve">: giới hạn </w:t>
            </w:r>
            <w:r>
              <w:rPr>
                <w:rFonts w:ascii="Times New Roman" w:hAnsi="Times New Roman" w:eastAsia="Times New Roman"/>
                <w:b/>
                <w:color w:val="FF0000"/>
              </w:rPr>
              <w:t>tối đa</w:t>
            </w:r>
            <w:r>
              <w:rPr>
                <w:rFonts w:ascii="Times New Roman" w:hAnsi="Times New Roman" w:eastAsia="Times New Roman"/>
              </w:rPr>
              <w:t xml:space="preserve"> của tổng mức tổn thất phát sinh từ hoạt động đầu tư, xác định trong chiến lược/kế hoạch đầu tư, trong </w:t>
            </w:r>
            <w:r>
              <w:rPr>
                <w:rFonts w:ascii="Times New Roman" w:hAnsi="Times New Roman" w:eastAsia="Times New Roman"/>
                <w:b/>
                <w:color w:val="FF0000"/>
              </w:rPr>
              <w:t>một chu kỳ đầu tư</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Chu kỳ đầu tư</w:t>
            </w:r>
            <w:r>
              <w:rPr>
                <w:rFonts w:ascii="Times New Roman" w:hAnsi="Times New Roman" w:eastAsia="Times New Roman"/>
              </w:rPr>
              <w:t xml:space="preserve">: quá trình tuần tự từ </w:t>
            </w:r>
            <w:r>
              <w:rPr>
                <w:rFonts w:ascii="Times New Roman" w:hAnsi="Times New Roman" w:eastAsia="Times New Roman"/>
                <w:b/>
                <w:color w:val="FF0000"/>
              </w:rPr>
              <w:t>huy động vốn → đầu tư vốn vào DN KNST → quản lý, phát triển danh mục → thoái vốn thành công</w:t>
            </w:r>
            <w:r>
              <w:rPr>
                <w:rFonts w:ascii="Times New Roman" w:hAnsi="Times New Roman" w:eastAsia="Times New Roman"/>
              </w:rPr>
              <w:t xml:space="preserve"> → phân phối lợi nhuận.</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Danh mục đầu tư của quỹ</w:t>
            </w:r>
            <w:r>
              <w:rPr>
                <w:rFonts w:ascii="Times New Roman" w:hAnsi="Times New Roman" w:eastAsia="Times New Roman"/>
              </w:rPr>
              <w:t xml:space="preserve">: tập hợp khoản đầu tư quỹ </w:t>
            </w:r>
            <w:r>
              <w:rPr>
                <w:rFonts w:ascii="Times New Roman" w:hAnsi="Times New Roman" w:eastAsia="Times New Roman"/>
                <w:b/>
                <w:color w:val="FF0000"/>
              </w:rPr>
              <w:t>đã đầu tư hoặc cam kết đầu tư</w:t>
            </w:r>
            <w:r>
              <w:rPr>
                <w:rFonts w:ascii="Times New Roman" w:hAnsi="Times New Roman" w:eastAsia="Times New Roman"/>
              </w:rPr>
              <w:t xml:space="preserve">, phù hợp chiến lược, kế hoạch đầu tư hằng năm và Điều lệ quỹ; mục tiêu </w:t>
            </w:r>
            <w:r>
              <w:rPr>
                <w:rFonts w:ascii="Times New Roman" w:hAnsi="Times New Roman" w:eastAsia="Times New Roman"/>
                <w:b/>
                <w:color w:val="FF0000"/>
              </w:rPr>
              <w:t>tối ưu hóa lợi nhuận, phân tán rủi ro</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4. Chính sách khuyến khích, thúc đẩy đầu tư mạo hiểm</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Tạo điều kiện cho các tổ chức tài chính, quỹ đầu tư mạo hiểm, quỹ đầu tư khởi nghiệp sáng tạo, quỹ phát triển khoa học và công nghệ của doanh nghiệp, nhà đầu tư cá nhân trong nước, quốc tế tham gia đầu tư, hỗ trợ phát triển hệ sinh thái khởi nghiệp sáng tạo quốc gia, địa phương, đầu tư mạo hiểm tại Việt Nam.</w:t>
            </w:r>
          </w:p>
          <w:p>
            <w:pPr>
              <w:spacing w:before="40" w:after="40"/>
              <w:jc w:val="both"/>
            </w:pPr>
            <w:r>
              <w:rPr>
                <w:rFonts w:ascii="Times New Roman" w:hAnsi="Times New Roman" w:eastAsia="Times New Roman"/>
              </w:rPr>
              <w:t>2. Khuyến khích, tạo điều kiện thuận lợi cho doanh nghiệp tham gia góp vốn vào các quỹ đầu tư mạo hiểm có sử dụng ngân sách nhà nước để đầu tư vào doanh nghiệp khởi nghiệp sáng tạo phù hợp với chiến lược phát triển, kế hoạch đầu tư, sản xuất, kinh doanh của doanh nghiệp.</w:t>
            </w:r>
          </w:p>
          <w:p>
            <w:pPr>
              <w:spacing w:before="40" w:after="40"/>
              <w:jc w:val="both"/>
            </w:pPr>
            <w:r>
              <w:rPr>
                <w:rFonts w:ascii="Times New Roman" w:hAnsi="Times New Roman" w:eastAsia="Times New Roman"/>
              </w:rPr>
              <w:t>3. Phát triển các nền tảng số kết nối doanh nghiệp khởi nghiệp sáng tạo, chuyên gia, nhà đầu tư cá nhân, quỹ đầu tư mạo hiểm, quỹ đầu tư khởi nghiệp sáng tạo, các tổ chức hỗ trợ khởi nghiệp sáng tạo, thúc đẩy đầu tư cho khởi nghiệp sáng tạo.</w:t>
            </w:r>
          </w:p>
          <w:p>
            <w:pPr>
              <w:spacing w:before="40" w:after="40"/>
              <w:jc w:val="both"/>
            </w:pPr>
            <w:r>
              <w:rPr>
                <w:rFonts w:ascii="Times New Roman" w:hAnsi="Times New Roman" w:eastAsia="Times New Roman"/>
              </w:rPr>
              <w:t>4. Khuyến khích doanh nghiệp, tập đoàn kinh tế thành lập doanh nghiệp khởi nghiệp sáng tạo, phát triển dự án khởi nghiệp sáng tạo để phát triển các sản phẩm, dịch vụ mới, mô hình kinh doanh sáng tạo thu hút các nguồn lực đầu tư từ các quỹ đầu tư mạo hiểm, quỹ đầu tư khởi nghiệp sáng tạo.</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Tạo điều kiện cho </w:t>
            </w:r>
            <w:r>
              <w:rPr>
                <w:rFonts w:ascii="Times New Roman" w:hAnsi="Times New Roman" w:eastAsia="Times New Roman"/>
                <w:b/>
                <w:color w:val="FF0000"/>
              </w:rPr>
              <w:t>tổ chức tài chính, quỹ ĐTMH, quỹ đầu tư KNST, quỹ phát triển KH&amp;CN của DN, NĐT cá nhân</w:t>
            </w:r>
            <w:r>
              <w:rPr>
                <w:rFonts w:ascii="Times New Roman" w:hAnsi="Times New Roman" w:eastAsia="Times New Roman"/>
              </w:rPr>
              <w:t xml:space="preserve"> trong nước, quốc tế tham gia đầu tư, hỗ trợ hệ sinh thái KNST.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Khuyến khích</w:t>
            </w:r>
            <w:r>
              <w:rPr>
                <w:rFonts w:ascii="Times New Roman" w:hAnsi="Times New Roman" w:eastAsia="Times New Roman"/>
              </w:rPr>
              <w:t xml:space="preserve"> DN góp vốn vào các quỹ ĐTMH </w:t>
            </w:r>
            <w:r>
              <w:rPr>
                <w:rFonts w:ascii="Times New Roman" w:hAnsi="Times New Roman" w:eastAsia="Times New Roman"/>
                <w:b/>
                <w:color w:val="FF0000"/>
              </w:rPr>
              <w:t>có sử dụng NSNN</w:t>
            </w:r>
            <w:r>
              <w:rPr>
                <w:rFonts w:ascii="Times New Roman" w:hAnsi="Times New Roman" w:eastAsia="Times New Roman"/>
              </w:rPr>
              <w:t xml:space="preserve"> để đầu tư vào DN KNST.</w:t>
            </w:r>
          </w:p>
          <w:p>
            <w:pPr>
              <w:spacing w:before="80" w:after="80"/>
              <w:jc w:val="both"/>
            </w:pPr>
            <w:r>
              <w:rPr>
                <w:rFonts w:ascii="Times New Roman" w:hAnsi="Times New Roman" w:eastAsia="Times New Roman"/>
              </w:rPr>
              <w:t xml:space="preserve">- Phát triển </w:t>
            </w:r>
            <w:r>
              <w:rPr>
                <w:rFonts w:ascii="Times New Roman" w:hAnsi="Times New Roman" w:eastAsia="Times New Roman"/>
                <w:b/>
                <w:color w:val="FF0000"/>
              </w:rPr>
              <w:t>nền tảng số</w:t>
            </w:r>
            <w:r>
              <w:rPr>
                <w:rFonts w:ascii="Times New Roman" w:hAnsi="Times New Roman" w:eastAsia="Times New Roman"/>
              </w:rPr>
              <w:t xml:space="preserve"> kết nối DN KNST, chuyên gia, NĐT cá nhân, quỹ ĐTMH, tổ chức hỗ trợ KNST.</w:t>
            </w:r>
          </w:p>
          <w:p>
            <w:pPr>
              <w:spacing w:before="80" w:after="80"/>
              <w:jc w:val="both"/>
            </w:pPr>
            <w:r>
              <w:rPr>
                <w:rFonts w:ascii="Times New Roman" w:hAnsi="Times New Roman" w:eastAsia="Times New Roman"/>
              </w:rPr>
              <w:t xml:space="preserve">- Khuyến khích </w:t>
            </w:r>
            <w:r>
              <w:rPr>
                <w:rFonts w:ascii="Times New Roman" w:hAnsi="Times New Roman" w:eastAsia="Times New Roman"/>
                <w:b/>
                <w:color w:val="FF0000"/>
              </w:rPr>
              <w:t>DN, tập đoàn kinh tế thành lập DN KNST</w:t>
            </w:r>
            <w:r>
              <w:rPr>
                <w:rFonts w:ascii="Times New Roman" w:hAnsi="Times New Roman" w:eastAsia="Times New Roman"/>
              </w:rPr>
              <w:t>, phát triển dự án KNST để thu hút nguồn lực từ các quỹ.</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5. Nguyên tắc hoạt động của quỹ</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Tuân thủ pháp luật Việt Nam và các điều ước quốc tế mà Việt Nam là thành viên; tuân thủ pháp luật của quốc gia, vùng lãnh thổ khi đầu tư ra nước ngoài.</w:t>
            </w:r>
          </w:p>
          <w:p>
            <w:pPr>
              <w:spacing w:before="40" w:after="40"/>
              <w:jc w:val="both"/>
            </w:pPr>
            <w:r>
              <w:rPr>
                <w:rFonts w:ascii="Times New Roman" w:hAnsi="Times New Roman" w:eastAsia="Times New Roman"/>
              </w:rPr>
              <w:t>2. Hoạt động theo nguyên tắc thị trường, chấp nhận rủi ro có kiểm soát, đảm bảo công khai, minh bạch, hiệu quả, bảo mật thông tin.</w:t>
            </w:r>
          </w:p>
          <w:p>
            <w:pPr>
              <w:spacing w:before="40" w:after="40"/>
              <w:jc w:val="both"/>
            </w:pPr>
            <w:r>
              <w:rPr>
                <w:rFonts w:ascii="Times New Roman" w:hAnsi="Times New Roman" w:eastAsia="Times New Roman"/>
              </w:rPr>
              <w:t>3. Hỗ trợ hệ sinh thái khởi nghiệp sáng tạo, ưu tiên đầu tư vào các doanh nghiệp, dự án khởi nghiệp sáng tạo có tiềm năng tăng trưởng cao trong các lĩnh vực công nghệ cao, công nghệ số, công nghệ chiến lược, công nghệ khuyến khích chuyển giao, kinh tế xanh, kinh tế tuần hoàn, phát triển bền vững, tạo tác động tích cực đến kinh tế, xã hội, môi trường địa phương, quốc gia.</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Tuân thủ</w:t>
            </w:r>
            <w:r>
              <w:rPr>
                <w:rFonts w:ascii="Times New Roman" w:hAnsi="Times New Roman" w:eastAsia="Times New Roman"/>
              </w:rPr>
              <w:t xml:space="preserve"> pháp luật Việt Nam, điều ước quốc tế mà Việt Nam là thành viên; khi đầu tư ra nước ngoài tuân thủ pháp luật nước sở tại.</w:t>
            </w:r>
          </w:p>
          <w:p>
            <w:pPr>
              <w:spacing w:before="80" w:after="80"/>
              <w:jc w:val="both"/>
            </w:pPr>
            <w:r>
              <w:rPr>
                <w:rFonts w:ascii="Times New Roman" w:hAnsi="Times New Roman" w:eastAsia="Times New Roman"/>
              </w:rPr>
              <w:t xml:space="preserve">- Hoạt động theo </w:t>
            </w:r>
            <w:r>
              <w:rPr>
                <w:rFonts w:ascii="Times New Roman" w:hAnsi="Times New Roman" w:eastAsia="Times New Roman"/>
                <w:b/>
                <w:color w:val="FF0000"/>
              </w:rPr>
              <w:t>nguyên tắc thị trường</w:t>
            </w:r>
            <w:r>
              <w:rPr>
                <w:rFonts w:ascii="Times New Roman" w:hAnsi="Times New Roman" w:eastAsia="Times New Roman"/>
              </w:rPr>
              <w:t xml:space="preserve">, </w:t>
            </w:r>
            <w:r>
              <w:rPr>
                <w:rFonts w:ascii="Times New Roman" w:hAnsi="Times New Roman" w:eastAsia="Times New Roman"/>
                <w:b/>
                <w:color w:val="FF0000"/>
              </w:rPr>
              <w:t>chấp nhận rủi ro có kiểm soát</w:t>
            </w:r>
            <w:r>
              <w:rPr>
                <w:rFonts w:ascii="Times New Roman" w:hAnsi="Times New Roman" w:eastAsia="Times New Roman"/>
              </w:rPr>
              <w:t>, công khai, minh bạch, hiệu quả, bảo mật thông tin.</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Hỗ trợ hệ sinh thái KNST</w:t>
            </w:r>
            <w:r>
              <w:rPr>
                <w:rFonts w:ascii="Times New Roman" w:hAnsi="Times New Roman" w:eastAsia="Times New Roman"/>
              </w:rPr>
              <w:t xml:space="preserve">; ưu tiên DN, dự án KNST có </w:t>
            </w:r>
            <w:r>
              <w:rPr>
                <w:rFonts w:ascii="Times New Roman" w:hAnsi="Times New Roman" w:eastAsia="Times New Roman"/>
                <w:b/>
                <w:color w:val="FF0000"/>
              </w:rPr>
              <w:t>tiềm năng tăng trưởng cao</w:t>
            </w:r>
            <w:r>
              <w:rPr>
                <w:rFonts w:ascii="Times New Roman" w:hAnsi="Times New Roman" w:eastAsia="Times New Roman"/>
              </w:rPr>
              <w:t xml:space="preserve"> (công nghệ cao, công nghệ số, công nghệ chiến lược, kinh tế xanh, tuần hoàn, phát triển bền vững).</w:t>
            </w:r>
          </w:p>
        </w:tc>
      </w:tr>
    </w:tbl>
    <w:p>
      <w:pPr>
        <w:spacing w:before="0" w:after="0"/>
        <w:jc w:val="left"/>
      </w:pPr>
    </w:p>
    <w:p>
      <w:r>
        <w:br w:type="page"/>
      </w:r>
    </w:p>
    <w:p>
      <w:pPr>
        <w:spacing w:before="0" w:after="0"/>
        <w:jc w:val="center"/>
      </w:pPr>
      <w:r>
        <w:rPr>
          <w:rFonts w:ascii="Times New Roman" w:hAnsi="Times New Roman" w:eastAsia="Times New Roman"/>
          <w:b/>
          <w:color w:val="FF0000"/>
          <w:sz w:val="28"/>
        </w:rPr>
        <w:t>CHƯƠNG II</w:t>
      </w:r>
    </w:p>
    <w:p>
      <w:pPr>
        <w:spacing w:before="0" w:after="160"/>
        <w:jc w:val="center"/>
      </w:pPr>
      <w:r>
        <w:rPr>
          <w:rFonts w:ascii="Times New Roman" w:hAnsi="Times New Roman" w:eastAsia="Times New Roman"/>
          <w:b/>
          <w:color w:val="FF0000"/>
          <w:sz w:val="28"/>
        </w:rPr>
        <w:t>QUỸ ĐẦU TƯ MẠO HIỂM QUỐC GIA, QUỸ ĐẦU TƯ MẠO HIỂM CỦA ĐỊA PHƯƠNG</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6. Địa vị pháp lý của quỹ</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Quỹ đầu tư mạo hiểm quốc gia được thành lập và hoạt động theo mô hình công ty trách nhiệm hữu hạn hai thành viên trở lên hoặc công ty cổ phần theo quy định của Luật Doanh nghiệp.</w:t>
            </w:r>
          </w:p>
          <w:p>
            <w:pPr>
              <w:spacing w:before="40" w:after="40"/>
              <w:jc w:val="both"/>
            </w:pPr>
            <w:r>
              <w:rPr>
                <w:rFonts w:ascii="Times New Roman" w:hAnsi="Times New Roman" w:eastAsia="Times New Roman"/>
              </w:rPr>
              <w:t>2. Quỹ đầu tư mạo hiểm của địa phương được thành lập và hoạt động dưới hình thức doanh nghiệp theo quy định của Luật Doanh nghiệp.</w:t>
            </w:r>
          </w:p>
          <w:p>
            <w:pPr>
              <w:spacing w:before="40" w:after="40"/>
              <w:jc w:val="both"/>
            </w:pPr>
            <w:r>
              <w:rPr>
                <w:rFonts w:ascii="Times New Roman" w:hAnsi="Times New Roman" w:eastAsia="Times New Roman"/>
              </w:rPr>
              <w:t>3. Quỹ đầu tư mạo hiểm quốc gia, quỹ đầu tư mạo hiểm của địa phương có tư cách pháp nhân, con dấu, được mở tài khoản tại Kho bạc Nhà nước, các ngân hàng trong nước và nước ngoài theo các quy định của pháp luật có liên quan.</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Quỹ QG</w:t>
            </w:r>
            <w:r>
              <w:rPr>
                <w:rFonts w:ascii="Times New Roman" w:hAnsi="Times New Roman" w:eastAsia="Times New Roman"/>
              </w:rPr>
              <w:t xml:space="preserve">: mô hình </w:t>
            </w:r>
            <w:r>
              <w:rPr>
                <w:rFonts w:ascii="Times New Roman" w:hAnsi="Times New Roman" w:eastAsia="Times New Roman"/>
                <w:b/>
                <w:color w:val="FF0000"/>
              </w:rPr>
              <w:t>công ty TNHH hai thành viên trở lên</w:t>
            </w:r>
            <w:r>
              <w:rPr>
                <w:rFonts w:ascii="Times New Roman" w:hAnsi="Times New Roman" w:eastAsia="Times New Roman"/>
              </w:rPr>
              <w:t xml:space="preserve"> hoặc </w:t>
            </w:r>
            <w:r>
              <w:rPr>
                <w:rFonts w:ascii="Times New Roman" w:hAnsi="Times New Roman" w:eastAsia="Times New Roman"/>
                <w:b/>
                <w:color w:val="FF0000"/>
              </w:rPr>
              <w:t>công ty cổ phần</w:t>
            </w:r>
            <w:r>
              <w:rPr>
                <w:rFonts w:ascii="Times New Roman" w:hAnsi="Times New Roman" w:eastAsia="Times New Roman"/>
              </w:rPr>
              <w:t xml:space="preserve"> theo Luật Doanh nghiệp.</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Quỹ ĐP</w:t>
            </w:r>
            <w:r>
              <w:rPr>
                <w:rFonts w:ascii="Times New Roman" w:hAnsi="Times New Roman" w:eastAsia="Times New Roman"/>
              </w:rPr>
              <w:t xml:space="preserve">: hình thức </w:t>
            </w:r>
            <w:r>
              <w:rPr>
                <w:rFonts w:ascii="Times New Roman" w:hAnsi="Times New Roman" w:eastAsia="Times New Roman"/>
                <w:b/>
                <w:color w:val="FF0000"/>
              </w:rPr>
              <w:t>doanh nghiệp</w:t>
            </w:r>
            <w:r>
              <w:rPr>
                <w:rFonts w:ascii="Times New Roman" w:hAnsi="Times New Roman" w:eastAsia="Times New Roman"/>
              </w:rPr>
              <w:t xml:space="preserve"> theo Luật Doanh nghiệp.</w:t>
            </w:r>
          </w:p>
          <w:p>
            <w:pPr>
              <w:spacing w:before="80" w:after="80"/>
              <w:jc w:val="both"/>
            </w:pPr>
            <w:r>
              <w:rPr>
                <w:rFonts w:ascii="Times New Roman" w:hAnsi="Times New Roman" w:eastAsia="Times New Roman"/>
              </w:rPr>
              <w:t xml:space="preserve">- Quỹ QG, Quỹ ĐP có </w:t>
            </w:r>
            <w:r>
              <w:rPr>
                <w:rFonts w:ascii="Times New Roman" w:hAnsi="Times New Roman" w:eastAsia="Times New Roman"/>
                <w:b/>
                <w:color w:val="FF0000"/>
              </w:rPr>
              <w:t>tư cách pháp nhân, con dấu</w:t>
            </w:r>
            <w:r>
              <w:rPr>
                <w:rFonts w:ascii="Times New Roman" w:hAnsi="Times New Roman" w:eastAsia="Times New Roman"/>
              </w:rPr>
              <w:t xml:space="preserve">, được mở tài khoản tại </w:t>
            </w:r>
            <w:r>
              <w:rPr>
                <w:rFonts w:ascii="Times New Roman" w:hAnsi="Times New Roman" w:eastAsia="Times New Roman"/>
                <w:b/>
                <w:color w:val="FF0000"/>
              </w:rPr>
              <w:t>Kho bạc Nhà nước, ngân hàng trong và ngoài nước</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7. Cơ cấu tổ chức, quyền hạn, nghĩa vụ của quỹ và của người đại diện phần vốn nhà nước tại quỹ</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Cơ cấu tổ chức, quyền hạn của quỹ:</w:t>
            </w:r>
          </w:p>
          <w:p>
            <w:pPr>
              <w:spacing w:before="40" w:after="40"/>
              <w:jc w:val="both"/>
            </w:pPr>
            <w:r>
              <w:rPr>
                <w:rFonts w:ascii="Times New Roman" w:hAnsi="Times New Roman" w:eastAsia="Times New Roman"/>
              </w:rPr>
              <w:t>a) Cơ cấu tổ chức, quyền hạn của quỹ được quy định trong Điều lệ quỹ (Điều lệ công ty) theo quy định của Luật Doanh nghiệp;</w:t>
            </w:r>
          </w:p>
          <w:p>
            <w:pPr>
              <w:spacing w:before="40" w:after="40"/>
              <w:jc w:val="both"/>
            </w:pPr>
            <w:r>
              <w:rPr>
                <w:rFonts w:ascii="Times New Roman" w:hAnsi="Times New Roman" w:eastAsia="Times New Roman"/>
              </w:rPr>
              <w:t>b) Quyền, trách nhiệm, tiền lương, thù lao, tiền thưởng và quyền lợi khác của người đại diện phần vốn nhà nước tại quỹ được thực hiện theo quy định của pháp luật về quản lý và đầu tư vốn nhà nước tại doanh nghiệp.</w:t>
            </w:r>
          </w:p>
          <w:p>
            <w:pPr>
              <w:spacing w:before="40" w:after="40"/>
              <w:jc w:val="both"/>
            </w:pPr>
            <w:r>
              <w:rPr>
                <w:rFonts w:ascii="Times New Roman" w:hAnsi="Times New Roman" w:eastAsia="Times New Roman"/>
              </w:rPr>
              <w:t>Bộ Khoa học và Công nghệ là cơ quan đại diện chủ sở hữu phần vốn nhà nước tại Quỹ đầu tư mạo hiểm quốc gia, có trách nhiệm cử người đại diện phần vốn nhà nước tại Quỹ.</w:t>
            </w:r>
          </w:p>
          <w:p>
            <w:pPr>
              <w:spacing w:before="40" w:after="40"/>
              <w:jc w:val="both"/>
            </w:pPr>
            <w:r>
              <w:rPr>
                <w:rFonts w:ascii="Times New Roman" w:hAnsi="Times New Roman" w:eastAsia="Times New Roman"/>
              </w:rPr>
              <w:t>Ủy ban nhân dân cấp tỉnh là cơ quan đại diện chủ sở hữu phần vốn nhà nước tại quỹ đầu tư mạo hiểm của địa phương, có trách nhiệm cử người đại diện phần vốn nhà nước tại quỹ;</w:t>
            </w:r>
          </w:p>
          <w:p>
            <w:pPr>
              <w:spacing w:before="40" w:after="40"/>
              <w:jc w:val="both"/>
            </w:pPr>
            <w:r>
              <w:rPr>
                <w:rFonts w:ascii="Times New Roman" w:hAnsi="Times New Roman" w:eastAsia="Times New Roman"/>
              </w:rPr>
              <w:t>c) Quỹ được hợp tác, thuê tổ chức, cá nhân chuyên nghiệp trong và ngoài nước quản lý, điều hành hoạt động của quỹ theo quy định tại Điều lệ quỹ;</w:t>
            </w:r>
          </w:p>
          <w:p>
            <w:pPr>
              <w:spacing w:before="40" w:after="40"/>
              <w:jc w:val="both"/>
            </w:pPr>
            <w:r>
              <w:rPr>
                <w:rFonts w:ascii="Times New Roman" w:hAnsi="Times New Roman" w:eastAsia="Times New Roman"/>
              </w:rPr>
              <w:t>d) Quỹ được thành lập các hội đồng tư vấn, hội đồng thẩm định đầu tư để hỗ trợ hoạt động đầu tư của quỹ.</w:t>
            </w:r>
          </w:p>
          <w:p>
            <w:pPr>
              <w:spacing w:before="40" w:after="40"/>
              <w:jc w:val="both"/>
            </w:pPr>
            <w:r>
              <w:rPr>
                <w:rFonts w:ascii="Times New Roman" w:hAnsi="Times New Roman" w:eastAsia="Times New Roman"/>
              </w:rPr>
              <w:t>2. Quỹ có trách nhiệm thực hiện chế độ hạch toán, kế toán, kiểm toán và nghĩa vụ thuế và các nghĩa vụ khác theo quy định của pháp luật áp dụng với doanh nghiệp.</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Cơ cấu tổ chức, quyền hạn</w:t>
            </w:r>
            <w:r>
              <w:rPr>
                <w:rFonts w:ascii="Times New Roman" w:hAnsi="Times New Roman" w:eastAsia="Times New Roman"/>
              </w:rPr>
              <w:t xml:space="preserve"> quy định trong </w:t>
            </w:r>
            <w:r>
              <w:rPr>
                <w:rFonts w:ascii="Times New Roman" w:hAnsi="Times New Roman" w:eastAsia="Times New Roman"/>
                <w:b/>
                <w:color w:val="FF0000"/>
              </w:rPr>
              <w:t>Điều lệ quỹ</w:t>
            </w:r>
            <w:r>
              <w:rPr>
                <w:rFonts w:ascii="Times New Roman" w:hAnsi="Times New Roman" w:eastAsia="Times New Roman"/>
              </w:rPr>
              <w:t>; quyền, trách nhiệm, lương, thưởng của người đại diện phần vốn nhà nước theo pháp luật về quản lý và đầu tư vốn nhà nước tại DN.</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Bộ KH&amp;CN</w:t>
            </w:r>
            <w:r>
              <w:rPr>
                <w:rFonts w:ascii="Times New Roman" w:hAnsi="Times New Roman" w:eastAsia="Times New Roman"/>
              </w:rPr>
              <w:t xml:space="preserve">: cơ quan đại diện chủ sở hữu phần vốn nhà nước tại </w:t>
            </w:r>
            <w:r>
              <w:rPr>
                <w:rFonts w:ascii="Times New Roman" w:hAnsi="Times New Roman" w:eastAsia="Times New Roman"/>
                <w:b/>
                <w:color w:val="FF0000"/>
              </w:rPr>
              <w:t>Quỹ QG</w:t>
            </w:r>
            <w:r>
              <w:rPr>
                <w:rFonts w:ascii="Times New Roman" w:hAnsi="Times New Roman" w:eastAsia="Times New Roman"/>
              </w:rPr>
              <w:t xml:space="preserve">, cử người đại diện. </w:t>
            </w:r>
            <w:r>
              <w:rPr>
                <w:rFonts w:ascii="Times New Roman" w:hAnsi="Times New Roman" w:eastAsia="Times New Roman"/>
                <w:b/>
                <w:color w:val="FF0000"/>
              </w:rPr>
              <w:t>UBND cấp tỉnh</w:t>
            </w:r>
            <w:r>
              <w:rPr>
                <w:rFonts w:ascii="Times New Roman" w:hAnsi="Times New Roman" w:eastAsia="Times New Roman"/>
              </w:rPr>
              <w:t xml:space="preserve">: đại diện chủ sở hữu tại </w:t>
            </w:r>
            <w:r>
              <w:rPr>
                <w:rFonts w:ascii="Times New Roman" w:hAnsi="Times New Roman" w:eastAsia="Times New Roman"/>
                <w:b/>
                <w:color w:val="FF0000"/>
              </w:rPr>
              <w:t>Quỹ ĐP</w:t>
            </w:r>
            <w:r>
              <w:rPr>
                <w:rFonts w:ascii="Times New Roman" w:hAnsi="Times New Roman" w:eastAsia="Times New Roman"/>
              </w:rPr>
              <w:t>, cử người đại diện.</w:t>
            </w:r>
          </w:p>
          <w:p>
            <w:pPr>
              <w:spacing w:before="80" w:after="80"/>
              <w:jc w:val="both"/>
            </w:pPr>
            <w:r>
              <w:rPr>
                <w:rFonts w:ascii="Times New Roman" w:hAnsi="Times New Roman" w:eastAsia="Times New Roman"/>
              </w:rPr>
              <w:t xml:space="preserve">- Quỹ được </w:t>
            </w:r>
            <w:r>
              <w:rPr>
                <w:rFonts w:ascii="Times New Roman" w:hAnsi="Times New Roman" w:eastAsia="Times New Roman"/>
                <w:b/>
                <w:color w:val="FF0000"/>
              </w:rPr>
              <w:t>hợp tác, thuê tổ chức, cá nhân chuyên nghiệp</w:t>
            </w:r>
            <w:r>
              <w:rPr>
                <w:rFonts w:ascii="Times New Roman" w:hAnsi="Times New Roman" w:eastAsia="Times New Roman"/>
              </w:rPr>
              <w:t xml:space="preserve"> trong và ngoài nước quản lý, điều hành; được thành lập </w:t>
            </w:r>
            <w:r>
              <w:rPr>
                <w:rFonts w:ascii="Times New Roman" w:hAnsi="Times New Roman" w:eastAsia="Times New Roman"/>
                <w:b/>
                <w:color w:val="FF0000"/>
              </w:rPr>
              <w:t>hội đồng tư vấn, hội đồng thẩm định đầu tư</w:t>
            </w:r>
            <w:r>
              <w:rPr>
                <w:rFonts w:ascii="Times New Roman" w:hAnsi="Times New Roman" w:eastAsia="Times New Roman"/>
              </w:rPr>
              <w:t>.</w:t>
            </w:r>
          </w:p>
          <w:p>
            <w:pPr>
              <w:spacing w:before="80" w:after="80"/>
              <w:jc w:val="both"/>
            </w:pPr>
            <w:r>
              <w:rPr>
                <w:rFonts w:ascii="Times New Roman" w:hAnsi="Times New Roman" w:eastAsia="Times New Roman"/>
              </w:rPr>
              <w:t xml:space="preserve">- Quỹ thực hiện </w:t>
            </w:r>
            <w:r>
              <w:rPr>
                <w:rFonts w:ascii="Times New Roman" w:hAnsi="Times New Roman" w:eastAsia="Times New Roman"/>
                <w:b/>
                <w:color w:val="FF0000"/>
              </w:rPr>
              <w:t>hạch toán, kế toán, kiểm toán, nghĩa vụ thuế</w:t>
            </w:r>
            <w:r>
              <w:rPr>
                <w:rFonts w:ascii="Times New Roman" w:hAnsi="Times New Roman" w:eastAsia="Times New Roman"/>
              </w:rPr>
              <w:t xml:space="preserve"> như DN.</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8. Mục tiêu, chức năng, nhiệm vụ của quỹ</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Mục tiêu của quỹ</w:t>
            </w:r>
          </w:p>
          <w:p>
            <w:pPr>
              <w:spacing w:before="40" w:after="40"/>
              <w:jc w:val="both"/>
            </w:pPr>
            <w:r>
              <w:rPr>
                <w:rFonts w:ascii="Times New Roman" w:hAnsi="Times New Roman" w:eastAsia="Times New Roman"/>
              </w:rPr>
              <w:t>a) Đầu tư, thu hút các nguồn lực đầu tư vào doanh nghiệp khởi nghiệp sáng tạo, dự án khởi nghiệp sáng tạo có tiềm năng tăng trưởng đột phá, có khả năng giải quyết thách thức về kinh tế, xã hội, môi trường của địa phương, quốc gia, quốc tế;</w:t>
            </w:r>
          </w:p>
          <w:p>
            <w:pPr>
              <w:spacing w:before="40" w:after="40"/>
              <w:jc w:val="both"/>
            </w:pPr>
            <w:r>
              <w:rPr>
                <w:rFonts w:ascii="Times New Roman" w:hAnsi="Times New Roman" w:eastAsia="Times New Roman"/>
              </w:rPr>
              <w:t>b) Hỗ trợ thúc đẩy phát triển hệ sinh thái khởi nghiệp sáng tạo quốc gia, địa phương, thị trường đầu tư mạo hiểm tại Việt Nam phục vụ phát triển kinh tế - xã hội của đất nước và hội nhập quốc tế.</w:t>
            </w:r>
          </w:p>
          <w:p>
            <w:pPr>
              <w:spacing w:before="40" w:after="40"/>
              <w:jc w:val="both"/>
            </w:pPr>
            <w:r>
              <w:rPr>
                <w:rFonts w:ascii="Times New Roman" w:hAnsi="Times New Roman" w:eastAsia="Times New Roman"/>
              </w:rPr>
              <w:t>2. Chức năng, nhiệm vụ của Quỹ đầu tư mạo hiểm quốc gia</w:t>
            </w:r>
          </w:p>
          <w:p>
            <w:pPr>
              <w:spacing w:before="40" w:after="40"/>
              <w:jc w:val="both"/>
            </w:pPr>
            <w:r>
              <w:rPr>
                <w:rFonts w:ascii="Times New Roman" w:hAnsi="Times New Roman" w:eastAsia="Times New Roman"/>
              </w:rPr>
              <w:t>a) Góp vốn thành lập, mua cổ phần, mua phần vốn góp tại doanh nghiệp khởi nghiệp sáng tạo ở trong nước, nước ngoài;</w:t>
            </w:r>
          </w:p>
          <w:p>
            <w:pPr>
              <w:spacing w:before="40" w:after="40"/>
              <w:jc w:val="both"/>
            </w:pPr>
            <w:r>
              <w:rPr>
                <w:rFonts w:ascii="Times New Roman" w:hAnsi="Times New Roman" w:eastAsia="Times New Roman"/>
              </w:rPr>
              <w:t>b) Góp vốn cùng đầu tư với quỹ đầu tư mạo hiểm, quỹ đầu tư khởi nghiệp sáng tạo khác ở trong nước, nước ngoài để thành lập, mua cổ phần, mua phần vốn góp tại doanh nghiệp khởi nghiệp sáng tạo;</w:t>
            </w:r>
          </w:p>
          <w:p>
            <w:pPr>
              <w:spacing w:before="40" w:after="40"/>
              <w:jc w:val="both"/>
            </w:pPr>
            <w:r>
              <w:rPr>
                <w:rFonts w:ascii="Times New Roman" w:hAnsi="Times New Roman" w:eastAsia="Times New Roman"/>
              </w:rPr>
              <w:t>c) Thành lập, góp vốn vào quỹ đầu tư mạo hiểm, quỹ đầu tư khởi nghiệp sáng tạo khác ở trong nước, nước ngoài để thực hiện đầu tư mạo hiểm;</w:t>
            </w:r>
          </w:p>
          <w:p>
            <w:pPr>
              <w:spacing w:before="40" w:after="40"/>
              <w:jc w:val="both"/>
            </w:pPr>
            <w:r>
              <w:rPr>
                <w:rFonts w:ascii="Times New Roman" w:hAnsi="Times New Roman" w:eastAsia="Times New Roman"/>
              </w:rPr>
              <w:t>d) Hỗ trợ hệ sinh thái khởi nghiệp sáng tạo quốc gia.</w:t>
            </w:r>
          </w:p>
          <w:p>
            <w:pPr>
              <w:spacing w:before="40" w:after="40"/>
              <w:jc w:val="both"/>
            </w:pPr>
            <w:r>
              <w:rPr>
                <w:rFonts w:ascii="Times New Roman" w:hAnsi="Times New Roman" w:eastAsia="Times New Roman"/>
              </w:rPr>
              <w:t>3. Chức năng, nhiệm vụ của quỹ đầu tư mạo hiểm của địa phương</w:t>
            </w:r>
          </w:p>
          <w:p>
            <w:pPr>
              <w:spacing w:before="40" w:after="40"/>
              <w:jc w:val="both"/>
            </w:pPr>
            <w:r>
              <w:rPr>
                <w:rFonts w:ascii="Times New Roman" w:hAnsi="Times New Roman" w:eastAsia="Times New Roman"/>
              </w:rPr>
              <w:t>a) Góp vốn thành lập, mua cổ phần, mua phần vốn góp tại doanh nghiệp khởi nghiệp sáng tạo ở trong nước;</w:t>
            </w:r>
          </w:p>
          <w:p>
            <w:pPr>
              <w:spacing w:before="40" w:after="40"/>
              <w:jc w:val="both"/>
            </w:pPr>
            <w:r>
              <w:rPr>
                <w:rFonts w:ascii="Times New Roman" w:hAnsi="Times New Roman" w:eastAsia="Times New Roman"/>
              </w:rPr>
              <w:t>b) Góp vốn cùng đầu tư với quỹ đầu tư mạo hiểm, quỹ đầu tư khởi nghiệp sáng tạo khác trong nước để thành lập, mua cổ phần, mua phần vốn góp tại doanh nghiệp khởi nghiệp sáng tạo;</w:t>
            </w:r>
          </w:p>
          <w:p>
            <w:pPr>
              <w:spacing w:before="40" w:after="40"/>
              <w:jc w:val="both"/>
            </w:pPr>
            <w:r>
              <w:rPr>
                <w:rFonts w:ascii="Times New Roman" w:hAnsi="Times New Roman" w:eastAsia="Times New Roman"/>
              </w:rPr>
              <w:t>c) Hỗ trợ hệ sinh thái khởi nghiệp sáng tạo địa phương.</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Mục tiêu</w:t>
            </w:r>
            <w:r>
              <w:rPr>
                <w:rFonts w:ascii="Times New Roman" w:hAnsi="Times New Roman" w:eastAsia="Times New Roman"/>
              </w:rPr>
              <w:t xml:space="preserve">: đầu tư, thu hút nguồn lực vào DN, dự án KNST có </w:t>
            </w:r>
            <w:r>
              <w:rPr>
                <w:rFonts w:ascii="Times New Roman" w:hAnsi="Times New Roman" w:eastAsia="Times New Roman"/>
                <w:b/>
                <w:color w:val="FF0000"/>
              </w:rPr>
              <w:t>tiềm năng tăng trưởng đột phá</w:t>
            </w:r>
            <w:r>
              <w:rPr>
                <w:rFonts w:ascii="Times New Roman" w:hAnsi="Times New Roman" w:eastAsia="Times New Roman"/>
              </w:rPr>
              <w:t>; hỗ trợ phát triển hệ sinh thái KNST và thị trường ĐTMH.</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Quỹ QG</w:t>
            </w:r>
            <w:r>
              <w:rPr>
                <w:rFonts w:ascii="Times New Roman" w:hAnsi="Times New Roman" w:eastAsia="Times New Roman"/>
              </w:rPr>
              <w:t xml:space="preserve">: góp vốn thành lập, mua cổ phần, phần vốn góp tại DN KNST </w:t>
            </w:r>
            <w:r>
              <w:rPr>
                <w:rFonts w:ascii="Times New Roman" w:hAnsi="Times New Roman" w:eastAsia="Times New Roman"/>
                <w:b/>
                <w:color w:val="FF0000"/>
              </w:rPr>
              <w:t>trong nước, nước ngoài</w:t>
            </w:r>
            <w:r>
              <w:rPr>
                <w:rFonts w:ascii="Times New Roman" w:hAnsi="Times New Roman" w:eastAsia="Times New Roman"/>
              </w:rPr>
              <w:t xml:space="preserve">; cùng đầu tư; </w:t>
            </w:r>
            <w:r>
              <w:rPr>
                <w:rFonts w:ascii="Times New Roman" w:hAnsi="Times New Roman" w:eastAsia="Times New Roman"/>
                <w:b/>
                <w:color w:val="FF0000"/>
              </w:rPr>
              <w:t>thành lập, góp vốn vào quỹ khác</w:t>
            </w:r>
            <w:r>
              <w:rPr>
                <w:rFonts w:ascii="Times New Roman" w:hAnsi="Times New Roman" w:eastAsia="Times New Roman"/>
              </w:rPr>
              <w:t xml:space="preserve"> trong nước, nước ngoài; hỗ trợ hệ sinh thái KNST </w:t>
            </w:r>
            <w:r>
              <w:rPr>
                <w:rFonts w:ascii="Times New Roman" w:hAnsi="Times New Roman" w:eastAsia="Times New Roman"/>
                <w:b/>
                <w:color w:val="FF0000"/>
              </w:rPr>
              <w:t>quốc gia</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Quỹ ĐP</w:t>
            </w:r>
            <w:r>
              <w:rPr>
                <w:rFonts w:ascii="Times New Roman" w:hAnsi="Times New Roman" w:eastAsia="Times New Roman"/>
              </w:rPr>
              <w:t xml:space="preserve">: góp vốn, mua cổ phần, phần vốn góp tại DN KNST </w:t>
            </w:r>
            <w:r>
              <w:rPr>
                <w:rFonts w:ascii="Times New Roman" w:hAnsi="Times New Roman" w:eastAsia="Times New Roman"/>
                <w:b/>
                <w:color w:val="FF0000"/>
              </w:rPr>
              <w:t>ở trong nước</w:t>
            </w:r>
            <w:r>
              <w:rPr>
                <w:rFonts w:ascii="Times New Roman" w:hAnsi="Times New Roman" w:eastAsia="Times New Roman"/>
              </w:rPr>
              <w:t xml:space="preserve">; cùng đầu tư với quỹ khác </w:t>
            </w:r>
            <w:r>
              <w:rPr>
                <w:rFonts w:ascii="Times New Roman" w:hAnsi="Times New Roman" w:eastAsia="Times New Roman"/>
                <w:b/>
                <w:color w:val="FF0000"/>
              </w:rPr>
              <w:t>trong nước</w:t>
            </w:r>
            <w:r>
              <w:rPr>
                <w:rFonts w:ascii="Times New Roman" w:hAnsi="Times New Roman" w:eastAsia="Times New Roman"/>
              </w:rPr>
              <w:t xml:space="preserve">; hỗ trợ hệ sinh thái KNST </w:t>
            </w:r>
            <w:r>
              <w:rPr>
                <w:rFonts w:ascii="Times New Roman" w:hAnsi="Times New Roman" w:eastAsia="Times New Roman"/>
                <w:b/>
                <w:color w:val="FF0000"/>
              </w:rPr>
              <w:t>địa phương</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9. Nguồn vốn của quỹ</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Đối với Quỹ đầu tư mạo hiểm quốc gia, vốn điều lệ Quỹ bao gồm:</w:t>
            </w:r>
          </w:p>
          <w:p>
            <w:pPr>
              <w:spacing w:before="40" w:after="40"/>
              <w:jc w:val="both"/>
            </w:pPr>
            <w:r>
              <w:rPr>
                <w:rFonts w:ascii="Times New Roman" w:hAnsi="Times New Roman" w:eastAsia="Times New Roman"/>
              </w:rPr>
              <w:t>a) Phần vốn nhà nước được cấp từ nguồn dự toán chi đầu tư phát triển của Bộ Khoa học và Công nghệ, thực hiện cấp một lần ngay từ khi thành lập Quỹ, với mức vốn ban đầu được cấp từ ngân sách nhà nước tối thiểu là 500 tỷ đồng;</w:t>
            </w:r>
          </w:p>
          <w:p>
            <w:pPr>
              <w:spacing w:before="40" w:after="40"/>
              <w:jc w:val="both"/>
            </w:pPr>
            <w:r>
              <w:rPr>
                <w:rFonts w:ascii="Times New Roman" w:hAnsi="Times New Roman" w:eastAsia="Times New Roman"/>
              </w:rPr>
              <w:t>b) Phần vốn góp của các tổ chức, cá nhân trong nước, nước ngoài (nếu có) thực hiện theo quy định của pháp luật và Điều lệ quỹ.</w:t>
            </w:r>
          </w:p>
          <w:p>
            <w:pPr>
              <w:spacing w:before="40" w:after="40"/>
              <w:jc w:val="both"/>
            </w:pPr>
            <w:r>
              <w:rPr>
                <w:rFonts w:ascii="Times New Roman" w:hAnsi="Times New Roman" w:eastAsia="Times New Roman"/>
              </w:rPr>
              <w:t>2. Quy mô vốn điều lệ của Quỹ đầu tư mạo hiểm quốc gia được hình thành trong 5 năm đầu đạt tối thiểu 2.000 tỷ đồng, trên cơ sở vốn nhà nước được cấp từ ngân sách nhà nước và phần vốn huy động từ các tổ chức, cá nhân.</w:t>
            </w:r>
          </w:p>
          <w:p>
            <w:pPr>
              <w:spacing w:before="40" w:after="40"/>
              <w:jc w:val="both"/>
            </w:pPr>
            <w:r>
              <w:rPr>
                <w:rFonts w:ascii="Times New Roman" w:hAnsi="Times New Roman" w:eastAsia="Times New Roman"/>
              </w:rPr>
              <w:t>3. Đối với quỹ đầu tư mạo hiểm của địa phương, vốn điều lệ quỹ bao gồm:</w:t>
            </w:r>
          </w:p>
          <w:p>
            <w:pPr>
              <w:spacing w:before="40" w:after="40"/>
              <w:jc w:val="both"/>
            </w:pPr>
            <w:r>
              <w:rPr>
                <w:rFonts w:ascii="Times New Roman" w:hAnsi="Times New Roman" w:eastAsia="Times New Roman"/>
              </w:rPr>
              <w:t>a) Phần vốn nhà nước được cấp từ nguồn dự toán chi đầu tư phát triển của địa phương, thực hiện cấp một lần ngay từ khi thành lập quỹ, với tỷ lệ phần vốn ban đầu được cấp từ ngân sách nhà nước do Ủy ban nhân dân cấp tỉnh quyết định;</w:t>
            </w:r>
          </w:p>
          <w:p>
            <w:pPr>
              <w:spacing w:before="40" w:after="40"/>
              <w:jc w:val="both"/>
            </w:pPr>
            <w:r>
              <w:rPr>
                <w:rFonts w:ascii="Times New Roman" w:hAnsi="Times New Roman" w:eastAsia="Times New Roman"/>
              </w:rPr>
              <w:t>b) Phần vốn góp từ các tổ chức, cá nhân trong nước, nước ngoài (nếu có) thực hiện theo quy định của pháp luật và Điều lệ quỹ.</w:t>
            </w:r>
          </w:p>
          <w:p>
            <w:pPr>
              <w:spacing w:before="40" w:after="40"/>
              <w:jc w:val="both"/>
            </w:pPr>
            <w:r>
              <w:rPr>
                <w:rFonts w:ascii="Times New Roman" w:hAnsi="Times New Roman" w:eastAsia="Times New Roman"/>
              </w:rPr>
              <w:t>4. Việc góp vốn, bổ sung vào vốn điều lệ của quỹ, chuyển nhượng phần vốn góp, quản lý và sử dụng phần vốn nhà nước tại quỹ được thực hiện theo quy định của pháp luật về doanh nghiệp và pháp luật về quản lý và đầu tư vốn nhà nước tại doanh nghiệp.</w:t>
            </w:r>
          </w:p>
          <w:p>
            <w:pPr>
              <w:spacing w:before="40" w:after="40"/>
              <w:jc w:val="both"/>
            </w:pPr>
            <w:r>
              <w:rPr>
                <w:rFonts w:ascii="Times New Roman" w:hAnsi="Times New Roman" w:eastAsia="Times New Roman"/>
              </w:rPr>
              <w:t>5. Các khoản tài trợ, viện trợ trong nước và quốc tế, cùng các nguồn vốn hợp pháp khác huy động được, không tính vào vốn điều lệ của quỹ, phải được hạch toán và quản lý riêng, sử dụng đúng mục đích theo quy định pháp luật và Điều lệ quỹ.</w:t>
            </w:r>
          </w:p>
          <w:p>
            <w:pPr>
              <w:spacing w:before="40" w:after="40"/>
              <w:jc w:val="both"/>
            </w:pPr>
            <w:r>
              <w:rPr>
                <w:rFonts w:ascii="Times New Roman" w:hAnsi="Times New Roman" w:eastAsia="Times New Roman"/>
              </w:rPr>
              <w:t>6. Phần vốn góp còn lại từ các nhà đầu tư là tổ chức hoặc cá nhân trong nước, nước ngoài đáp ứng các điều kiện theo Điều lệ quỹ và được thực hiện thông qua Hợp đồng góp vốn.</w:t>
            </w:r>
          </w:p>
          <w:p>
            <w:pPr>
              <w:spacing w:before="40" w:after="40"/>
              <w:jc w:val="both"/>
            </w:pPr>
            <w:r>
              <w:rPr>
                <w:rFonts w:ascii="Times New Roman" w:hAnsi="Times New Roman" w:eastAsia="Times New Roman"/>
              </w:rPr>
              <w:t>7. Việc sử dụng tài sản để góp vốn được thực hiện theo quy định của pháp luật về doanh nghiệp.</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VĐL Quỹ QG</w:t>
            </w:r>
            <w:r>
              <w:rPr>
                <w:rFonts w:ascii="Times New Roman" w:hAnsi="Times New Roman" w:eastAsia="Times New Roman"/>
              </w:rPr>
              <w:t xml:space="preserve">: (a) vốn nhà nước từ </w:t>
            </w:r>
            <w:r>
              <w:rPr>
                <w:rFonts w:ascii="Times New Roman" w:hAnsi="Times New Roman" w:eastAsia="Times New Roman"/>
                <w:b/>
                <w:color w:val="FF0000"/>
              </w:rPr>
              <w:t>dự toán chi đầu tư phát triển của Bộ KH&amp;CN</w:t>
            </w:r>
            <w:r>
              <w:rPr>
                <w:rFonts w:ascii="Times New Roman" w:hAnsi="Times New Roman" w:eastAsia="Times New Roman"/>
              </w:rPr>
              <w:t xml:space="preserve">, cấp </w:t>
            </w:r>
            <w:r>
              <w:rPr>
                <w:rFonts w:ascii="Times New Roman" w:hAnsi="Times New Roman" w:eastAsia="Times New Roman"/>
                <w:b/>
                <w:color w:val="FF0000"/>
              </w:rPr>
              <w:t>một lần</w:t>
            </w:r>
            <w:r>
              <w:rPr>
                <w:rFonts w:ascii="Times New Roman" w:hAnsi="Times New Roman" w:eastAsia="Times New Roman"/>
              </w:rPr>
              <w:t xml:space="preserve"> ngay khi thành lập, mức ban đầu từ NSNN </w:t>
            </w:r>
            <w:r>
              <w:rPr>
                <w:rFonts w:ascii="Times New Roman" w:hAnsi="Times New Roman" w:eastAsia="Times New Roman"/>
                <w:b/>
                <w:color w:val="FF0000"/>
              </w:rPr>
              <w:t>tối thiểu 500 tỷ đồng</w:t>
            </w:r>
            <w:r>
              <w:rPr>
                <w:rFonts w:ascii="Times New Roman" w:hAnsi="Times New Roman" w:eastAsia="Times New Roman"/>
              </w:rPr>
              <w:t>; (b) vốn góp của tổ chức, cá nhân trong nước, nước ngoài (nếu có).</w:t>
            </w:r>
          </w:p>
          <w:p>
            <w:pPr>
              <w:spacing w:before="80" w:after="80"/>
              <w:jc w:val="both"/>
            </w:pPr>
            <w:r>
              <w:rPr>
                <w:rFonts w:ascii="Times New Roman" w:hAnsi="Times New Roman" w:eastAsia="Times New Roman"/>
              </w:rPr>
              <w:t xml:space="preserve">- Quy mô VĐL Quỹ QG trong </w:t>
            </w:r>
            <w:r>
              <w:rPr>
                <w:rFonts w:ascii="Times New Roman" w:hAnsi="Times New Roman" w:eastAsia="Times New Roman"/>
                <w:b/>
                <w:color w:val="FF0000"/>
              </w:rPr>
              <w:t>5 năm đầu</w:t>
            </w:r>
            <w:r>
              <w:rPr>
                <w:rFonts w:ascii="Times New Roman" w:hAnsi="Times New Roman" w:eastAsia="Times New Roman"/>
              </w:rPr>
              <w:t xml:space="preserve"> đạt </w:t>
            </w:r>
            <w:r>
              <w:rPr>
                <w:rFonts w:ascii="Times New Roman" w:hAnsi="Times New Roman" w:eastAsia="Times New Roman"/>
                <w:b/>
                <w:color w:val="FF0000"/>
              </w:rPr>
              <w:t>tối thiểu 2.000 tỷ đồng</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VĐL Quỹ ĐP</w:t>
            </w:r>
            <w:r>
              <w:rPr>
                <w:rFonts w:ascii="Times New Roman" w:hAnsi="Times New Roman" w:eastAsia="Times New Roman"/>
              </w:rPr>
              <w:t xml:space="preserve">: (a) vốn nhà nước từ dự toán chi đầu tư phát triển </w:t>
            </w:r>
            <w:r>
              <w:rPr>
                <w:rFonts w:ascii="Times New Roman" w:hAnsi="Times New Roman" w:eastAsia="Times New Roman"/>
                <w:b/>
                <w:color w:val="FF0000"/>
              </w:rPr>
              <w:t>của địa phương</w:t>
            </w:r>
            <w:r>
              <w:rPr>
                <w:rFonts w:ascii="Times New Roman" w:hAnsi="Times New Roman" w:eastAsia="Times New Roman"/>
              </w:rPr>
              <w:t xml:space="preserve">, cấp </w:t>
            </w:r>
            <w:r>
              <w:rPr>
                <w:rFonts w:ascii="Times New Roman" w:hAnsi="Times New Roman" w:eastAsia="Times New Roman"/>
                <w:b/>
                <w:color w:val="FF0000"/>
              </w:rPr>
              <w:t>một lần</w:t>
            </w:r>
            <w:r>
              <w:rPr>
                <w:rFonts w:ascii="Times New Roman" w:hAnsi="Times New Roman" w:eastAsia="Times New Roman"/>
              </w:rPr>
              <w:t xml:space="preserve">, tỷ lệ ban đầu từ NSNN do </w:t>
            </w:r>
            <w:r>
              <w:rPr>
                <w:rFonts w:ascii="Times New Roman" w:hAnsi="Times New Roman" w:eastAsia="Times New Roman"/>
                <w:b/>
                <w:color w:val="FF0000"/>
              </w:rPr>
              <w:t>UBND cấp tỉnh quyết định</w:t>
            </w:r>
            <w:r>
              <w:rPr>
                <w:rFonts w:ascii="Times New Roman" w:hAnsi="Times New Roman" w:eastAsia="Times New Roman"/>
              </w:rPr>
              <w:t>; (b) vốn góp của tổ chức, cá nhân (nếu có).</w:t>
            </w:r>
          </w:p>
          <w:p>
            <w:pPr>
              <w:spacing w:before="80" w:after="80"/>
              <w:jc w:val="both"/>
            </w:pPr>
            <w:r>
              <w:rPr>
                <w:rFonts w:ascii="Times New Roman" w:hAnsi="Times New Roman" w:eastAsia="Times New Roman"/>
              </w:rPr>
              <w:t xml:space="preserve">- Tài trợ, viện trợ, nguồn vốn hợp pháp khác </w:t>
            </w:r>
            <w:r>
              <w:rPr>
                <w:rFonts w:ascii="Times New Roman" w:hAnsi="Times New Roman" w:eastAsia="Times New Roman"/>
                <w:b/>
                <w:color w:val="FF0000"/>
              </w:rPr>
              <w:t>không tính vào VĐL</w:t>
            </w:r>
            <w:r>
              <w:rPr>
                <w:rFonts w:ascii="Times New Roman" w:hAnsi="Times New Roman" w:eastAsia="Times New Roman"/>
              </w:rPr>
              <w:t xml:space="preserve">, phải hạch toán, quản lý </w:t>
            </w:r>
            <w:r>
              <w:rPr>
                <w:rFonts w:ascii="Times New Roman" w:hAnsi="Times New Roman" w:eastAsia="Times New Roman"/>
                <w:b/>
                <w:color w:val="FF0000"/>
              </w:rPr>
              <w:t>riêng</w:t>
            </w:r>
            <w:r>
              <w:rPr>
                <w:rFonts w:ascii="Times New Roman" w:hAnsi="Times New Roman" w:eastAsia="Times New Roman"/>
              </w:rPr>
              <w:t>, dùng đúng mục đích.</w:t>
            </w:r>
          </w:p>
          <w:p>
            <w:pPr>
              <w:spacing w:before="80" w:after="80"/>
              <w:jc w:val="both"/>
            </w:pPr>
            <w:r>
              <w:rPr>
                <w:rFonts w:ascii="Times New Roman" w:hAnsi="Times New Roman" w:eastAsia="Times New Roman"/>
              </w:rPr>
              <w:t xml:space="preserve">- Phần vốn còn lại từ NĐT đáp ứng điều kiện theo Điều lệ quỹ, thực hiện qua </w:t>
            </w:r>
            <w:r>
              <w:rPr>
                <w:rFonts w:ascii="Times New Roman" w:hAnsi="Times New Roman" w:eastAsia="Times New Roman"/>
                <w:b/>
                <w:color w:val="FF0000"/>
              </w:rPr>
              <w:t>Hợp đồng góp vốn</w:t>
            </w:r>
            <w:r>
              <w:rPr>
                <w:rFonts w:ascii="Times New Roman" w:hAnsi="Times New Roman" w:eastAsia="Times New Roman"/>
              </w:rPr>
              <w:t>; góp vốn bằng tài sản theo pháp luật về doanh nghiệp.</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10. Cơ chế hoạt động của quỹ</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Quỹ xây dựng chiến lược đầu tư cho từng chu kỳ đầu tư bao gồm nội dung chính sau:</w:t>
            </w:r>
          </w:p>
          <w:p>
            <w:pPr>
              <w:spacing w:before="40" w:after="40"/>
              <w:jc w:val="both"/>
            </w:pPr>
            <w:r>
              <w:rPr>
                <w:rFonts w:ascii="Times New Roman" w:hAnsi="Times New Roman" w:eastAsia="Times New Roman"/>
              </w:rPr>
              <w:t>a) Mục tiêu, lĩnh vực đầu tư trên cơ sở nhu cầu thực tiễn và định hướng phát triển kinh tế - xã hội của quốc gia, địa phương;</w:t>
            </w:r>
          </w:p>
          <w:p>
            <w:pPr>
              <w:spacing w:before="40" w:after="40"/>
              <w:jc w:val="both"/>
            </w:pPr>
            <w:r>
              <w:rPr>
                <w:rFonts w:ascii="Times New Roman" w:hAnsi="Times New Roman" w:eastAsia="Times New Roman"/>
              </w:rPr>
              <w:t>b) Phương thức, đối tượng đầu tư, ngưỡng rủi ro và nguyên tắc quản lý rủi ro;</w:t>
            </w:r>
          </w:p>
          <w:p>
            <w:pPr>
              <w:spacing w:before="40" w:after="40"/>
              <w:jc w:val="both"/>
            </w:pPr>
            <w:r>
              <w:rPr>
                <w:rFonts w:ascii="Times New Roman" w:hAnsi="Times New Roman" w:eastAsia="Times New Roman"/>
              </w:rPr>
              <w:t>c) Chu kỳ đầu tư sử dụng vốn điều lệ với thời gian không quá 10 năm kể từ thời điểm có cam kết đầu tư, trường hợp khoản đầu tư có yếu tố lưỡng dụng (dân sự đồng thời với an ninh hoặc quốc phòng) hoặc liên quan tới công nghệ chiến lược thì thời gian của chu kỳ đầu tư không quá 15 năm.</w:t>
            </w:r>
          </w:p>
          <w:p>
            <w:pPr>
              <w:spacing w:before="40" w:after="40"/>
              <w:jc w:val="both"/>
            </w:pPr>
            <w:r>
              <w:rPr>
                <w:rFonts w:ascii="Times New Roman" w:hAnsi="Times New Roman" w:eastAsia="Times New Roman"/>
              </w:rPr>
              <w:t>2. Trên cơ sở chiến lược đầu tư quy định tại khoản 1 Điều này, quỹ xây dựng, công bố kế hoạch đầu tư hằng năm, trong đó xác định dự toán và tiến độ thực hiện các cam kết đầu tư, phương án thoái vốn và quản lý rủi ro.</w:t>
            </w:r>
          </w:p>
          <w:p>
            <w:pPr>
              <w:spacing w:before="40" w:after="40"/>
              <w:jc w:val="both"/>
            </w:pPr>
            <w:r>
              <w:rPr>
                <w:rFonts w:ascii="Times New Roman" w:hAnsi="Times New Roman" w:eastAsia="Times New Roman"/>
              </w:rPr>
              <w:t>3. Thẩm quyền, trách nhiệm, trình tự xây dựng, phê duyệt và điều chỉnh chiến lược đầu tư, kế hoạch đầu tư được thực hiện theo quy định của Điều lệ quỹ.</w:t>
            </w:r>
          </w:p>
          <w:p>
            <w:pPr>
              <w:spacing w:before="40" w:after="40"/>
              <w:jc w:val="both"/>
            </w:pPr>
            <w:r>
              <w:rPr>
                <w:rFonts w:ascii="Times New Roman" w:hAnsi="Times New Roman" w:eastAsia="Times New Roman"/>
              </w:rPr>
              <w:t>4. Nguyên tắc quản lý rủi ro:</w:t>
            </w:r>
          </w:p>
          <w:p>
            <w:pPr>
              <w:spacing w:before="40" w:after="40"/>
              <w:jc w:val="both"/>
            </w:pPr>
            <w:r>
              <w:rPr>
                <w:rFonts w:ascii="Times New Roman" w:hAnsi="Times New Roman" w:eastAsia="Times New Roman"/>
              </w:rPr>
              <w:t>a) Tổng mức tổn thất phát sinh từ hoạt động đầu tư có sử dụng vốn điều lệ trong tổng thể danh mục đầu tư và trong một chu kỳ đầu tư được xác định cụ thể trong chiến lược đầu tư hoặc kế hoạch đầu tư và không vượt quá ngưỡng rủi ro 50% vốn điều lệ của quỹ. Phương pháp tính toán mức tổn thất và biện pháp quản lý rủi ro do quỹ quyết định trên cơ sở các chuẩn mực kế toán được phép áp dụng tại Việt Nam;</w:t>
            </w:r>
          </w:p>
          <w:p>
            <w:pPr>
              <w:spacing w:before="40" w:after="40"/>
              <w:jc w:val="both"/>
            </w:pPr>
            <w:r>
              <w:rPr>
                <w:rFonts w:ascii="Times New Roman" w:hAnsi="Times New Roman" w:eastAsia="Times New Roman"/>
              </w:rPr>
              <w:t>b) Quỹ định kỳ thực hiện hoặc thuê tổ chức chuyên môn thực hiện đánh giá rủi ro trong hoạt động đầu tư, các loại rủi ro khác có liên quan đến hoạt động đầu tư và kịp thời áp dụng các biện pháp quản lý rủi ro phù hợp;</w:t>
            </w:r>
          </w:p>
          <w:p>
            <w:pPr>
              <w:spacing w:before="40" w:after="40"/>
              <w:jc w:val="both"/>
            </w:pPr>
            <w:r>
              <w:rPr>
                <w:rFonts w:ascii="Times New Roman" w:hAnsi="Times New Roman" w:eastAsia="Times New Roman"/>
              </w:rPr>
              <w:t>c) Định kỳ hằng năm báo cáo về tình hình rủi ro và quản lý rủi ro cho Bộ Khoa học và Công nghệ, Bộ Tài chính đối với Quỹ đầu tư mạo hiểm quốc gia và Ủy ban nhân dân cấp tỉnh đối với quỹ đầu tư mạo hiểm của địa phương.</w:t>
            </w:r>
          </w:p>
          <w:p>
            <w:pPr>
              <w:spacing w:before="40" w:after="40"/>
              <w:jc w:val="both"/>
            </w:pPr>
            <w:r>
              <w:rPr>
                <w:rFonts w:ascii="Times New Roman" w:hAnsi="Times New Roman" w:eastAsia="Times New Roman"/>
              </w:rPr>
              <w:t>5. Quỹ không áp dụng yêu cầu bảo toàn vốn đối với từng dự án, nhiệm vụ, hoạt động đầu tư cụ thể. Hiệu quả đầu tư của quỹ được đánh giá trên cơ sở tổng thể danh mục đầu tư trong chu kỳ đầu tư.</w:t>
            </w:r>
          </w:p>
          <w:p>
            <w:pPr>
              <w:spacing w:before="40" w:after="40"/>
              <w:jc w:val="both"/>
            </w:pPr>
            <w:r>
              <w:rPr>
                <w:rFonts w:ascii="Times New Roman" w:hAnsi="Times New Roman" w:eastAsia="Times New Roman"/>
              </w:rPr>
              <w:t>6. Chi phí cho hoạt động quản lý, điều hành và các hoạt động khác của quỹ được bảo đảm từ khoản trích từ tổng vốn cam kết đầu tư và nguồn doanh thu của quỹ với tỷ lệ hợp lý được xác định theo quy định của Điều lệ quỹ.</w:t>
            </w:r>
          </w:p>
          <w:p>
            <w:pPr>
              <w:spacing w:before="40" w:after="40"/>
              <w:jc w:val="both"/>
            </w:pPr>
            <w:r>
              <w:rPr>
                <w:rFonts w:ascii="Times New Roman" w:hAnsi="Times New Roman" w:eastAsia="Times New Roman"/>
              </w:rPr>
              <w:t>7. Nguồn doanh thu của quỹ bao gồm:</w:t>
            </w:r>
          </w:p>
          <w:p>
            <w:pPr>
              <w:spacing w:before="40" w:after="40"/>
              <w:jc w:val="both"/>
            </w:pPr>
            <w:r>
              <w:rPr>
                <w:rFonts w:ascii="Times New Roman" w:hAnsi="Times New Roman" w:eastAsia="Times New Roman"/>
              </w:rPr>
              <w:t>a) Lợi nhuận từ hoạt động đầu tư theo Điều lệ quỹ;</w:t>
            </w:r>
          </w:p>
          <w:p>
            <w:pPr>
              <w:spacing w:before="40" w:after="40"/>
              <w:jc w:val="both"/>
            </w:pPr>
            <w:r>
              <w:rPr>
                <w:rFonts w:ascii="Times New Roman" w:hAnsi="Times New Roman" w:eastAsia="Times New Roman"/>
              </w:rPr>
              <w:t>b) Lãi tiền gửi tại ngân hàng đối với nguồn vốn tạm thời nhàn rỗi giữa các chu kỳ đầu tư, bao gồm cả vốn điều lệ và vốn huy động của quỹ;</w:t>
            </w:r>
          </w:p>
          <w:p>
            <w:pPr>
              <w:spacing w:before="40" w:after="40"/>
              <w:jc w:val="both"/>
            </w:pPr>
            <w:r>
              <w:rPr>
                <w:rFonts w:ascii="Times New Roman" w:hAnsi="Times New Roman" w:eastAsia="Times New Roman"/>
              </w:rPr>
              <w:t>c) Khoản tài trợ, viện trợ, đóng góp tự nguyện hợp pháp của tổ chức, cá nhân trong nước và nước ngoài;</w:t>
            </w:r>
          </w:p>
          <w:p>
            <w:pPr>
              <w:spacing w:before="40" w:after="40"/>
              <w:jc w:val="both"/>
            </w:pPr>
            <w:r>
              <w:rPr>
                <w:rFonts w:ascii="Times New Roman" w:hAnsi="Times New Roman" w:eastAsia="Times New Roman"/>
              </w:rPr>
              <w:t>d) Thu từ hoạt động thoái vốn, thanh lý tài sản của quỹ;</w:t>
            </w:r>
          </w:p>
          <w:p>
            <w:pPr>
              <w:spacing w:before="40" w:after="40"/>
              <w:jc w:val="both"/>
            </w:pPr>
            <w:r>
              <w:rPr>
                <w:rFonts w:ascii="Times New Roman" w:hAnsi="Times New Roman" w:eastAsia="Times New Roman"/>
              </w:rPr>
              <w:t>đ) Các khoản thu hợp pháp khác theo quy định của pháp luật, Điều lệ quỹ.</w:t>
            </w:r>
          </w:p>
          <w:p>
            <w:pPr>
              <w:spacing w:before="40" w:after="40"/>
              <w:jc w:val="both"/>
            </w:pPr>
            <w:r>
              <w:rPr>
                <w:rFonts w:ascii="Times New Roman" w:hAnsi="Times New Roman" w:eastAsia="Times New Roman"/>
              </w:rPr>
              <w:t>8. Khoản chi hoạt động của quỹ bao gồm:</w:t>
            </w:r>
          </w:p>
          <w:p>
            <w:pPr>
              <w:spacing w:before="40" w:after="40"/>
              <w:jc w:val="both"/>
            </w:pPr>
            <w:r>
              <w:rPr>
                <w:rFonts w:ascii="Times New Roman" w:hAnsi="Times New Roman" w:eastAsia="Times New Roman"/>
              </w:rPr>
              <w:t>a) Chi quản lý, điều hành và các hoạt động khác phục vụ trực tiếp cho hoạt động của quỹ;</w:t>
            </w:r>
          </w:p>
          <w:p>
            <w:pPr>
              <w:spacing w:before="40" w:after="40"/>
              <w:jc w:val="both"/>
            </w:pPr>
            <w:r>
              <w:rPr>
                <w:rFonts w:ascii="Times New Roman" w:hAnsi="Times New Roman" w:eastAsia="Times New Roman"/>
              </w:rPr>
              <w:t>b) Chi hỗ trợ phát triển hệ sinh thái khởi nghiệp sáng tạo cấp quốc gia và địa phương với mức tối đa 5% lợi nhuận sau thuế hằng năm của quỹ;</w:t>
            </w:r>
          </w:p>
          <w:p>
            <w:pPr>
              <w:spacing w:before="40" w:after="40"/>
              <w:jc w:val="both"/>
            </w:pPr>
            <w:r>
              <w:rPr>
                <w:rFonts w:ascii="Times New Roman" w:hAnsi="Times New Roman" w:eastAsia="Times New Roman"/>
              </w:rPr>
              <w:t>c) Chi trích lập quỹ dự phòng rủi ro đầu tư mạo hiểm từ nguồn vốn hoạt động hằng năm của quỹ, bao gồm vốn điều lệ và vốn huy động, theo quy định của Điều lệ quỹ;</w:t>
            </w:r>
          </w:p>
          <w:p>
            <w:pPr>
              <w:spacing w:before="40" w:after="40"/>
              <w:jc w:val="both"/>
            </w:pPr>
            <w:r>
              <w:rPr>
                <w:rFonts w:ascii="Times New Roman" w:hAnsi="Times New Roman" w:eastAsia="Times New Roman"/>
              </w:rPr>
              <w:t>d) Các khoản chi hợp pháp khác theo quy định của pháp luật, Điều lệ quỹ.</w:t>
            </w:r>
          </w:p>
          <w:p>
            <w:pPr>
              <w:spacing w:before="40" w:after="40"/>
              <w:jc w:val="both"/>
            </w:pPr>
            <w:r>
              <w:rPr>
                <w:rFonts w:ascii="Times New Roman" w:hAnsi="Times New Roman" w:eastAsia="Times New Roman"/>
              </w:rPr>
              <w:t>9. Khoản chi đầu tư của quỹ bao gồm:</w:t>
            </w:r>
          </w:p>
          <w:p>
            <w:pPr>
              <w:spacing w:before="40" w:after="40"/>
              <w:jc w:val="both"/>
            </w:pPr>
            <w:r>
              <w:rPr>
                <w:rFonts w:ascii="Times New Roman" w:hAnsi="Times New Roman" w:eastAsia="Times New Roman"/>
              </w:rPr>
              <w:t>a) Chi góp vốn thành lập doanh nghiệp khởi nghiệp sáng tạo;</w:t>
            </w:r>
          </w:p>
          <w:p>
            <w:pPr>
              <w:spacing w:before="40" w:after="40"/>
              <w:jc w:val="both"/>
            </w:pPr>
            <w:r>
              <w:rPr>
                <w:rFonts w:ascii="Times New Roman" w:hAnsi="Times New Roman" w:eastAsia="Times New Roman"/>
              </w:rPr>
              <w:t>b) Chi mua cổ phần, phần vốn góp tại doanh nghiệp khởi nghiệp sáng tạo;</w:t>
            </w:r>
          </w:p>
          <w:p>
            <w:pPr>
              <w:spacing w:before="40" w:after="40"/>
              <w:jc w:val="both"/>
            </w:pPr>
            <w:r>
              <w:rPr>
                <w:rFonts w:ascii="Times New Roman" w:hAnsi="Times New Roman" w:eastAsia="Times New Roman"/>
              </w:rPr>
              <w:t>c) Chi góp vốn vào quỹ đầu tư mạo hiểm hoặc quỹ đầu tư khởi nghiệp sáng tạo khác theo quy định của pháp luật.</w:t>
            </w:r>
          </w:p>
          <w:p>
            <w:pPr>
              <w:spacing w:before="40" w:after="40"/>
              <w:jc w:val="both"/>
            </w:pPr>
            <w:r>
              <w:rPr>
                <w:rFonts w:ascii="Times New Roman" w:hAnsi="Times New Roman" w:eastAsia="Times New Roman"/>
              </w:rPr>
              <w:t>10. Việc thoái vốn, phân chia lợi nhuận, xử lý lỗ và trích lập các quỹ dự phòng rủi ro được quy định trong Điều lệ quỹ.</w:t>
            </w:r>
          </w:p>
          <w:p>
            <w:pPr>
              <w:spacing w:before="40" w:after="40"/>
              <w:jc w:val="both"/>
            </w:pPr>
            <w:r>
              <w:rPr>
                <w:rFonts w:ascii="Times New Roman" w:hAnsi="Times New Roman" w:eastAsia="Times New Roman"/>
              </w:rPr>
              <w:t>11. Trường hợp tổng mức tổn thất phát sinh từ hoạt động đầu tư sử dụng vốn điều lệ trong tổng thể danh mục đầu tư và trong một chu kỳ đầu tư vượt quá ngưỡng rủi ro 50% vốn điều lệ của quỹ, quỹ có trách nhiệm thực hiện cơ cấu lại phần vốn nhà nước tại quỹ theo quy định của pháp luật về quản lý và đầu tư vốn nhà nước tại doanh nghiệp.</w:t>
            </w:r>
          </w:p>
          <w:p>
            <w:pPr>
              <w:spacing w:before="40" w:after="40"/>
              <w:jc w:val="both"/>
            </w:pPr>
            <w:r>
              <w:rPr>
                <w:rFonts w:ascii="Times New Roman" w:hAnsi="Times New Roman" w:eastAsia="Times New Roman"/>
              </w:rPr>
              <w:t>12. Quỹ đầu tư mạo hiểm quốc gia đầu tư ra nước ngoài thông qua hình thức quy định tại các điểm a, b và c khoản 2 Điều 8 và nhận vốn góp, chuyển nhượng phần vốn góp từ tổ chức, cá nhân nước ngoài quy định tại điểm b khoản 1 Điều 9 Nghị định này được thực hiện theo quy định của pháp luật về đầu tư.</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Chiến lược đầu tư</w:t>
            </w:r>
            <w:r>
              <w:rPr>
                <w:rFonts w:ascii="Times New Roman" w:hAnsi="Times New Roman" w:eastAsia="Times New Roman"/>
              </w:rPr>
              <w:t xml:space="preserve"> cho từng chu kỳ: mục tiêu, lĩnh vực; phương thức, đối tượng, ngưỡng rủi ro; </w:t>
            </w:r>
            <w:r>
              <w:rPr>
                <w:rFonts w:ascii="Times New Roman" w:hAnsi="Times New Roman" w:eastAsia="Times New Roman"/>
                <w:b/>
                <w:color w:val="FF0000"/>
              </w:rPr>
              <w:t>chu kỳ đầu tư không quá 10 năm</w:t>
            </w:r>
            <w:r>
              <w:rPr>
                <w:rFonts w:ascii="Times New Roman" w:hAnsi="Times New Roman" w:eastAsia="Times New Roman"/>
              </w:rPr>
              <w:t xml:space="preserve"> kể từ cam kết đầu tư (</w:t>
            </w:r>
            <w:r>
              <w:rPr>
                <w:rFonts w:ascii="Times New Roman" w:hAnsi="Times New Roman" w:eastAsia="Times New Roman"/>
                <w:b/>
                <w:color w:val="FF0000"/>
              </w:rPr>
              <w:t>lưỡng dụng/công nghệ chiến lược: không quá 15 năm</w:t>
            </w:r>
            <w:r>
              <w:rPr>
                <w:rFonts w:ascii="Times New Roman" w:hAnsi="Times New Roman" w:eastAsia="Times New Roman"/>
              </w:rPr>
              <w:t>).</w:t>
            </w:r>
          </w:p>
          <w:p>
            <w:pPr>
              <w:spacing w:before="80" w:after="80"/>
              <w:jc w:val="both"/>
            </w:pPr>
            <w:r>
              <w:rPr>
                <w:rFonts w:ascii="Times New Roman" w:hAnsi="Times New Roman" w:eastAsia="Times New Roman"/>
              </w:rPr>
              <w:t xml:space="preserve">- Quỹ xây dựng, công bố </w:t>
            </w:r>
            <w:r>
              <w:rPr>
                <w:rFonts w:ascii="Times New Roman" w:hAnsi="Times New Roman" w:eastAsia="Times New Roman"/>
                <w:b/>
                <w:color w:val="FF0000"/>
              </w:rPr>
              <w:t>kế hoạch đầu tư hằng năm</w:t>
            </w:r>
            <w:r>
              <w:rPr>
                <w:rFonts w:ascii="Times New Roman" w:hAnsi="Times New Roman" w:eastAsia="Times New Roman"/>
              </w:rPr>
              <w:t xml:space="preserve"> (dự toán, tiến độ, phương án thoái vốn, quản lý rủi ro); thẩm quyền, trình tự phê duyệt theo </w:t>
            </w:r>
            <w:r>
              <w:rPr>
                <w:rFonts w:ascii="Times New Roman" w:hAnsi="Times New Roman" w:eastAsia="Times New Roman"/>
                <w:b/>
                <w:color w:val="FF0000"/>
              </w:rPr>
              <w:t>Điều lệ quỹ</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Quản lý rủi ro</w:t>
            </w:r>
            <w:r>
              <w:rPr>
                <w:rFonts w:ascii="Times New Roman" w:hAnsi="Times New Roman" w:eastAsia="Times New Roman"/>
              </w:rPr>
              <w:t xml:space="preserve">: tổng mức tổn thất </w:t>
            </w:r>
            <w:r>
              <w:rPr>
                <w:rFonts w:ascii="Times New Roman" w:hAnsi="Times New Roman" w:eastAsia="Times New Roman"/>
                <w:b/>
                <w:color w:val="FF0000"/>
              </w:rPr>
              <w:t>không vượt ngưỡng rủi ro 50% VĐL</w:t>
            </w:r>
            <w:r>
              <w:rPr>
                <w:rFonts w:ascii="Times New Roman" w:hAnsi="Times New Roman" w:eastAsia="Times New Roman"/>
              </w:rPr>
              <w:t xml:space="preserve">; định kỳ đánh giá rủi ro; báo cáo </w:t>
            </w:r>
            <w:r>
              <w:rPr>
                <w:rFonts w:ascii="Times New Roman" w:hAnsi="Times New Roman" w:eastAsia="Times New Roman"/>
                <w:b/>
                <w:color w:val="FF0000"/>
              </w:rPr>
              <w:t>hằng năm</w:t>
            </w:r>
            <w:r>
              <w:rPr>
                <w:rFonts w:ascii="Times New Roman" w:hAnsi="Times New Roman" w:eastAsia="Times New Roman"/>
              </w:rPr>
              <w:t xml:space="preserve"> cho Bộ KH&amp;CN, BTC (Quỹ QG) và UBND cấp tỉnh (Quỹ ĐP).</w:t>
            </w:r>
          </w:p>
          <w:p>
            <w:pPr>
              <w:spacing w:before="80" w:after="80"/>
              <w:jc w:val="both"/>
            </w:pPr>
            <w:r>
              <w:rPr>
                <w:rFonts w:ascii="Times New Roman" w:hAnsi="Times New Roman" w:eastAsia="Times New Roman"/>
              </w:rPr>
              <w:t xml:space="preserve">- Quỹ </w:t>
            </w:r>
            <w:r>
              <w:rPr>
                <w:rFonts w:ascii="Times New Roman" w:hAnsi="Times New Roman" w:eastAsia="Times New Roman"/>
                <w:b/>
                <w:color w:val="FF0000"/>
              </w:rPr>
              <w:t>không áp dụng yêu cầu bảo toàn vốn</w:t>
            </w:r>
            <w:r>
              <w:rPr>
                <w:rFonts w:ascii="Times New Roman" w:hAnsi="Times New Roman" w:eastAsia="Times New Roman"/>
              </w:rPr>
              <w:t xml:space="preserve"> từng dự án; hiệu quả đánh giá trên </w:t>
            </w:r>
            <w:r>
              <w:rPr>
                <w:rFonts w:ascii="Times New Roman" w:hAnsi="Times New Roman" w:eastAsia="Times New Roman"/>
                <w:b/>
                <w:color w:val="FF0000"/>
              </w:rPr>
              <w:t>tổng thể danh mục</w:t>
            </w:r>
            <w:r>
              <w:rPr>
                <w:rFonts w:ascii="Times New Roman" w:hAnsi="Times New Roman" w:eastAsia="Times New Roman"/>
              </w:rPr>
              <w:t xml:space="preserve"> trong chu kỳ đầu tư.</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Doanh thu</w:t>
            </w:r>
            <w:r>
              <w:rPr>
                <w:rFonts w:ascii="Times New Roman" w:hAnsi="Times New Roman" w:eastAsia="Times New Roman"/>
              </w:rPr>
              <w:t>: lợi nhuận đầu tư; lãi tiền gửi; tài trợ, viện trợ; thu thoái vốn, thanh lý tài sản; thu hợp pháp khác.</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Chi hoạt động</w:t>
            </w:r>
            <w:r>
              <w:rPr>
                <w:rFonts w:ascii="Times New Roman" w:hAnsi="Times New Roman" w:eastAsia="Times New Roman"/>
              </w:rPr>
              <w:t xml:space="preserve">: quản lý, điều hành; chi hỗ trợ hệ sinh thái KNST </w:t>
            </w:r>
            <w:r>
              <w:rPr>
                <w:rFonts w:ascii="Times New Roman" w:hAnsi="Times New Roman" w:eastAsia="Times New Roman"/>
                <w:b/>
                <w:color w:val="FF0000"/>
              </w:rPr>
              <w:t>tối đa 5% lợi nhuận sau thuế</w:t>
            </w:r>
            <w:r>
              <w:rPr>
                <w:rFonts w:ascii="Times New Roman" w:hAnsi="Times New Roman" w:eastAsia="Times New Roman"/>
              </w:rPr>
              <w:t xml:space="preserve"> hằng năm; trích lập quỹ dự phòng rủi ro. </w:t>
            </w:r>
            <w:r>
              <w:rPr>
                <w:rFonts w:ascii="Times New Roman" w:hAnsi="Times New Roman" w:eastAsia="Times New Roman"/>
                <w:b/>
                <w:color w:val="FF0000"/>
              </w:rPr>
              <w:t>Chi đầu tư</w:t>
            </w:r>
            <w:r>
              <w:rPr>
                <w:rFonts w:ascii="Times New Roman" w:hAnsi="Times New Roman" w:eastAsia="Times New Roman"/>
              </w:rPr>
              <w:t>: góp vốn thành lập DN KNST; mua cổ phần, phần vốn góp; góp vốn vào quỹ khác.</w:t>
            </w:r>
          </w:p>
          <w:p>
            <w:pPr>
              <w:spacing w:before="80" w:after="80"/>
              <w:jc w:val="both"/>
            </w:pPr>
            <w:r>
              <w:rPr>
                <w:rFonts w:ascii="Times New Roman" w:hAnsi="Times New Roman" w:eastAsia="Times New Roman"/>
              </w:rPr>
              <w:t xml:space="preserve">- Tổn thất </w:t>
            </w:r>
            <w:r>
              <w:rPr>
                <w:rFonts w:ascii="Times New Roman" w:hAnsi="Times New Roman" w:eastAsia="Times New Roman"/>
                <w:b/>
                <w:color w:val="FF0000"/>
              </w:rPr>
              <w:t>vượt 50% VĐL</w:t>
            </w:r>
            <w:r>
              <w:rPr>
                <w:rFonts w:ascii="Times New Roman" w:hAnsi="Times New Roman" w:eastAsia="Times New Roman"/>
              </w:rPr>
              <w:t xml:space="preserve"> → quỹ </w:t>
            </w:r>
            <w:r>
              <w:rPr>
                <w:rFonts w:ascii="Times New Roman" w:hAnsi="Times New Roman" w:eastAsia="Times New Roman"/>
                <w:b/>
                <w:color w:val="FF0000"/>
              </w:rPr>
              <w:t>cơ cấu lại phần vốn nhà nước</w:t>
            </w:r>
            <w:r>
              <w:rPr>
                <w:rFonts w:ascii="Times New Roman" w:hAnsi="Times New Roman" w:eastAsia="Times New Roman"/>
              </w:rPr>
              <w:t xml:space="preserve"> tại quỹ; Quỹ QG đầu tư ra nước ngoài theo pháp luật về đầu tư.</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11. Cơ chế quản lý, điều hành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Quỹ xây dựng cơ chế quản lý, điều hành, cơ chế hợp tác, phối hợp sử dụng hiệu quả nguồn lực, chuyên gia của quỹ ở trong nước, nước ngoài phục vụ hoạt động đầu tư cho khởi nghiệp sáng tạo, hỗ trợ hệ sinh thái khởi nghiệp sáng tạo phạm vi địa phương, quốc gia, kết nối quốc tế.</w:t>
            </w:r>
          </w:p>
          <w:p>
            <w:pPr>
              <w:spacing w:before="40" w:after="40"/>
              <w:jc w:val="both"/>
            </w:pPr>
            <w:r>
              <w:rPr>
                <w:rFonts w:ascii="Times New Roman" w:hAnsi="Times New Roman" w:eastAsia="Times New Roman"/>
              </w:rPr>
              <w:t>2. Quỹ xây dựng tiêu chí, điều kiện, quy trình lựa chọn, quyền và nghĩa vụ của tổ chức, cá nhân quản lý, điều hành quỹ; ký kết thỏa thuận hợp tác, thuê tổ chức, cá nhân chuyên nghiệp ở trong nước, nước ngoài để quản lý, điều hành quỹ.</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Quỹ xây dựng </w:t>
            </w:r>
            <w:r>
              <w:rPr>
                <w:rFonts w:ascii="Times New Roman" w:hAnsi="Times New Roman" w:eastAsia="Times New Roman"/>
                <w:b/>
                <w:color w:val="FF0000"/>
              </w:rPr>
              <w:t>cơ chế quản lý, điều hành, hợp tác, phối hợp</w:t>
            </w:r>
            <w:r>
              <w:rPr>
                <w:rFonts w:ascii="Times New Roman" w:hAnsi="Times New Roman" w:eastAsia="Times New Roman"/>
              </w:rPr>
              <w:t xml:space="preserve"> sử dụng nguồn lực, chuyên gia trong và ngoài nước.</w:t>
            </w:r>
          </w:p>
          <w:p>
            <w:pPr>
              <w:spacing w:before="80" w:after="80"/>
              <w:jc w:val="both"/>
            </w:pPr>
            <w:r>
              <w:rPr>
                <w:rFonts w:ascii="Times New Roman" w:hAnsi="Times New Roman" w:eastAsia="Times New Roman"/>
              </w:rPr>
              <w:t xml:space="preserve">- Quỹ xây dựng </w:t>
            </w:r>
            <w:r>
              <w:rPr>
                <w:rFonts w:ascii="Times New Roman" w:hAnsi="Times New Roman" w:eastAsia="Times New Roman"/>
                <w:b/>
                <w:color w:val="FF0000"/>
              </w:rPr>
              <w:t>tiêu chí, điều kiện, quy trình lựa chọn, quyền và nghĩa vụ</w:t>
            </w:r>
            <w:r>
              <w:rPr>
                <w:rFonts w:ascii="Times New Roman" w:hAnsi="Times New Roman" w:eastAsia="Times New Roman"/>
              </w:rPr>
              <w:t xml:space="preserve"> của tổ chức, cá nhân quản lý, điều hành; ký thỏa thuận hợp tác, thuê tổ chức, cá nhân chuyên nghiệp.</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12. Giám sát và đánh giá độc lập</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Hoạt động của quỹ chịu sự giám sát và đánh giá độc lập về rủi ro, hiệu quả đầu tư, tác động xã hội và hiệu quả thu hút đầu tư từ khu vực tư nhân.</w:t>
            </w:r>
          </w:p>
          <w:p>
            <w:pPr>
              <w:spacing w:before="40" w:after="40"/>
              <w:jc w:val="both"/>
            </w:pPr>
            <w:r>
              <w:rPr>
                <w:rFonts w:ascii="Times New Roman" w:hAnsi="Times New Roman" w:eastAsia="Times New Roman"/>
              </w:rPr>
              <w:t>2. Cơ chế giám sát và đánh giá độc lập được thực hiện thông qua:</w:t>
            </w:r>
          </w:p>
          <w:p>
            <w:pPr>
              <w:spacing w:before="40" w:after="40"/>
              <w:jc w:val="both"/>
            </w:pPr>
            <w:r>
              <w:rPr>
                <w:rFonts w:ascii="Times New Roman" w:hAnsi="Times New Roman" w:eastAsia="Times New Roman"/>
              </w:rPr>
              <w:t>a) Báo cáo tài chính và báo cáo hoạt động của quỹ được kiểm toán độc lập hằng năm bởi một công ty kiểm toán uy tín, đủ điều kiện và bởi kiểm toán nhà nước theo quy định của pháp luật;</w:t>
            </w:r>
          </w:p>
          <w:p>
            <w:pPr>
              <w:spacing w:before="40" w:after="40"/>
              <w:jc w:val="both"/>
            </w:pPr>
            <w:r>
              <w:rPr>
                <w:rFonts w:ascii="Times New Roman" w:hAnsi="Times New Roman" w:eastAsia="Times New Roman"/>
              </w:rPr>
              <w:t>b) Quỹ định kỳ 02 năm một lần thuê tổ chức tư vấn độc lập, có năng lực và kinh nghiệm chuyên môn để thực hiện đánh giá việc tuân thủ các nguyên tắc quản lý rủi ro và ngưỡng rủi ro của quỹ đã được phê duyệt, hiệu quả đầu tư của danh mục đầu tư theo chu kỳ, tác động xã hội của các khoản đầu tư của quỹ, hiệu quả thu hút đầu tư từ khu vực tư nhân vào các dự án được quỹ đầu tư;</w:t>
            </w:r>
          </w:p>
          <w:p>
            <w:pPr>
              <w:spacing w:before="40" w:after="40"/>
              <w:jc w:val="both"/>
            </w:pPr>
            <w:r>
              <w:rPr>
                <w:rFonts w:ascii="Times New Roman" w:hAnsi="Times New Roman" w:eastAsia="Times New Roman"/>
              </w:rPr>
              <w:t>c) Báo cáo kết quả các hoạt động giám sát và đánh giá độc lập quy định tại các điểm a và b khoản này là căn cứ để quỹ thực hiện việc điều chỉnh cần thiết đối với chiến lược, kế hoạch, danh mục đầu tư phù hợp với tình hình thực tiễn.</w:t>
            </w:r>
          </w:p>
          <w:p>
            <w:pPr>
              <w:spacing w:before="40" w:after="40"/>
              <w:jc w:val="both"/>
            </w:pPr>
            <w:r>
              <w:rPr>
                <w:rFonts w:ascii="Times New Roman" w:hAnsi="Times New Roman" w:eastAsia="Times New Roman"/>
              </w:rPr>
              <w:t>3. Cơ quan đại diện chủ sở hữu phần vốn nhà nước quy định tại khoản 1 Điều 7 Nghị định này chịu trách nhiệm quản lý, theo dõi, giám sát vốn nhà nước tại quỹ theo quy định của pháp luật về doanh nghiệp và pháp luật về quản lý và đầu tư vốn nhà nước tại doanh nghiệp.</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Quỹ chịu </w:t>
            </w:r>
            <w:r>
              <w:rPr>
                <w:rFonts w:ascii="Times New Roman" w:hAnsi="Times New Roman" w:eastAsia="Times New Roman"/>
                <w:b/>
                <w:color w:val="FF0000"/>
              </w:rPr>
              <w:t>giám sát và đánh giá độc lập</w:t>
            </w:r>
            <w:r>
              <w:rPr>
                <w:rFonts w:ascii="Times New Roman" w:hAnsi="Times New Roman" w:eastAsia="Times New Roman"/>
              </w:rPr>
              <w:t xml:space="preserve"> về rủi ro, hiệu quả đầu tư, tác động xã hội, hiệu quả thu hút vốn tư nhân.</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Kiểm toán độc lập hằng năm</w:t>
            </w:r>
            <w:r>
              <w:rPr>
                <w:rFonts w:ascii="Times New Roman" w:hAnsi="Times New Roman" w:eastAsia="Times New Roman"/>
              </w:rPr>
              <w:t xml:space="preserve"> báo cáo tài chính, báo cáo hoạt động bởi công ty kiểm toán uy tín </w:t>
            </w:r>
            <w:r>
              <w:rPr>
                <w:rFonts w:ascii="Times New Roman" w:hAnsi="Times New Roman" w:eastAsia="Times New Roman"/>
                <w:b/>
                <w:color w:val="FF0000"/>
              </w:rPr>
              <w:t>và kiểm toán nhà nước</w:t>
            </w:r>
            <w:r>
              <w:rPr>
                <w:rFonts w:ascii="Times New Roman" w:hAnsi="Times New Roman" w:eastAsia="Times New Roman"/>
              </w:rPr>
              <w:t>.</w:t>
            </w:r>
          </w:p>
          <w:p>
            <w:pPr>
              <w:spacing w:before="80" w:after="80"/>
              <w:jc w:val="both"/>
            </w:pPr>
            <w:r>
              <w:rPr>
                <w:rFonts w:ascii="Times New Roman" w:hAnsi="Times New Roman" w:eastAsia="Times New Roman"/>
              </w:rPr>
              <w:t xml:space="preserve">- Quỹ </w:t>
            </w:r>
            <w:r>
              <w:rPr>
                <w:rFonts w:ascii="Times New Roman" w:hAnsi="Times New Roman" w:eastAsia="Times New Roman"/>
                <w:b/>
                <w:color w:val="FF0000"/>
              </w:rPr>
              <w:t>định kỳ 02 năm một lần</w:t>
            </w:r>
            <w:r>
              <w:rPr>
                <w:rFonts w:ascii="Times New Roman" w:hAnsi="Times New Roman" w:eastAsia="Times New Roman"/>
              </w:rPr>
              <w:t xml:space="preserve"> thuê tổ chức tư vấn độc lập đánh giá tuân thủ nguyên tắc, ngưỡng rủi ro, hiệu quả danh mục, tác động xã hội.</w:t>
            </w:r>
          </w:p>
          <w:p>
            <w:pPr>
              <w:spacing w:before="80" w:after="80"/>
              <w:jc w:val="both"/>
            </w:pPr>
            <w:r>
              <w:rPr>
                <w:rFonts w:ascii="Times New Roman" w:hAnsi="Times New Roman" w:eastAsia="Times New Roman"/>
              </w:rPr>
              <w:t xml:space="preserve">- Kết quả giám sát, đánh giá là </w:t>
            </w:r>
            <w:r>
              <w:rPr>
                <w:rFonts w:ascii="Times New Roman" w:hAnsi="Times New Roman" w:eastAsia="Times New Roman"/>
                <w:b/>
                <w:color w:val="FF0000"/>
              </w:rPr>
              <w:t>căn cứ điều chỉnh</w:t>
            </w:r>
            <w:r>
              <w:rPr>
                <w:rFonts w:ascii="Times New Roman" w:hAnsi="Times New Roman" w:eastAsia="Times New Roman"/>
              </w:rPr>
              <w:t xml:space="preserve"> chiến lược, kế hoạch, danh mục đầu tư; </w:t>
            </w:r>
            <w:r>
              <w:rPr>
                <w:rFonts w:ascii="Times New Roman" w:hAnsi="Times New Roman" w:eastAsia="Times New Roman"/>
                <w:b/>
                <w:color w:val="FF0000"/>
              </w:rPr>
              <w:t>cơ quan đại diện chủ sở hữu</w:t>
            </w:r>
            <w:r>
              <w:rPr>
                <w:rFonts w:ascii="Times New Roman" w:hAnsi="Times New Roman" w:eastAsia="Times New Roman"/>
              </w:rPr>
              <w:t xml:space="preserve"> giám sát vốn nhà nước tại quỹ.</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13. Báo cáo hoạt động</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Người đại diện phần vốn nhà nước tại Quỹ đầu tư mạo hiểm quốc gia có trách nhiệm phối hợp với quỹ lập và gửi báo cáo định kỳ 06 tháng, hằng năm về danh mục đầu tư, tình hình hoạt động, kết quả đầu tư, tình hình tài chính của Quỹ cho Bộ Khoa học và Công nghệ, Bộ Tài chính.</w:t>
            </w:r>
          </w:p>
          <w:p>
            <w:pPr>
              <w:spacing w:before="40" w:after="40"/>
              <w:jc w:val="both"/>
            </w:pPr>
            <w:r>
              <w:rPr>
                <w:rFonts w:ascii="Times New Roman" w:hAnsi="Times New Roman" w:eastAsia="Times New Roman"/>
              </w:rPr>
              <w:t>2. Người đại diện phần vốn nhà nước tại quỹ đầu tư mạo hiểm của địa phương có trách nhiệm phối hợp với quỹ lập và gửi báo cáo định kỳ hàng quý, hằng năm về danh mục đầu tư, tình hình hoạt động, kết quả đầu tư, tình hình tài chính của quỹ cho Ủy ban nhân dân cấp tỉnh.</w:t>
            </w:r>
          </w:p>
          <w:p>
            <w:pPr>
              <w:spacing w:before="40" w:after="40"/>
              <w:jc w:val="both"/>
            </w:pPr>
            <w:r>
              <w:rPr>
                <w:rFonts w:ascii="Times New Roman" w:hAnsi="Times New Roman" w:eastAsia="Times New Roman"/>
              </w:rPr>
              <w:t>3. Các nhà đầu tư tham gia hoạt động của quỹ được tiếp nhận thông tin về hoạt động của quỹ theo quy định của Điều lệ quỹ.</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Quỹ QG</w:t>
            </w:r>
            <w:r>
              <w:rPr>
                <w:rFonts w:ascii="Times New Roman" w:hAnsi="Times New Roman" w:eastAsia="Times New Roman"/>
              </w:rPr>
              <w:t xml:space="preserve">: người đại diện phần vốn nhà nước lập, gửi báo cáo </w:t>
            </w:r>
            <w:r>
              <w:rPr>
                <w:rFonts w:ascii="Times New Roman" w:hAnsi="Times New Roman" w:eastAsia="Times New Roman"/>
                <w:b/>
                <w:color w:val="FF0000"/>
              </w:rPr>
              <w:t>định kỳ 06 tháng, hằng năm</w:t>
            </w:r>
            <w:r>
              <w:rPr>
                <w:rFonts w:ascii="Times New Roman" w:hAnsi="Times New Roman" w:eastAsia="Times New Roman"/>
              </w:rPr>
              <w:t xml:space="preserve"> cho </w:t>
            </w:r>
            <w:r>
              <w:rPr>
                <w:rFonts w:ascii="Times New Roman" w:hAnsi="Times New Roman" w:eastAsia="Times New Roman"/>
                <w:b/>
                <w:color w:val="FF0000"/>
              </w:rPr>
              <w:t>Bộ KH&amp;CN, BTC</w:t>
            </w:r>
            <w:r>
              <w:rPr>
                <w:rFonts w:ascii="Times New Roman" w:hAnsi="Times New Roman" w:eastAsia="Times New Roman"/>
              </w:rPr>
              <w: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Quỹ ĐP</w:t>
            </w:r>
            <w:r>
              <w:rPr>
                <w:rFonts w:ascii="Times New Roman" w:hAnsi="Times New Roman" w:eastAsia="Times New Roman"/>
              </w:rPr>
              <w:t xml:space="preserve">: báo cáo </w:t>
            </w:r>
            <w:r>
              <w:rPr>
                <w:rFonts w:ascii="Times New Roman" w:hAnsi="Times New Roman" w:eastAsia="Times New Roman"/>
                <w:b/>
                <w:color w:val="FF0000"/>
              </w:rPr>
              <w:t>định kỳ hàng quý, hằng năm</w:t>
            </w:r>
            <w:r>
              <w:rPr>
                <w:rFonts w:ascii="Times New Roman" w:hAnsi="Times New Roman" w:eastAsia="Times New Roman"/>
              </w:rPr>
              <w:t xml:space="preserve"> cho </w:t>
            </w:r>
            <w:r>
              <w:rPr>
                <w:rFonts w:ascii="Times New Roman" w:hAnsi="Times New Roman" w:eastAsia="Times New Roman"/>
                <w:b/>
                <w:color w:val="FF0000"/>
              </w:rPr>
              <w:t>UBND cấp tỉnh</w:t>
            </w:r>
            <w:r>
              <w:rPr>
                <w:rFonts w:ascii="Times New Roman" w:hAnsi="Times New Roman" w:eastAsia="Times New Roman"/>
              </w:rPr>
              <w:t>.</w:t>
            </w:r>
          </w:p>
          <w:p>
            <w:pPr>
              <w:spacing w:before="80" w:after="80"/>
              <w:jc w:val="both"/>
            </w:pPr>
            <w:r>
              <w:rPr>
                <w:rFonts w:ascii="Times New Roman" w:hAnsi="Times New Roman" w:eastAsia="Times New Roman"/>
              </w:rPr>
              <w:t xml:space="preserve">- Báo cáo gồm: danh mục đầu tư, tình hình hoạt động, kết quả đầu tư, tình hình tài chính. </w:t>
            </w:r>
            <w:r>
              <w:rPr>
                <w:rFonts w:ascii="Times New Roman" w:hAnsi="Times New Roman" w:eastAsia="Times New Roman"/>
                <w:b/>
                <w:color w:val="FF0000"/>
              </w:rPr>
              <w:t>NĐT</w:t>
            </w:r>
            <w:r>
              <w:rPr>
                <w:rFonts w:ascii="Times New Roman" w:hAnsi="Times New Roman" w:eastAsia="Times New Roman"/>
              </w:rPr>
              <w:t xml:space="preserve"> được tiếp nhận thông tin theo </w:t>
            </w:r>
            <w:r>
              <w:rPr>
                <w:rFonts w:ascii="Times New Roman" w:hAnsi="Times New Roman" w:eastAsia="Times New Roman"/>
                <w:b/>
                <w:color w:val="FF0000"/>
              </w:rPr>
              <w:t>Điều lệ quỹ</w:t>
            </w:r>
            <w:r>
              <w:rPr>
                <w:rFonts w:ascii="Times New Roman" w:hAnsi="Times New Roman" w:eastAsia="Times New Roman"/>
              </w:rPr>
              <w:t>.</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14. Miễn trừ trách nhiệm</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Tổ chức, cá nhân quản lý, điều hành quỹ bao gồm tổ chức, cá nhân quyết định tham gia góp vốn, xây dựng và tổ chức thực hiện chiến lược đầu tư, kế hoạch đầu tư, quản lý danh mục đầu tư và các hoạt động của quỹ được miễn trừ trách nhiệm dân sự, loại trừ trách nhiệm hành chính liên quan đến tổn thất phát sinh từ hoạt động đầu tư nếu thỏa mãn đồng thời các điều kiện sau:</w:t>
            </w:r>
          </w:p>
          <w:p>
            <w:pPr>
              <w:spacing w:before="40" w:after="40"/>
              <w:jc w:val="both"/>
            </w:pPr>
            <w:r>
              <w:rPr>
                <w:rFonts w:ascii="Times New Roman" w:hAnsi="Times New Roman" w:eastAsia="Times New Roman"/>
              </w:rPr>
              <w:t>a) Tổn thất phát sinh do rủi ro khách quan, không do lỗi cố ý của tổ chức, cá nhân;</w:t>
            </w:r>
          </w:p>
          <w:p>
            <w:pPr>
              <w:spacing w:before="40" w:after="40"/>
              <w:jc w:val="both"/>
            </w:pPr>
            <w:r>
              <w:rPr>
                <w:rFonts w:ascii="Times New Roman" w:hAnsi="Times New Roman" w:eastAsia="Times New Roman"/>
              </w:rPr>
              <w:t>b) Tuân thủ đầy đủ các nguyên tắc đầu tư, quy định nội bộ của quỹ và nghĩa vụ minh bạch, trung thực trong quá trình ra quyết định đầu tư;</w:t>
            </w:r>
          </w:p>
          <w:p>
            <w:pPr>
              <w:spacing w:before="40" w:after="40"/>
              <w:jc w:val="both"/>
            </w:pPr>
            <w:r>
              <w:rPr>
                <w:rFonts w:ascii="Times New Roman" w:hAnsi="Times New Roman" w:eastAsia="Times New Roman"/>
              </w:rPr>
              <w:t>c) Tổ chức, cá nhân đã thực hiện đầy đủ nghĩa vụ về thẩm định, báo cáo, minh bạch thông tin và xin ý kiến phê duyệt đầu tư theo quy định tại Điều lệ quỹ.</w:t>
            </w:r>
          </w:p>
          <w:p>
            <w:pPr>
              <w:spacing w:before="40" w:after="40"/>
              <w:jc w:val="both"/>
            </w:pPr>
            <w:r>
              <w:rPr>
                <w:rFonts w:ascii="Times New Roman" w:hAnsi="Times New Roman" w:eastAsia="Times New Roman"/>
              </w:rPr>
              <w:t>2. Rủi ro khách quan quy định tại khoản 1 Điều này bao gồm, nhưng không giới hạn ở các trường hợp sau:</w:t>
            </w:r>
          </w:p>
          <w:p>
            <w:pPr>
              <w:spacing w:before="40" w:after="40"/>
              <w:jc w:val="both"/>
            </w:pPr>
            <w:r>
              <w:rPr>
                <w:rFonts w:ascii="Times New Roman" w:hAnsi="Times New Roman" w:eastAsia="Times New Roman"/>
              </w:rPr>
              <w:t>a) Biến động của thị trường tài chính, thị trường công nghệ hoặc các yếu tố vĩ mô nằm ngoài khả năng dự báo hợp lý tại thời điểm ra quyết định đầu tư;</w:t>
            </w:r>
          </w:p>
          <w:p>
            <w:pPr>
              <w:spacing w:before="40" w:after="40"/>
              <w:jc w:val="both"/>
            </w:pPr>
            <w:r>
              <w:rPr>
                <w:rFonts w:ascii="Times New Roman" w:hAnsi="Times New Roman" w:eastAsia="Times New Roman"/>
              </w:rPr>
              <w:t>b) Chính sách pháp luật thay đổi làm ảnh hưởng trực tiếp đến hiệu quả hoặc khả năng thoái vốn của các khoản đầu tư;</w:t>
            </w:r>
          </w:p>
          <w:p>
            <w:pPr>
              <w:spacing w:before="40" w:after="40"/>
              <w:jc w:val="both"/>
            </w:pPr>
            <w:r>
              <w:rPr>
                <w:rFonts w:ascii="Times New Roman" w:hAnsi="Times New Roman" w:eastAsia="Times New Roman"/>
              </w:rPr>
              <w:t>c) Thảm họa thiên nhiên, dịch bệnh, xung đột địa chính trị hoặc các tình huống bất khả kháng khác gây gián đoạn hoạt động của doanh nghiệp khởi nghiệp sáng tạo được đầu tư hoặc việc thực thi dự án khởi nghiệp sáng tạo;</w:t>
            </w:r>
          </w:p>
          <w:p>
            <w:pPr>
              <w:spacing w:before="40" w:after="40"/>
              <w:jc w:val="both"/>
            </w:pPr>
            <w:r>
              <w:rPr>
                <w:rFonts w:ascii="Times New Roman" w:hAnsi="Times New Roman" w:eastAsia="Times New Roman"/>
              </w:rPr>
              <w:t>d) Rủi ro khách quan khác ngoài khả năng dự đoán và kiểm soát của tổ chức, cá nhân quyết định tham gia góp vốn, xây dựng và tổ chức thực hiện chiến lược đầu tư, kế hoạch đầu tư, quản lý danh mục đầu tư và các hoạt động của quỹ.</w:t>
            </w:r>
          </w:p>
          <w:p>
            <w:pPr>
              <w:spacing w:before="40" w:after="40"/>
              <w:jc w:val="both"/>
            </w:pPr>
            <w:r>
              <w:rPr>
                <w:rFonts w:ascii="Times New Roman" w:hAnsi="Times New Roman" w:eastAsia="Times New Roman"/>
              </w:rPr>
              <w:t>3. Cơ quan quyết định cao nhất của quỹ có trách nhiệm xác nhận dựa trên báo cáo kết quả hoạt động giám sát và đánh giá độc lập quy định tại Điều 12, báo cáo hoạt động quy định tại Điều 13 Nghị định này hoặc có thể tham vấn ý kiến của tổ chức tư vấn độc lập có năng lực, kinh nghiệm phù hợp trước khi thực hiện trách nhiệm xác nhận điều kiện quy định tại khoản 1 Điều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Miễn trừ trách nhiệm dân sự, loại trừ trách nhiệm hành chính</w:t>
            </w:r>
            <w:r>
              <w:rPr>
                <w:rFonts w:ascii="Times New Roman" w:hAnsi="Times New Roman" w:eastAsia="Times New Roman"/>
              </w:rPr>
              <w:t xml:space="preserve"> liên quan đến tổn thất cho tổ chức, cá nhân quản lý, điều hành quỹ nếu thỏa mãn </w:t>
            </w:r>
            <w:r>
              <w:rPr>
                <w:rFonts w:ascii="Times New Roman" w:hAnsi="Times New Roman" w:eastAsia="Times New Roman"/>
                <w:b/>
                <w:color w:val="FF0000"/>
              </w:rPr>
              <w:t>đồng thời</w:t>
            </w:r>
            <w:r>
              <w:rPr>
                <w:rFonts w:ascii="Times New Roman" w:hAnsi="Times New Roman" w:eastAsia="Times New Roman"/>
              </w:rPr>
              <w:t xml:space="preserve"> các điều kiện:</w:t>
            </w:r>
          </w:p>
          <w:p>
            <w:pPr>
              <w:spacing w:before="80" w:after="80"/>
              <w:jc w:val="both"/>
            </w:pPr>
            <w:r>
              <w:rPr>
                <w:rFonts w:ascii="Times New Roman" w:hAnsi="Times New Roman" w:eastAsia="Times New Roman"/>
              </w:rPr>
              <w:t xml:space="preserve">- (a) Tổn thất do </w:t>
            </w:r>
            <w:r>
              <w:rPr>
                <w:rFonts w:ascii="Times New Roman" w:hAnsi="Times New Roman" w:eastAsia="Times New Roman"/>
                <w:b/>
                <w:color w:val="FF0000"/>
              </w:rPr>
              <w:t>rủi ro khách quan</w:t>
            </w:r>
            <w:r>
              <w:rPr>
                <w:rFonts w:ascii="Times New Roman" w:hAnsi="Times New Roman" w:eastAsia="Times New Roman"/>
              </w:rPr>
              <w:t xml:space="preserve">, </w:t>
            </w:r>
            <w:r>
              <w:rPr>
                <w:rFonts w:ascii="Times New Roman" w:hAnsi="Times New Roman" w:eastAsia="Times New Roman"/>
                <w:b/>
                <w:color w:val="FF0000"/>
              </w:rPr>
              <w:t>không do lỗi cố ý</w:t>
            </w:r>
            <w:r>
              <w:rPr>
                <w:rFonts w:ascii="Times New Roman" w:hAnsi="Times New Roman" w:eastAsia="Times New Roman"/>
              </w:rPr>
              <w:t xml:space="preserve">; (b) </w:t>
            </w:r>
            <w:r>
              <w:rPr>
                <w:rFonts w:ascii="Times New Roman" w:hAnsi="Times New Roman" w:eastAsia="Times New Roman"/>
                <w:b/>
                <w:color w:val="FF0000"/>
              </w:rPr>
              <w:t>tuân thủ đầy đủ</w:t>
            </w:r>
            <w:r>
              <w:rPr>
                <w:rFonts w:ascii="Times New Roman" w:hAnsi="Times New Roman" w:eastAsia="Times New Roman"/>
              </w:rPr>
              <w:t xml:space="preserve"> nguyên tắc đầu tư, quy định nội bộ, nghĩa vụ minh bạch, trung thực; (c) đã thực hiện đầy đủ nghĩa vụ </w:t>
            </w:r>
            <w:r>
              <w:rPr>
                <w:rFonts w:ascii="Times New Roman" w:hAnsi="Times New Roman" w:eastAsia="Times New Roman"/>
                <w:b/>
                <w:color w:val="FF0000"/>
              </w:rPr>
              <w:t>thẩm định, báo cáo, minh bạch thông tin, xin ý kiến phê duyệt</w:t>
            </w:r>
            <w:r>
              <w:rPr>
                <w:rFonts w:ascii="Times New Roman" w:hAnsi="Times New Roman" w:eastAsia="Times New Roman"/>
              </w:rPr>
              <w:t xml:space="preserve"> theo Điều lệ quỹ.</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Rủi ro khách quan</w:t>
            </w:r>
            <w:r>
              <w:rPr>
                <w:rFonts w:ascii="Times New Roman" w:hAnsi="Times New Roman" w:eastAsia="Times New Roman"/>
              </w:rPr>
              <w:t xml:space="preserve"> (không giới hạn): biến động thị trường tài chính, công nghệ; thay đổi chính sách pháp luật; thảm họa thiên nhiên, dịch bệnh, xung đột địa chính trị, bất khả kháng; rủi ro khác ngoài khả năng dự đoán, kiểm soát.</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Cơ quan quyết định cao nhất của quỹ</w:t>
            </w:r>
            <w:r>
              <w:rPr>
                <w:rFonts w:ascii="Times New Roman" w:hAnsi="Times New Roman" w:eastAsia="Times New Roman"/>
              </w:rPr>
              <w:t xml:space="preserve"> xác nhận điều kiện miễn trừ dựa trên báo cáo giám sát, đánh giá độc lập (Điều 12), báo cáo hoạt động (Điều 13) hoặc tham vấn tổ chức tư vấn độc lập.</w:t>
            </w:r>
          </w:p>
        </w:tc>
      </w:tr>
    </w:tbl>
    <w:p>
      <w:pPr>
        <w:spacing w:before="0" w:after="0"/>
        <w:jc w:val="left"/>
      </w:pPr>
    </w:p>
    <w:p>
      <w:r>
        <w:br w:type="page"/>
      </w:r>
    </w:p>
    <w:p>
      <w:pPr>
        <w:spacing w:before="0" w:after="0"/>
        <w:jc w:val="center"/>
      </w:pPr>
      <w:r>
        <w:rPr>
          <w:rFonts w:ascii="Times New Roman" w:hAnsi="Times New Roman" w:eastAsia="Times New Roman"/>
          <w:b/>
          <w:color w:val="FF0000"/>
          <w:sz w:val="28"/>
        </w:rPr>
        <w:t>CHƯƠNG III</w:t>
      </w:r>
    </w:p>
    <w:p>
      <w:pPr>
        <w:spacing w:before="0" w:after="160"/>
        <w:jc w:val="center"/>
      </w:pPr>
      <w:r>
        <w:rPr>
          <w:rFonts w:ascii="Times New Roman" w:hAnsi="Times New Roman" w:eastAsia="Times New Roman"/>
          <w:b/>
          <w:color w:val="FF0000"/>
          <w:sz w:val="28"/>
        </w:rPr>
        <w:t>QUẢN LÝ NHÀ NƯỚC ĐỐI VỚI QUỸ ĐẦU TƯ MẠO HIỂM QUỐC GIA, QUỸ ĐẦU TƯ MẠO HIỂM CỦA ĐỊA PHƯƠNG</w:t>
      </w: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15. Trách nhiệm của Bộ Khoa học và Công nghệ</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Đầu mối tổ chức lựa chọn thành viên sáng lập có năng lực tham gia thành lập Quỹ đầu tư mạo hiểm quốc gia, phối hợp với các thành viên khác xây dựng Điều lệ quỹ.</w:t>
            </w:r>
          </w:p>
          <w:p>
            <w:pPr>
              <w:spacing w:before="40" w:after="40"/>
              <w:jc w:val="both"/>
            </w:pPr>
            <w:r>
              <w:rPr>
                <w:rFonts w:ascii="Times New Roman" w:hAnsi="Times New Roman" w:eastAsia="Times New Roman"/>
              </w:rPr>
              <w:t>2. Đề xuất mức bố trí hình thành vốn điều lệ Quỹ đầu tư mạo hiểm quốc gia và tổng hợp chung trong phương án dự toán lĩnh vực khoa học, công nghệ, đổi mới sáng tạo và chuyển đổi số, gửi Bộ Tài chính tổng hợp, trình cấp có thẩm quyền xem xét, quyết định.</w:t>
            </w:r>
          </w:p>
          <w:p>
            <w:pPr>
              <w:spacing w:before="40" w:after="40"/>
              <w:jc w:val="both"/>
            </w:pPr>
            <w:r>
              <w:rPr>
                <w:rFonts w:ascii="Times New Roman" w:hAnsi="Times New Roman" w:eastAsia="Times New Roman"/>
              </w:rPr>
              <w:t>3. Thực hiện các quyền, nghĩa vụ, trách nhiệm của cơ quan đại diện chủ sở hữu đối với phần vốn nhà nước tại Quỹ đầu tư mạo hiểm quốc gia theo quy định của pháp luật về quản lý và đầu tư vốn nhà nước tại doanh nghiệp.</w:t>
            </w:r>
          </w:p>
          <w:p>
            <w:pPr>
              <w:spacing w:before="40" w:after="40"/>
              <w:jc w:val="both"/>
            </w:pPr>
            <w:r>
              <w:rPr>
                <w:rFonts w:ascii="Times New Roman" w:hAnsi="Times New Roman" w:eastAsia="Times New Roman"/>
              </w:rPr>
              <w:t>4. Tổng hợp báo cáo Chính phủ về tình hình hoạt động của các quỹ đầu tư mạo hiểm của địa phương.</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Bộ KH&amp;CN</w:t>
            </w:r>
            <w:r>
              <w:rPr>
                <w:rFonts w:ascii="Times New Roman" w:hAnsi="Times New Roman" w:eastAsia="Times New Roman"/>
              </w:rPr>
              <w:t xml:space="preserve">: đầu mối tổ chức lựa chọn thành viên sáng lập, phối hợp xây dựng </w:t>
            </w:r>
            <w:r>
              <w:rPr>
                <w:rFonts w:ascii="Times New Roman" w:hAnsi="Times New Roman" w:eastAsia="Times New Roman"/>
                <w:b/>
                <w:color w:val="FF0000"/>
              </w:rPr>
              <w:t>Điều lệ Quỹ QG</w:t>
            </w:r>
            <w:r>
              <w:rPr>
                <w:rFonts w:ascii="Times New Roman" w:hAnsi="Times New Roman" w:eastAsia="Times New Roman"/>
              </w:rPr>
              <w:t>.</w:t>
            </w:r>
          </w:p>
          <w:p>
            <w:pPr>
              <w:spacing w:before="80" w:after="80"/>
              <w:jc w:val="both"/>
            </w:pPr>
            <w:r>
              <w:rPr>
                <w:rFonts w:ascii="Times New Roman" w:hAnsi="Times New Roman" w:eastAsia="Times New Roman"/>
              </w:rPr>
              <w:t xml:space="preserve">- Đề xuất mức bố trí hình thành VĐL Quỹ QG, gửi </w:t>
            </w:r>
            <w:r>
              <w:rPr>
                <w:rFonts w:ascii="Times New Roman" w:hAnsi="Times New Roman" w:eastAsia="Times New Roman"/>
                <w:b/>
                <w:color w:val="FF0000"/>
              </w:rPr>
              <w:t>BTC</w:t>
            </w:r>
            <w:r>
              <w:rPr>
                <w:rFonts w:ascii="Times New Roman" w:hAnsi="Times New Roman" w:eastAsia="Times New Roman"/>
              </w:rPr>
              <w:t xml:space="preserve"> tổng hợp, trình cấp có thẩm quyền quyết định.</w:t>
            </w:r>
          </w:p>
          <w:p>
            <w:pPr>
              <w:spacing w:before="80" w:after="80"/>
              <w:jc w:val="both"/>
            </w:pPr>
            <w:r>
              <w:rPr>
                <w:rFonts w:ascii="Times New Roman" w:hAnsi="Times New Roman" w:eastAsia="Times New Roman"/>
              </w:rPr>
              <w:t xml:space="preserve">- Thực hiện quyền, nghĩa vụ, trách nhiệm của </w:t>
            </w:r>
            <w:r>
              <w:rPr>
                <w:rFonts w:ascii="Times New Roman" w:hAnsi="Times New Roman" w:eastAsia="Times New Roman"/>
                <w:b/>
                <w:color w:val="FF0000"/>
              </w:rPr>
              <w:t>cơ quan đại diện chủ sở hữu</w:t>
            </w:r>
            <w:r>
              <w:rPr>
                <w:rFonts w:ascii="Times New Roman" w:hAnsi="Times New Roman" w:eastAsia="Times New Roman"/>
              </w:rPr>
              <w:t xml:space="preserve"> đối với phần vốn nhà nước tại Quỹ QG.</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Tổng hợp báo cáo Chính phủ</w:t>
            </w:r>
            <w:r>
              <w:rPr>
                <w:rFonts w:ascii="Times New Roman" w:hAnsi="Times New Roman" w:eastAsia="Times New Roman"/>
              </w:rPr>
              <w:t xml:space="preserve"> về tình hình hoạt động của các Quỹ ĐP.</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16. Trách nhiệm của Bộ Tài chính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Cân đối, đề xuất bố trí dự toán chi ngân sách nhà nước cho lĩnh vực khoa học, công nghệ, đổi mới sáng tạo và chuyển đổi số theo quy định của pháp luật về ngân sách nhà nước, đầu tư công và pháp luật quản lý ngành, lĩnh vực.</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BTC</w:t>
            </w:r>
            <w:r>
              <w:rPr>
                <w:rFonts w:ascii="Times New Roman" w:hAnsi="Times New Roman" w:eastAsia="Times New Roman"/>
              </w:rPr>
              <w:t xml:space="preserve">: </w:t>
            </w:r>
            <w:r>
              <w:rPr>
                <w:rFonts w:ascii="Times New Roman" w:hAnsi="Times New Roman" w:eastAsia="Times New Roman"/>
                <w:b/>
                <w:color w:val="FF0000"/>
              </w:rPr>
              <w:t>cân đối, đề xuất bố trí dự toán chi NSNN</w:t>
            </w:r>
            <w:r>
              <w:rPr>
                <w:rFonts w:ascii="Times New Roman" w:hAnsi="Times New Roman" w:eastAsia="Times New Roman"/>
              </w:rPr>
              <w:t xml:space="preserve"> cho lĩnh vực khoa học, công nghệ, đổi mới sáng tạo và chuyển đổi số theo pháp luật về ngân sách nhà nước, đầu tư công.</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17. Trách nhiệm của Ủy ban nhân dân cấp tỉnh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Đầu mối tổ chức lựa chọn thành viên sáng lập có năng lực tham gia thành lập quỹ đầu tư mạo hiểm của địa phương, phối hợp với các thành viên khác xây dựng Điều lệ quỹ, trình Chủ tịch Ủy ban nhân dân cấp tỉnh phê duyệt.</w:t>
            </w:r>
          </w:p>
          <w:p>
            <w:pPr>
              <w:spacing w:before="40" w:after="40"/>
              <w:jc w:val="both"/>
            </w:pPr>
            <w:r>
              <w:rPr>
                <w:rFonts w:ascii="Times New Roman" w:hAnsi="Times New Roman" w:eastAsia="Times New Roman"/>
              </w:rPr>
              <w:t>2. Đề xuất mức vốn, nguồn vốn nhà nước tham gia vốn điều lệ của quỹ đầu tư mạo hiểm của địa phương, trình cấp có thẩm quyền xem xét, quyết định.</w:t>
            </w:r>
          </w:p>
          <w:p>
            <w:pPr>
              <w:spacing w:before="40" w:after="40"/>
              <w:jc w:val="both"/>
            </w:pPr>
            <w:r>
              <w:rPr>
                <w:rFonts w:ascii="Times New Roman" w:hAnsi="Times New Roman" w:eastAsia="Times New Roman"/>
              </w:rPr>
              <w:t>3. Thực hiện các quyền, nghĩa vụ, trách nhiệm của cơ quan đại diện chủ sở hữu đối với phần vốn nhà nước tại quỹ đầu tư mạo hiểm của địa phương theo quy định của pháp luật về quản lý và đầu tư vốn nhà nước tại doanh nghiệp.</w:t>
            </w:r>
          </w:p>
          <w:p>
            <w:pPr>
              <w:spacing w:before="40" w:after="40"/>
              <w:jc w:val="both"/>
            </w:pPr>
            <w:r>
              <w:rPr>
                <w:rFonts w:ascii="Times New Roman" w:hAnsi="Times New Roman" w:eastAsia="Times New Roman"/>
              </w:rPr>
              <w:t>4. Báo cáo định kỳ hàng năm cho Bộ Khoa học và Công nghệ về tình hình hoạt động của quỹ đầu tư mạo hiểm của địa phương.</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UBND cấp tỉnh</w:t>
            </w:r>
            <w:r>
              <w:rPr>
                <w:rFonts w:ascii="Times New Roman" w:hAnsi="Times New Roman" w:eastAsia="Times New Roman"/>
              </w:rPr>
              <w:t xml:space="preserve">: đầu mối tổ chức lựa chọn thành viên sáng lập, xây dựng Điều lệ Quỹ ĐP, trình </w:t>
            </w:r>
            <w:r>
              <w:rPr>
                <w:rFonts w:ascii="Times New Roman" w:hAnsi="Times New Roman" w:eastAsia="Times New Roman"/>
                <w:b/>
                <w:color w:val="FF0000"/>
              </w:rPr>
              <w:t>Chủ tịch UBND cấp tỉnh phê duyệt</w:t>
            </w:r>
            <w:r>
              <w:rPr>
                <w:rFonts w:ascii="Times New Roman" w:hAnsi="Times New Roman" w:eastAsia="Times New Roman"/>
              </w:rPr>
              <w:t>.</w:t>
            </w:r>
          </w:p>
          <w:p>
            <w:pPr>
              <w:spacing w:before="80" w:after="80"/>
              <w:jc w:val="both"/>
            </w:pPr>
            <w:r>
              <w:rPr>
                <w:rFonts w:ascii="Times New Roman" w:hAnsi="Times New Roman" w:eastAsia="Times New Roman"/>
              </w:rPr>
              <w:t xml:space="preserve">- Đề xuất </w:t>
            </w:r>
            <w:r>
              <w:rPr>
                <w:rFonts w:ascii="Times New Roman" w:hAnsi="Times New Roman" w:eastAsia="Times New Roman"/>
                <w:b/>
                <w:color w:val="FF0000"/>
              </w:rPr>
              <w:t>mức vốn, nguồn vốn nhà nước</w:t>
            </w:r>
            <w:r>
              <w:rPr>
                <w:rFonts w:ascii="Times New Roman" w:hAnsi="Times New Roman" w:eastAsia="Times New Roman"/>
              </w:rPr>
              <w:t xml:space="preserve"> tham gia VĐL Quỹ ĐP, trình cấp có thẩm quyền quyết định.</w:t>
            </w:r>
          </w:p>
          <w:p>
            <w:pPr>
              <w:spacing w:before="80" w:after="80"/>
              <w:jc w:val="both"/>
            </w:pPr>
            <w:r>
              <w:rPr>
                <w:rFonts w:ascii="Times New Roman" w:hAnsi="Times New Roman" w:eastAsia="Times New Roman"/>
              </w:rPr>
              <w:t xml:space="preserve">- Thực hiện quyền, nghĩa vụ, trách nhiệm của </w:t>
            </w:r>
            <w:r>
              <w:rPr>
                <w:rFonts w:ascii="Times New Roman" w:hAnsi="Times New Roman" w:eastAsia="Times New Roman"/>
                <w:b/>
                <w:color w:val="FF0000"/>
              </w:rPr>
              <w:t>cơ quan đại diện chủ sở hữu</w:t>
            </w:r>
            <w:r>
              <w:rPr>
                <w:rFonts w:ascii="Times New Roman" w:hAnsi="Times New Roman" w:eastAsia="Times New Roman"/>
              </w:rPr>
              <w:t xml:space="preserve"> đối với phần vốn nhà nước tại Quỹ ĐP.</w:t>
            </w:r>
          </w:p>
          <w:p>
            <w:pPr>
              <w:spacing w:before="80" w:after="80"/>
              <w:jc w:val="both"/>
            </w:pPr>
            <w:r>
              <w:rPr>
                <w:rFonts w:ascii="Times New Roman" w:hAnsi="Times New Roman" w:eastAsia="Times New Roman"/>
              </w:rPr>
              <w:t xml:space="preserve">- </w:t>
            </w:r>
            <w:r>
              <w:rPr>
                <w:rFonts w:ascii="Times New Roman" w:hAnsi="Times New Roman" w:eastAsia="Times New Roman"/>
                <w:b/>
                <w:color w:val="FF0000"/>
              </w:rPr>
              <w:t>Báo cáo định kỳ hàng năm</w:t>
            </w:r>
            <w:r>
              <w:rPr>
                <w:rFonts w:ascii="Times New Roman" w:hAnsi="Times New Roman" w:eastAsia="Times New Roman"/>
              </w:rPr>
              <w:t xml:space="preserve"> cho Bộ KH&amp;CN về tình hình hoạt động của Quỹ ĐP.</w:t>
            </w:r>
          </w:p>
        </w:tc>
      </w:tr>
    </w:tbl>
    <w:p>
      <w:pPr>
        <w:spacing w:before="0" w:after="0"/>
        <w:jc w:val="left"/>
      </w:pPr>
    </w:p>
    <w:tbl>
      <w:tblPr>
        <w:tblStyle w:val="TableGrid"/>
        <w:tblW w:type="auto" w:w="0"/>
        <w:jc w:val="center"/>
        <w:tblLayout w:type="fixed"/>
        <w:tblLook w:firstColumn="1" w:firstRow="1" w:lastColumn="0" w:lastRow="0" w:noHBand="0" w:noVBand="1" w:val="04A0"/>
        <w:tblLayout w:type="fixed"/>
      </w:tblPr>
      <w:tblGrid>
        <w:gridCol w:w="1814"/>
        <w:gridCol w:w="7824"/>
      </w:tblGrid>
      <w:tr>
        <w:trPr>
          <w:cantSplit/>
        </w:trPr>
        <w:tc>
          <w:tcPr>
            <w:tcW w:type="dxa" w:w="7824"/>
            <w:gridSpan w:val="2"/>
          </w:tcPr>
          <w:p>
            <w:pPr>
              <w:spacing w:before="60" w:after="60"/>
              <w:jc w:val="left"/>
            </w:pPr>
            <w:r>
              <w:rPr>
                <w:rFonts w:ascii="Times New Roman" w:hAnsi="Times New Roman" w:eastAsia="Times New Roman"/>
                <w:b/>
              </w:rPr>
              <w:t>Điều 18. Hiệu lực thi hành</w:t>
            </w:r>
          </w:p>
        </w:tc>
      </w:tr>
      <w:tr>
        <w:tc>
          <w:tcPr>
            <w:tcW w:type="dxa" w:w="1814"/>
          </w:tcPr>
          <w:p>
            <w:pPr>
              <w:spacing w:before="60" w:after="60"/>
              <w:jc w:val="left"/>
            </w:pPr>
            <w:r>
              <w:rPr>
                <w:rFonts w:ascii="Times New Roman" w:hAnsi="Times New Roman" w:eastAsia="Times New Roman"/>
                <w:b/>
              </w:rPr>
              <w:t>Nội dung gốc</w:t>
            </w:r>
          </w:p>
        </w:tc>
        <w:tc>
          <w:tcPr>
            <w:tcW w:type="dxa" w:w="7824"/>
          </w:tcPr>
          <w:p>
            <w:pPr>
              <w:spacing w:before="40" w:after="40"/>
              <w:jc w:val="both"/>
            </w:pPr>
            <w:r>
              <w:rPr>
                <w:rFonts w:ascii="Times New Roman" w:hAnsi="Times New Roman" w:eastAsia="Times New Roman"/>
              </w:rPr>
              <w:t>1. Nghị định này có hiệu lực thi hành từ ngày 14 tháng 10 năm 2025.</w:t>
            </w:r>
          </w:p>
          <w:p>
            <w:pPr>
              <w:spacing w:before="40" w:after="40"/>
              <w:jc w:val="both"/>
            </w:pPr>
            <w:r>
              <w:rPr>
                <w:rFonts w:ascii="Times New Roman" w:hAnsi="Times New Roman" w:eastAsia="Times New Roman"/>
              </w:rPr>
              <w:t>2. Các Bộ trưởng, Thủ trưởng cơ quan ngang bộ, Thủ trưởng cơ quan thuộc Chính phủ, Chủ tịch Ủy ban nhân dân các tỉnh, người đứng đầu các cơ quan, tổ chức liên quan chịu trách nhiệm thi hành Nghị định này.</w:t>
            </w:r>
          </w:p>
        </w:tc>
      </w:tr>
      <w:tr>
        <w:tc>
          <w:tcPr>
            <w:tcW w:type="dxa" w:w="1814"/>
          </w:tcPr>
          <w:p>
            <w:pPr>
              <w:spacing w:before="60" w:after="60"/>
              <w:jc w:val="left"/>
            </w:pPr>
            <w:r>
              <w:rPr>
                <w:rFonts w:ascii="Times New Roman" w:hAnsi="Times New Roman" w:eastAsia="Times New Roman"/>
                <w:b/>
              </w:rPr>
              <w:t>Tóm tắt dễ học</w:t>
            </w:r>
          </w:p>
        </w:tc>
        <w:tc>
          <w:tcPr>
            <w:tcW w:type="dxa" w:w="7824"/>
          </w:tcPr>
          <w:p>
            <w:pPr>
              <w:spacing w:before="80" w:after="80"/>
              <w:jc w:val="both"/>
            </w:pPr>
            <w:r>
              <w:rPr>
                <w:rFonts w:ascii="Times New Roman" w:hAnsi="Times New Roman" w:eastAsia="Times New Roman"/>
              </w:rPr>
              <w:t xml:space="preserve">- Nghị định </w:t>
            </w:r>
            <w:r>
              <w:rPr>
                <w:rFonts w:ascii="Times New Roman" w:hAnsi="Times New Roman" w:eastAsia="Times New Roman"/>
                <w:b/>
                <w:color w:val="FF0000"/>
              </w:rPr>
              <w:t>có hiệu lực thi hành từ ngày 14 tháng 10 năm 2025</w:t>
            </w:r>
            <w:r>
              <w:rPr>
                <w:rFonts w:ascii="Times New Roman" w:hAnsi="Times New Roman" w:eastAsia="Times New Roman"/>
              </w:rPr>
              <w:t>.</w:t>
            </w:r>
          </w:p>
          <w:p>
            <w:pPr>
              <w:spacing w:before="80" w:after="80"/>
              <w:jc w:val="both"/>
            </w:pPr>
            <w:r>
              <w:rPr>
                <w:rFonts w:ascii="Times New Roman" w:hAnsi="Times New Roman" w:eastAsia="Times New Roman"/>
              </w:rPr>
              <w:t xml:space="preserve">- Bộ trưởng, Thủ trưởng cơ quan ngang bộ, cơ quan thuộc CP, </w:t>
            </w:r>
            <w:r>
              <w:rPr>
                <w:rFonts w:ascii="Times New Roman" w:hAnsi="Times New Roman" w:eastAsia="Times New Roman"/>
                <w:b/>
                <w:color w:val="FF0000"/>
              </w:rPr>
              <w:t>Chủ tịch UBND các tỉnh</w:t>
            </w:r>
            <w:r>
              <w:rPr>
                <w:rFonts w:ascii="Times New Roman" w:hAnsi="Times New Roman" w:eastAsia="Times New Roman"/>
              </w:rPr>
              <w:t>, người đứng đầu cơ quan, tổ chức liên quan chịu trách nhiệm thi hành.</w:t>
            </w:r>
          </w:p>
        </w:tc>
      </w:tr>
    </w:tbl>
    <w:p>
      <w:pPr>
        <w:spacing w:before="0" w:after="0"/>
        <w:jc w:val="left"/>
      </w:pPr>
    </w:p>
    <w:p>
      <w:r>
        <w:br w:type="page"/>
      </w:r>
    </w:p>
    <w:p>
      <w:pPr>
        <w:spacing w:before="800" w:after="120"/>
        <w:jc w:val="center"/>
      </w:pPr>
      <w:r>
        <w:rPr>
          <w:rFonts w:ascii="Times New Roman" w:hAnsi="Times New Roman" w:eastAsia="Times New Roman"/>
          <w:b/>
          <w:color w:val="FF0000"/>
          <w:sz w:val="32"/>
        </w:rPr>
        <w:t>THAM GIA NHÓM HỌC CÔNG CHỨC 247</w:t>
      </w:r>
    </w:p>
    <w:p>
      <w:pPr>
        <w:spacing w:before="120" w:after="120"/>
        <w:jc w:val="center"/>
      </w:pPr>
      <w:r>
        <w:drawing>
          <wp:inline xmlns:a="http://schemas.openxmlformats.org/drawingml/2006/main" xmlns:pic="http://schemas.openxmlformats.org/drawingml/2006/picture">
            <wp:extent cx="2340000" cy="2340000"/>
            <wp:docPr id="2" name="Picture 2"/>
            <wp:cNvGraphicFramePr>
              <a:graphicFrameLocks noChangeAspect="1"/>
            </wp:cNvGraphicFramePr>
            <a:graphic>
              <a:graphicData uri="http://schemas.openxmlformats.org/drawingml/2006/picture">
                <pic:pic>
                  <pic:nvPicPr>
                    <pic:cNvPr id="0" name="qr.png"/>
                    <pic:cNvPicPr/>
                  </pic:nvPicPr>
                  <pic:blipFill>
                    <a:blip r:embed="rId12"/>
                    <a:stretch>
                      <a:fillRect/>
                    </a:stretch>
                  </pic:blipFill>
                  <pic:spPr>
                    <a:xfrm>
                      <a:off x="0" y="0"/>
                      <a:ext cx="2340000" cy="2340000"/>
                    </a:xfrm>
                    <a:prstGeom prst="rect"/>
                  </pic:spPr>
                </pic:pic>
              </a:graphicData>
            </a:graphic>
          </wp:inline>
        </w:drawing>
      </w:r>
    </w:p>
    <w:p>
      <w:pPr>
        <w:spacing w:before="80" w:after="40"/>
        <w:jc w:val="center"/>
      </w:pPr>
      <w:r>
        <w:rPr>
          <w:rFonts w:ascii="Times New Roman" w:hAnsi="Times New Roman" w:eastAsia="Times New Roman"/>
          <w:b/>
          <w:color w:val="1F3764"/>
          <w:sz w:val="28"/>
        </w:rPr>
        <w:t>Quét mã QR để đăng ký học Online cùng Thầy Tài Tân Tiến</w:t>
      </w:r>
    </w:p>
    <w:p>
      <w:pPr>
        <w:spacing w:before="0" w:after="120"/>
        <w:jc w:val="center"/>
      </w:pPr>
      <w:r>
        <w:rPr>
          <w:rFonts w:ascii="Times New Roman" w:hAnsi="Times New Roman" w:eastAsia="Times New Roman"/>
          <w:i/>
          <w:color w:val="E8632B"/>
        </w:rPr>
        <w:t>https://fb.com/congchuc247</w:t>
      </w:r>
    </w:p>
    <w:sectPr w:rsidR="00FC693F" w:rsidRPr="0006063C" w:rsidSect="00034616">
      <w:headerReference w:type="default" r:id="rId9"/>
      <w:footerReference w:type="default" r:id="rId10"/>
      <w:pgSz w:w="12240" w:h="15840"/>
      <w:pgMar w:top="1928" w:right="1134" w:bottom="1474" w:left="113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512000" cy="44969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512000" cy="44969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740113"/>
          <wp:docPr id="1" name="Picture 1"/>
          <wp:cNvGraphicFramePr>
            <a:graphicFrameLocks noChangeAspect="1"/>
          </wp:cNvGraphicFramePr>
          <a:graphic>
            <a:graphicData uri="http://schemas.openxmlformats.org/drawingml/2006/picture">
              <pic:pic>
                <pic:nvPicPr>
                  <pic:cNvPr id="0" name="banner17.png"/>
                  <pic:cNvPicPr/>
                </pic:nvPicPr>
                <pic:blipFill>
                  <a:blip r:embed="rId1"/>
                  <a:stretch>
                    <a:fillRect/>
                  </a:stretch>
                </pic:blipFill>
                <pic:spPr>
                  <a:xfrm>
                    <a:off x="0" y="0"/>
                    <a:ext cx="6120000" cy="740113"/>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