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CS 260 / CS 371 — Image Processing</w:t>
      </w:r>
    </w:p>
    <w:p>
      <w:pPr>
        <w:jc w:val="center"/>
      </w:pPr>
      <w:r>
        <w:rPr>
          <w:rFonts w:ascii="Times New Roman" w:hAnsi="Times New Roman"/>
          <w:i w:val="0"/>
          <w:sz w:val="22"/>
        </w:rPr>
        <w:t>Project 1 Report</w:t>
      </w:r>
    </w:p>
    <w:p>
      <w:pPr>
        <w:jc w:val="center"/>
      </w:pPr>
      <w:r>
        <w:rPr>
          <w:rFonts w:ascii="Times New Roman" w:hAnsi="Times New Roman"/>
          <w:i w:val="0"/>
          <w:sz w:val="22"/>
        </w:rPr>
        <w:t>Rows of Armenian Text in Stone Inscriptions</w:t>
      </w:r>
    </w:p>
    <w:p>
      <w:pPr>
        <w:jc w:val="center"/>
      </w:pPr>
      <w:r>
        <w:rPr>
          <w:rFonts w:ascii="Times New Roman" w:hAnsi="Times New Roman"/>
          <w:i w:val="0"/>
          <w:sz w:val="22"/>
        </w:rPr>
        <w:t>American University of Armenia — College of Science and Engineering</w:t>
      </w:r>
    </w:p>
    <w:p>
      <w:pPr>
        <w:jc w:val="center"/>
      </w:pPr>
      <w:r>
        <w:rPr>
          <w:rFonts w:ascii="Times New Roman" w:hAnsi="Times New Roman"/>
          <w:i/>
          <w:sz w:val="22"/>
        </w:rPr>
        <w:t>[Your Full Name]</w:t>
      </w:r>
    </w:p>
    <w:p>
      <w:pPr>
        <w:jc w:val="center"/>
      </w:pPr>
      <w:r>
        <w:rPr>
          <w:rFonts w:ascii="Times New Roman" w:hAnsi="Times New Roman"/>
          <w:i/>
          <w:sz w:val="22"/>
        </w:rPr>
        <w:t>Individual submission</w:t>
      </w:r>
    </w:p>
    <w:p>
      <w:pPr>
        <w:pStyle w:val="Heading1"/>
      </w:pPr>
      <w:r>
        <w:t>1. Introduction</w:t>
      </w:r>
    </w:p>
    <w:p>
      <w:pPr>
        <w:spacing w:after="120"/>
      </w:pPr>
      <w:r>
        <w:rPr>
          <w:rFonts w:ascii="Times New Roman" w:hAnsi="Times New Roman"/>
          <w:sz w:val="22"/>
        </w:rPr>
        <w:t>This project implements and analyzes the assigned ImageJ pipeline for detecting and enhancing Armenian inscriptions on stone monuments (tapanakars and khachkars). Because Armenian letterforms are dominated by vertical strokes, the pipeline emphasizes directional vertical-edge extraction, morphological cleaning, spectral bandpass filtering, skeletonization, and Hough-transform-based estimation of text-row positions.</w:t>
      </w:r>
    </w:p>
    <w:p>
      <w:pPr>
        <w:spacing w:after="120"/>
      </w:pPr>
      <w:r>
        <w:rPr>
          <w:rFonts w:ascii="Times New Roman" w:hAnsi="Times New Roman"/>
          <w:sz w:val="22"/>
        </w:rPr>
        <w:t>The report follows the official step numbering (Steps 0–16). Tasks 2–4 evaluate Steps 2, 5, and 10 by comparing final-stage outputs with each step included versus omitted. Task 5 discusses Bandpass parameters in Step 11. Task 6 proposes an algorithm for Step 16.</w:t>
      </w:r>
    </w:p>
    <w:p>
      <w:pPr>
        <w:spacing w:after="120"/>
      </w:pPr>
      <w:r>
        <w:rPr>
          <w:rFonts w:ascii="Times New Roman" w:hAnsi="Times New Roman"/>
          <w:sz w:val="22"/>
        </w:rPr>
        <w:t>Primary comparison figures use the skeletonized image S08 and the corresponding Hough accumulator (Hough of S08), because these stages summarize how earlier choices affect row-detection readiness. Source images and intermediate stages are retained in the project shared-drive folders.</w:t>
      </w:r>
    </w:p>
    <w:p>
      <w:pPr>
        <w:spacing w:after="120"/>
      </w:pPr>
      <w:r>
        <w:rPr>
          <w:rFonts w:ascii="Times New Roman" w:hAnsi="Times New Roman"/>
          <w:sz w:val="22"/>
        </w:rPr>
        <w:t>IMPORTANT: Replace [Your Full Name] above, and add the source URL(s) of your original monument photograph(s) here: [SOURCE LINK].</w:t>
      </w:r>
    </w:p>
    <w:p>
      <w:pPr>
        <w:pStyle w:val="Heading1"/>
      </w:pPr>
      <w:r>
        <w:t>2. Task 1 — Purpose of Each Pipeline Step (Official Steps 0–16)</w:t>
      </w:r>
    </w:p>
    <w:p>
      <w:pPr>
        <w:spacing w:after="120"/>
      </w:pPr>
      <w:r>
        <w:rPr>
          <w:rFonts w:ascii="Times New Roman" w:hAnsi="Times New Roman"/>
          <w:sz w:val="22"/>
        </w:rPr>
        <w:t>The following descriptions match the assignment menu commands and parameters.</w:t>
      </w:r>
    </w:p>
    <w:p>
      <w:r>
        <w:rPr>
          <w:rFonts w:ascii="Times New Roman" w:hAnsi="Times New Roman"/>
          <w:b/>
          <w:sz w:val="22"/>
        </w:rPr>
        <w:t xml:space="preserve">Step 0 — Selection. </w:t>
      </w:r>
      <w:r>
        <w:rPr>
          <w:rFonts w:ascii="Times New Roman" w:hAnsi="Times New Roman"/>
          <w:sz w:val="22"/>
        </w:rPr>
        <w:t>Select an image of a tombstone, khachkar, or other monument with Armenian inscriptions. Deliverables: original file and source link.</w:t>
      </w:r>
    </w:p>
    <w:p>
      <w:r>
        <w:rPr>
          <w:rFonts w:ascii="Times New Roman" w:hAnsi="Times New Roman"/>
          <w:b/>
          <w:sz w:val="22"/>
        </w:rPr>
        <w:t xml:space="preserve">Step 1 — Scale and grayscale (S00). </w:t>
      </w:r>
      <w:r>
        <w:rPr>
          <w:rFonts w:ascii="Times New Roman" w:hAnsi="Times New Roman"/>
          <w:sz w:val="22"/>
        </w:rPr>
        <w:t>Scale the image to width 400 pixels (Image → Scale…) and convert to 8-bit grayscale. Purpose: standardize resolution and reduce computation while preserving major structure.</w:t>
      </w:r>
    </w:p>
    <w:p>
      <w:r>
        <w:rPr>
          <w:rFonts w:ascii="Times New Roman" w:hAnsi="Times New Roman"/>
          <w:b/>
          <w:sz w:val="22"/>
        </w:rPr>
        <w:t xml:space="preserve">Step 2 — Mean filter. </w:t>
      </w:r>
      <w:r>
        <w:rPr>
          <w:rFonts w:ascii="Times New Roman" w:hAnsi="Times New Roman"/>
          <w:sz w:val="22"/>
        </w:rPr>
        <w:t>Apply Process → Filters → Mean… with radius 1.0 to S00. Purpose: suppress high-frequency stone-grain noise before derivative filtering. Trade-off: slight blurring of the finest strokes.</w:t>
      </w:r>
    </w:p>
    <w:p>
      <w:r>
        <w:rPr>
          <w:rFonts w:ascii="Times New Roman" w:hAnsi="Times New Roman"/>
          <w:b/>
          <w:sz w:val="22"/>
        </w:rPr>
        <w:t xml:space="preserve">Step 3 — Vertical kernel → S01. </w:t>
      </w:r>
      <w:r>
        <w:rPr>
          <w:rFonts w:ascii="Times New Roman" w:hAnsi="Times New Roman"/>
          <w:sz w:val="22"/>
        </w:rPr>
        <w:t>Duplicate S00 as S01 and convolve with the 3×3 kernel [1 0 −1; 2 0 −2; 1 0 −1]. Purpose: emphasize vertical boundaries (horizontal intensity gradients) consistent with Armenian vertical strokes.</w:t>
      </w:r>
    </w:p>
    <w:p>
      <w:r>
        <w:rPr>
          <w:rFonts w:ascii="Times New Roman" w:hAnsi="Times New Roman"/>
          <w:b/>
          <w:sz w:val="22"/>
        </w:rPr>
        <w:t xml:space="preserve">Step 4 — Opposite-polarity kernel → S02. </w:t>
      </w:r>
      <w:r>
        <w:rPr>
          <w:rFonts w:ascii="Times New Roman" w:hAnsi="Times New Roman"/>
          <w:sz w:val="22"/>
        </w:rPr>
        <w:t>Duplicate S00 as S02 and convolve with [−1 0 1; −2 0 2; −1 0 1]. Purpose: complementary vertical-edge response (sign-flipped kernel). This is not a horizontal-edge (Sobel-y) kernel; it captures the opposite polarity of the same directional family.</w:t>
      </w:r>
    </w:p>
    <w:p>
      <w:r>
        <w:rPr>
          <w:rFonts w:ascii="Times New Roman" w:hAnsi="Times New Roman"/>
          <w:b/>
          <w:sz w:val="22"/>
        </w:rPr>
        <w:t xml:space="preserve">Step 5 — Translation of S01 and S02. </w:t>
      </w:r>
      <w:r>
        <w:rPr>
          <w:rFonts w:ascii="Times New Roman" w:hAnsi="Times New Roman"/>
          <w:sz w:val="22"/>
        </w:rPr>
        <w:t>Translate S01 1 pixel right and S02 1 pixel left (Image → Transform → Translate…). Purpose: compensate the spatial offset of asymmetric 3×3 kernels before combination.</w:t>
      </w:r>
    </w:p>
    <w:p>
      <w:r>
        <w:rPr>
          <w:rFonts w:ascii="Times New Roman" w:hAnsi="Times New Roman"/>
          <w:b/>
          <w:sz w:val="22"/>
        </w:rPr>
        <w:t xml:space="preserve">Step 6 — Combine, invert, equalize, unsharp (Result of S01). </w:t>
      </w:r>
      <w:r>
        <w:rPr>
          <w:rFonts w:ascii="Times New Roman" w:hAnsi="Times New Roman"/>
          <w:sz w:val="22"/>
        </w:rPr>
        <w:t>Add S01 and S02 (Image Calculator), Invert, Enhance Contrast (Equalize histogram, saturated pixels = 0.00%), then Unsharp Mask (radius/σ = 10, weight = 0.60). Purpose: merge complementary gradients, present text as dark-on-light, stretch dynamic range, and sharpen edges.</w:t>
      </w:r>
    </w:p>
    <w:p>
      <w:r>
        <w:rPr>
          <w:rFonts w:ascii="Times New Roman" w:hAnsi="Times New Roman"/>
          <w:b/>
          <w:sz w:val="22"/>
        </w:rPr>
        <w:t xml:space="preserve">Step 7 — Threshold (Result of S02). </w:t>
      </w:r>
      <w:r>
        <w:rPr>
          <w:rFonts w:ascii="Times New Roman" w:hAnsi="Times New Roman"/>
          <w:sz w:val="22"/>
        </w:rPr>
        <w:t>Duplicate as Result of S02 and binarize with bottom = top = 0 (as specified). Purpose: isolate candidate stroke pixels.</w:t>
      </w:r>
    </w:p>
    <w:p>
      <w:r>
        <w:rPr>
          <w:rFonts w:ascii="Times New Roman" w:hAnsi="Times New Roman"/>
          <w:b/>
          <w:sz w:val="22"/>
        </w:rPr>
        <w:t xml:space="preserve">Step 8 — Horizontal dilation (Result of S03). </w:t>
      </w:r>
      <w:r>
        <w:rPr>
          <w:rFonts w:ascii="Times New Roman" w:hAnsi="Times New Roman"/>
          <w:sz w:val="22"/>
        </w:rPr>
        <w:t>Translate S03 1 px right and OR with Result of S02. Purpose: bridge small horizontal gaps inside characters.</w:t>
      </w:r>
    </w:p>
    <w:p>
      <w:r>
        <w:rPr>
          <w:rFonts w:ascii="Times New Roman" w:hAnsi="Times New Roman"/>
          <w:b/>
          <w:sz w:val="22"/>
        </w:rPr>
        <w:t xml:space="preserve">Step 9 — Vertical erosion (Result of S04). </w:t>
      </w:r>
      <w:r>
        <w:rPr>
          <w:rFonts w:ascii="Times New Roman" w:hAnsi="Times New Roman"/>
          <w:sz w:val="22"/>
        </w:rPr>
        <w:t>Translate S04 1 px down and AND with Result of S03. Purpose: trim spurious vertical thickness and noise.</w:t>
      </w:r>
    </w:p>
    <w:p>
      <w:r>
        <w:rPr>
          <w:rFonts w:ascii="Times New Roman" w:hAnsi="Times New Roman"/>
          <w:b/>
          <w:sz w:val="22"/>
        </w:rPr>
        <w:t xml:space="preserve">Step 10 — Median filter. </w:t>
      </w:r>
      <w:r>
        <w:rPr>
          <w:rFonts w:ascii="Times New Roman" w:hAnsi="Times New Roman"/>
          <w:sz w:val="22"/>
        </w:rPr>
        <w:t>Median filter, radius 1.0, on Result of S04. Purpose: remove salt-and-pepper binary noise while preserving major edges better than linear averaging.</w:t>
      </w:r>
    </w:p>
    <w:p>
      <w:r>
        <w:rPr>
          <w:rFonts w:ascii="Times New Roman" w:hAnsi="Times New Roman"/>
          <w:b/>
          <w:sz w:val="22"/>
        </w:rPr>
        <w:t xml:space="preserve">Step 11 — Bandpass filter (S05). </w:t>
      </w:r>
      <w:r>
        <w:rPr>
          <w:rFonts w:ascii="Times New Roman" w:hAnsi="Times New Roman"/>
          <w:sz w:val="22"/>
        </w:rPr>
        <w:t>FFT Bandpass Filter with large structures = 40 px and small structures = 10 px. Purpose: attenuate broad illumination/relief trends and fine speckles while retaining mid-scale letter features.</w:t>
      </w:r>
    </w:p>
    <w:p>
      <w:r>
        <w:rPr>
          <w:rFonts w:ascii="Times New Roman" w:hAnsi="Times New Roman"/>
          <w:b/>
          <w:sz w:val="22"/>
        </w:rPr>
        <w:t xml:space="preserve">Step 12 — Unsharp + equalize (S06). </w:t>
      </w:r>
      <w:r>
        <w:rPr>
          <w:rFonts w:ascii="Times New Roman" w:hAnsi="Times New Roman"/>
          <w:sz w:val="22"/>
        </w:rPr>
        <w:t>Unsharp Mask (10, 0.60) and equalize; record the Log-scale histogram of S06. Purpose: restore edge contrast after spectral filtering.</w:t>
      </w:r>
    </w:p>
    <w:p>
      <w:r>
        <w:rPr>
          <w:rFonts w:ascii="Times New Roman" w:hAnsi="Times New Roman"/>
          <w:b/>
          <w:sz w:val="22"/>
        </w:rPr>
        <w:t xml:space="preserve">Step 13 — Histogram-guided threshold (S07). </w:t>
      </w:r>
      <w:r>
        <w:rPr>
          <w:rFonts w:ascii="Times New Roman" w:hAnsi="Times New Roman"/>
          <w:sz w:val="22"/>
        </w:rPr>
        <w:t>Binarize S07 using the darkest intensity and the darkest gap in the S06 histogram. Purpose: produce a clean binary mask for skeletonization.</w:t>
      </w:r>
    </w:p>
    <w:p>
      <w:r>
        <w:rPr>
          <w:rFonts w:ascii="Times New Roman" w:hAnsi="Times New Roman"/>
          <w:b/>
          <w:sz w:val="22"/>
        </w:rPr>
        <w:t xml:space="preserve">Step 14 — Skeletonize (S08). </w:t>
      </w:r>
      <w:r>
        <w:rPr>
          <w:rFonts w:ascii="Times New Roman" w:hAnsi="Times New Roman"/>
          <w:sz w:val="22"/>
        </w:rPr>
        <w:t>Process → Binary → Skeletonize. Purpose: reduce strokes to one-pixel centerlines suitable for Hough voting.</w:t>
      </w:r>
    </w:p>
    <w:p>
      <w:r>
        <w:rPr>
          <w:rFonts w:ascii="Times New Roman" w:hAnsi="Times New Roman"/>
          <w:b/>
          <w:sz w:val="22"/>
        </w:rPr>
        <w:t xml:space="preserve">Step 15 — Hough transform. </w:t>
      </w:r>
      <w:r>
        <w:rPr>
          <w:rFonts w:ascii="Times New Roman" w:hAnsi="Times New Roman"/>
          <w:sz w:val="22"/>
        </w:rPr>
        <w:t>Apply Hough_Transform.java to S08, producing Hough of S08. Purpose: map points to (ρ, θ) curves; intersections vote for collinear text rows.</w:t>
      </w:r>
    </w:p>
    <w:p>
      <w:r>
        <w:rPr>
          <w:rFonts w:ascii="Times New Roman" w:hAnsi="Times New Roman"/>
          <w:b/>
          <w:sz w:val="22"/>
        </w:rPr>
        <w:t xml:space="preserve">Step 16 — Centroid extraction. </w:t>
      </w:r>
      <w:r>
        <w:rPr>
          <w:rFonts w:ascii="Times New Roman" w:hAnsi="Times New Roman"/>
          <w:sz w:val="22"/>
        </w:rPr>
        <w:t>Locate y-coordinates of centroids of prominent dark regions in Hough of S08 near the vertical middle axis. Purpose: estimate vertical positions of text rows.</w:t>
      </w:r>
    </w:p>
    <w:p>
      <w:pPr>
        <w:pStyle w:val="Heading1"/>
      </w:pPr>
      <w:r>
        <w:t>3. Task 2 — Importance of Step 2 (Mean Filter)</w:t>
      </w:r>
    </w:p>
    <w:p>
      <w:pPr>
        <w:spacing w:after="120"/>
      </w:pPr>
      <w:r>
        <w:rPr>
          <w:rFonts w:ascii="Times New Roman" w:hAnsi="Times New Roman"/>
          <w:sz w:val="22"/>
        </w:rPr>
        <w:t>Requirement: run the pipeline twice on the same photograph (with / without Step 2), then identify one image where including the Mean filter improves performance and another where omitting it is better.</w:t>
      </w:r>
    </w:p>
    <w:p>
      <w:pPr>
        <w:spacing w:after="120"/>
      </w:pPr>
      <w:r>
        <w:rPr>
          <w:rFonts w:ascii="Times New Roman" w:hAnsi="Times New Roman"/>
          <w:sz w:val="22"/>
        </w:rPr>
        <w:t>Submitted comparison outputs: s08-with2.jpg / s08-without2.jpg and the corresponding Hough accumulators.</w:t>
      </w:r>
    </w:p>
    <w:p>
      <w:pPr>
        <w:pStyle w:val="Heading2"/>
      </w:pPr>
      <w:r>
        <w:t>3.1 Experimental comparison (S08 and Hough)</w:t>
      </w:r>
    </w:p>
    <w:tbl>
      <w:tblPr>
        <w:tblW w:type="auto" w:w="0"/>
        <w:tblLayout w:type="autofit"/>
        <w:tblLook w:firstColumn="1" w:firstRow="1" w:lastColumn="0" w:lastRow="0" w:noHBand="0" w:noVBand="1" w:val="04A0"/>
      </w:tblPr>
      <w:tblGrid>
        <w:gridCol w:w="4873"/>
        <w:gridCol w:w="4873"/>
      </w:tblGrid>
      <w:tr>
        <w:tc>
          <w:tcPr>
            <w:tcW w:type="dxa" w:w="4873"/>
          </w:tcPr>
          <w:p>
            <w:pPr>
              <w:jc w:val="center"/>
            </w:pPr>
            <w:r>
              <w:drawing>
                <wp:inline xmlns:a="http://schemas.openxmlformats.org/drawingml/2006/main" xmlns:pic="http://schemas.openxmlformats.org/drawingml/2006/picture">
                  <wp:extent cx="2331720" cy="3509239"/>
                  <wp:docPr id="1" name="Picture 1"/>
                  <wp:cNvGraphicFramePr>
                    <a:graphicFrameLocks noChangeAspect="1"/>
                  </wp:cNvGraphicFramePr>
                  <a:graphic>
                    <a:graphicData uri="http://schemas.openxmlformats.org/drawingml/2006/picture">
                      <pic:pic>
                        <pic:nvPicPr>
                          <pic:cNvPr id="0" name="s08-with2.jpg"/>
                          <pic:cNvPicPr/>
                        </pic:nvPicPr>
                        <pic:blipFill>
                          <a:blip r:embed="rId9"/>
                          <a:stretch>
                            <a:fillRect/>
                          </a:stretch>
                        </pic:blipFill>
                        <pic:spPr>
                          <a:xfrm>
                            <a:off x="0" y="0"/>
                            <a:ext cx="2331720" cy="3509239"/>
                          </a:xfrm>
                          <a:prstGeom prst="rect"/>
                        </pic:spPr>
                      </pic:pic>
                    </a:graphicData>
                  </a:graphic>
                </wp:inline>
              </w:drawing>
            </w:r>
          </w:p>
        </w:tc>
        <w:tc>
          <w:tcPr>
            <w:tcW w:type="dxa" w:w="4873"/>
          </w:tcPr>
          <w:p>
            <w:pPr>
              <w:jc w:val="center"/>
            </w:pPr>
            <w:r>
              <w:drawing>
                <wp:inline xmlns:a="http://schemas.openxmlformats.org/drawingml/2006/main" xmlns:pic="http://schemas.openxmlformats.org/drawingml/2006/picture">
                  <wp:extent cx="2331720" cy="3509239"/>
                  <wp:docPr id="2" name="Picture 2"/>
                  <wp:cNvGraphicFramePr>
                    <a:graphicFrameLocks noChangeAspect="1"/>
                  </wp:cNvGraphicFramePr>
                  <a:graphic>
                    <a:graphicData uri="http://schemas.openxmlformats.org/drawingml/2006/picture">
                      <pic:pic>
                        <pic:nvPicPr>
                          <pic:cNvPr id="0" name="s08-without2.jpg"/>
                          <pic:cNvPicPr/>
                        </pic:nvPicPr>
                        <pic:blipFill>
                          <a:blip r:embed="rId10"/>
                          <a:stretch>
                            <a:fillRect/>
                          </a:stretch>
                        </pic:blipFill>
                        <pic:spPr>
                          <a:xfrm>
                            <a:off x="0" y="0"/>
                            <a:ext cx="2331720" cy="3509239"/>
                          </a:xfrm>
                          <a:prstGeom prst="rect"/>
                        </pic:spPr>
                      </pic:pic>
                    </a:graphicData>
                  </a:graphic>
                </wp:inline>
              </w:drawing>
            </w:r>
          </w:p>
        </w:tc>
      </w:tr>
      <w:tr>
        <w:tc>
          <w:tcPr>
            <w:tcW w:type="dxa" w:w="4873"/>
          </w:tcPr>
          <w:p>
            <w:pPr>
              <w:jc w:val="center"/>
            </w:pPr>
            <w:r>
              <w:rPr>
                <w:rFonts w:ascii="Times New Roman" w:hAnsi="Times New Roman"/>
                <w:i/>
                <w:sz w:val="16"/>
              </w:rPr>
              <w:t>Figure 1. S08 WITH Step 2 (Mean included). Denser skeleton; more residual short branches.</w:t>
            </w:r>
          </w:p>
        </w:tc>
        <w:tc>
          <w:tcPr>
            <w:tcW w:type="dxa" w:w="4873"/>
          </w:tcPr>
          <w:p>
            <w:pPr>
              <w:jc w:val="center"/>
            </w:pPr>
            <w:r>
              <w:rPr>
                <w:rFonts w:ascii="Times New Roman" w:hAnsi="Times New Roman"/>
                <w:i/>
                <w:sz w:val="16"/>
              </w:rPr>
              <w:t>Figure 2. S08 WITHOUT Step 2. Sparser skeleton; fewer fragments but also fewer connecting strokes.</w:t>
            </w:r>
          </w:p>
        </w:tc>
      </w:tr>
    </w:tbl>
    <w:p/>
    <w:tbl>
      <w:tblPr>
        <w:tblW w:type="auto" w:w="0"/>
        <w:tblLayout w:type="autofit"/>
        <w:tblLook w:firstColumn="1" w:firstRow="1" w:lastColumn="0" w:lastRow="0" w:noHBand="0" w:noVBand="1" w:val="04A0"/>
      </w:tblPr>
      <w:tblGrid>
        <w:gridCol w:w="4873"/>
        <w:gridCol w:w="4873"/>
      </w:tblGrid>
      <w:tr>
        <w:tc>
          <w:tcPr>
            <w:tcW w:type="dxa" w:w="4873"/>
          </w:tcPr>
          <w:p>
            <w:pPr>
              <w:jc w:val="center"/>
            </w:pPr>
            <w:r>
              <w:drawing>
                <wp:inline xmlns:a="http://schemas.openxmlformats.org/drawingml/2006/main" xmlns:pic="http://schemas.openxmlformats.org/drawingml/2006/picture">
                  <wp:extent cx="2331720" cy="4208755"/>
                  <wp:docPr id="3" name="Picture 3"/>
                  <wp:cNvGraphicFramePr>
                    <a:graphicFrameLocks noChangeAspect="1"/>
                  </wp:cNvGraphicFramePr>
                  <a:graphic>
                    <a:graphicData uri="http://schemas.openxmlformats.org/drawingml/2006/picture">
                      <pic:pic>
                        <pic:nvPicPr>
                          <pic:cNvPr id="0" name="Hough of s08-with2.jpg"/>
                          <pic:cNvPicPr/>
                        </pic:nvPicPr>
                        <pic:blipFill>
                          <a:blip r:embed="rId11"/>
                          <a:stretch>
                            <a:fillRect/>
                          </a:stretch>
                        </pic:blipFill>
                        <pic:spPr>
                          <a:xfrm>
                            <a:off x="0" y="0"/>
                            <a:ext cx="2331720" cy="4208755"/>
                          </a:xfrm>
                          <a:prstGeom prst="rect"/>
                        </pic:spPr>
                      </pic:pic>
                    </a:graphicData>
                  </a:graphic>
                </wp:inline>
              </w:drawing>
            </w:r>
          </w:p>
        </w:tc>
        <w:tc>
          <w:tcPr>
            <w:tcW w:type="dxa" w:w="4873"/>
          </w:tcPr>
          <w:p>
            <w:pPr>
              <w:jc w:val="center"/>
            </w:pPr>
            <w:r>
              <w:drawing>
                <wp:inline xmlns:a="http://schemas.openxmlformats.org/drawingml/2006/main" xmlns:pic="http://schemas.openxmlformats.org/drawingml/2006/picture">
                  <wp:extent cx="2331720" cy="4208755"/>
                  <wp:docPr id="4" name="Picture 4"/>
                  <wp:cNvGraphicFramePr>
                    <a:graphicFrameLocks noChangeAspect="1"/>
                  </wp:cNvGraphicFramePr>
                  <a:graphic>
                    <a:graphicData uri="http://schemas.openxmlformats.org/drawingml/2006/picture">
                      <pic:pic>
                        <pic:nvPicPr>
                          <pic:cNvPr id="0" name="Hough of s08-without-step2.jpg"/>
                          <pic:cNvPicPr/>
                        </pic:nvPicPr>
                        <pic:blipFill>
                          <a:blip r:embed="rId12"/>
                          <a:stretch>
                            <a:fillRect/>
                          </a:stretch>
                        </pic:blipFill>
                        <pic:spPr>
                          <a:xfrm>
                            <a:off x="0" y="0"/>
                            <a:ext cx="2331720" cy="4208755"/>
                          </a:xfrm>
                          <a:prstGeom prst="rect"/>
                        </pic:spPr>
                      </pic:pic>
                    </a:graphicData>
                  </a:graphic>
                </wp:inline>
              </w:drawing>
            </w:r>
          </w:p>
        </w:tc>
      </w:tr>
      <w:tr>
        <w:tc>
          <w:tcPr>
            <w:tcW w:type="dxa" w:w="4873"/>
          </w:tcPr>
          <w:p>
            <w:pPr>
              <w:jc w:val="center"/>
            </w:pPr>
            <w:r>
              <w:rPr>
                <w:rFonts w:ascii="Times New Roman" w:hAnsi="Times New Roman"/>
                <w:i/>
                <w:sz w:val="16"/>
              </w:rPr>
              <w:t>Figure 3. Hough of S08 WITH Step 2. Denser sinusoidal voting.</w:t>
            </w:r>
          </w:p>
        </w:tc>
        <w:tc>
          <w:tcPr>
            <w:tcW w:type="dxa" w:w="4873"/>
          </w:tcPr>
          <w:p>
            <w:pPr>
              <w:jc w:val="center"/>
            </w:pPr>
            <w:r>
              <w:rPr>
                <w:rFonts w:ascii="Times New Roman" w:hAnsi="Times New Roman"/>
                <w:i/>
                <w:sz w:val="16"/>
              </w:rPr>
              <w:t>Figure 4. Hough of S08 WITHOUT Step 2. Related but less densely filled accumulator.</w:t>
            </w:r>
          </w:p>
        </w:tc>
      </w:tr>
    </w:tbl>
    <w:p/>
    <w:p>
      <w:pPr>
        <w:pStyle w:val="Heading2"/>
      </w:pPr>
      <w:r>
        <w:t>3.2 Interpretation</w:t>
      </w:r>
    </w:p>
    <w:p>
      <w:pPr>
        <w:spacing w:after="120"/>
      </w:pPr>
      <w:r>
        <w:rPr>
          <w:rFonts w:ascii="Times New Roman" w:hAnsi="Times New Roman"/>
          <w:sz w:val="22"/>
        </w:rPr>
        <w:t>On the submitted pair, including the Mean filter yields a substantially denser S08 (roughly 2.4× more foreground pixels than the without-Step-2 result). Visually, WITH Step 2 preserves more structural centerlines, while WITHOUT Step 2 looks cleaner but more incomplete.</w:t>
      </w:r>
    </w:p>
    <w:p>
      <w:pPr>
        <w:spacing w:after="120"/>
      </w:pPr>
      <w:r>
        <w:rPr>
          <w:rFonts w:ascii="Times New Roman" w:hAnsi="Times New Roman"/>
          <w:sz w:val="22"/>
        </w:rPr>
        <w:t>When inclusion helps: weathered, coarse stone with strong micro-texture. Mild Mean smoothing (r = 1) reduces false high-frequency edges before the directional convolutions, so true vertical strokes survive thresholding and morphology more reliably. The denser WITH skeleton is consistent with this case.</w:t>
      </w:r>
    </w:p>
    <w:p>
      <w:pPr>
        <w:spacing w:after="120"/>
      </w:pPr>
      <w:r>
        <w:rPr>
          <w:rFonts w:ascii="Times New Roman" w:hAnsi="Times New Roman"/>
          <w:sz w:val="22"/>
        </w:rPr>
        <w:t>When omission helps: already clean, high-contrast engravings or synthetic graphics. Mean smoothing can erase thin stroke detail and merge nearby features. The cleaner WITHOUT skeleton shows that omitting Step 2 can reduce clutter when grain noise is not the main problem.</w:t>
      </w:r>
    </w:p>
    <w:p>
      <w:pPr>
        <w:spacing w:after="120"/>
      </w:pPr>
      <w:r>
        <w:rPr>
          <w:rFonts w:ascii="Times New Roman" w:hAnsi="Times New Roman"/>
          <w:sz w:val="22"/>
        </w:rPr>
        <w:t>Action for full Task 2 credit: insert a second source photograph with its own same-image WITH/WITHOUT pair that supports the opposite conclusion from your first pair. Label them clearly as Image A (Mean helps) and Image B (omitting Mean helps).</w:t>
      </w:r>
    </w:p>
    <w:p>
      <w:pPr>
        <w:pStyle w:val="Heading1"/>
      </w:pPr>
      <w:r>
        <w:t>4. Task 3 — Importance of Step 5 (Translation)</w:t>
      </w:r>
    </w:p>
    <w:p>
      <w:pPr>
        <w:spacing w:after="120"/>
      </w:pPr>
      <w:r>
        <w:rPr>
          <w:rFonts w:ascii="Times New Roman" w:hAnsi="Times New Roman"/>
          <w:sz w:val="22"/>
        </w:rPr>
        <w:t>Step 5 translates S01 by +1 pixel in x and S02 by −1 pixel in x before combination, correcting the phase offset of the asymmetric kernels from Steps 3–4.</w:t>
      </w:r>
    </w:p>
    <w:p>
      <w:pPr>
        <w:pStyle w:val="Heading2"/>
      </w:pPr>
      <w:r>
        <w:t>4.1 Experimental comparison</w:t>
      </w:r>
    </w:p>
    <w:tbl>
      <w:tblPr>
        <w:tblW w:type="auto" w:w="0"/>
        <w:tblLayout w:type="autofit"/>
        <w:tblLook w:firstColumn="1" w:firstRow="1" w:lastColumn="0" w:lastRow="0" w:noHBand="0" w:noVBand="1" w:val="04A0"/>
      </w:tblPr>
      <w:tblGrid>
        <w:gridCol w:w="4873"/>
        <w:gridCol w:w="4873"/>
      </w:tblGrid>
      <w:tr>
        <w:tc>
          <w:tcPr>
            <w:tcW w:type="dxa" w:w="4873"/>
          </w:tcPr>
          <w:p>
            <w:pPr>
              <w:jc w:val="center"/>
            </w:pPr>
            <w:r>
              <w:drawing>
                <wp:inline xmlns:a="http://schemas.openxmlformats.org/drawingml/2006/main" xmlns:pic="http://schemas.openxmlformats.org/drawingml/2006/picture">
                  <wp:extent cx="2331720" cy="3509239"/>
                  <wp:docPr id="5" name="Picture 5"/>
                  <wp:cNvGraphicFramePr>
                    <a:graphicFrameLocks noChangeAspect="1"/>
                  </wp:cNvGraphicFramePr>
                  <a:graphic>
                    <a:graphicData uri="http://schemas.openxmlformats.org/drawingml/2006/picture">
                      <pic:pic>
                        <pic:nvPicPr>
                          <pic:cNvPr id="0" name="s08-withstep5.jpg"/>
                          <pic:cNvPicPr/>
                        </pic:nvPicPr>
                        <pic:blipFill>
                          <a:blip r:embed="rId13"/>
                          <a:stretch>
                            <a:fillRect/>
                          </a:stretch>
                        </pic:blipFill>
                        <pic:spPr>
                          <a:xfrm>
                            <a:off x="0" y="0"/>
                            <a:ext cx="2331720" cy="3509239"/>
                          </a:xfrm>
                          <a:prstGeom prst="rect"/>
                        </pic:spPr>
                      </pic:pic>
                    </a:graphicData>
                  </a:graphic>
                </wp:inline>
              </w:drawing>
            </w:r>
          </w:p>
        </w:tc>
        <w:tc>
          <w:tcPr>
            <w:tcW w:type="dxa" w:w="4873"/>
          </w:tcPr>
          <w:p>
            <w:pPr>
              <w:jc w:val="center"/>
            </w:pPr>
            <w:r>
              <w:drawing>
                <wp:inline xmlns:a="http://schemas.openxmlformats.org/drawingml/2006/main" xmlns:pic="http://schemas.openxmlformats.org/drawingml/2006/picture">
                  <wp:extent cx="2331720" cy="3509239"/>
                  <wp:docPr id="6" name="Picture 6"/>
                  <wp:cNvGraphicFramePr>
                    <a:graphicFrameLocks noChangeAspect="1"/>
                  </wp:cNvGraphicFramePr>
                  <a:graphic>
                    <a:graphicData uri="http://schemas.openxmlformats.org/drawingml/2006/picture">
                      <pic:pic>
                        <pic:nvPicPr>
                          <pic:cNvPr id="0" name="s08-wothout5.jpg"/>
                          <pic:cNvPicPr/>
                        </pic:nvPicPr>
                        <pic:blipFill>
                          <a:blip r:embed="rId14"/>
                          <a:stretch>
                            <a:fillRect/>
                          </a:stretch>
                        </pic:blipFill>
                        <pic:spPr>
                          <a:xfrm>
                            <a:off x="0" y="0"/>
                            <a:ext cx="2331720" cy="3509239"/>
                          </a:xfrm>
                          <a:prstGeom prst="rect"/>
                        </pic:spPr>
                      </pic:pic>
                    </a:graphicData>
                  </a:graphic>
                </wp:inline>
              </w:drawing>
            </w:r>
          </w:p>
        </w:tc>
      </w:tr>
      <w:tr>
        <w:tc>
          <w:tcPr>
            <w:tcW w:type="dxa" w:w="4873"/>
          </w:tcPr>
          <w:p>
            <w:pPr>
              <w:jc w:val="center"/>
            </w:pPr>
            <w:r>
              <w:rPr>
                <w:rFonts w:ascii="Times New Roman" w:hAnsi="Times New Roman"/>
                <w:i/>
                <w:sz w:val="16"/>
              </w:rPr>
              <w:t>Figure 5. S08 WITH Step 5. Dense, coherent skeletal structure.</w:t>
            </w:r>
          </w:p>
        </w:tc>
        <w:tc>
          <w:tcPr>
            <w:tcW w:type="dxa" w:w="4873"/>
          </w:tcPr>
          <w:p>
            <w:pPr>
              <w:jc w:val="center"/>
            </w:pPr>
            <w:r>
              <w:rPr>
                <w:rFonts w:ascii="Times New Roman" w:hAnsi="Times New Roman"/>
                <w:i/>
                <w:sz w:val="16"/>
              </w:rPr>
              <w:t>Figure 6. S08 WITHOUT Step 5 (filename: wothout5). Much sparser / fragmented centerlines.</w:t>
            </w:r>
          </w:p>
        </w:tc>
      </w:tr>
    </w:tbl>
    <w:p/>
    <w:tbl>
      <w:tblPr>
        <w:tblW w:type="auto" w:w="0"/>
        <w:tblLayout w:type="autofit"/>
        <w:tblLook w:firstColumn="1" w:firstRow="1" w:lastColumn="0" w:lastRow="0" w:noHBand="0" w:noVBand="1" w:val="04A0"/>
      </w:tblPr>
      <w:tblGrid>
        <w:gridCol w:w="4873"/>
        <w:gridCol w:w="4873"/>
      </w:tblGrid>
      <w:tr>
        <w:tc>
          <w:tcPr>
            <w:tcW w:type="dxa" w:w="4873"/>
          </w:tcPr>
          <w:p>
            <w:pPr>
              <w:jc w:val="center"/>
            </w:pPr>
            <w:r>
              <w:drawing>
                <wp:inline xmlns:a="http://schemas.openxmlformats.org/drawingml/2006/main" xmlns:pic="http://schemas.openxmlformats.org/drawingml/2006/picture">
                  <wp:extent cx="2331720" cy="4208755"/>
                  <wp:docPr id="7" name="Picture 7"/>
                  <wp:cNvGraphicFramePr>
                    <a:graphicFrameLocks noChangeAspect="1"/>
                  </wp:cNvGraphicFramePr>
                  <a:graphic>
                    <a:graphicData uri="http://schemas.openxmlformats.org/drawingml/2006/picture">
                      <pic:pic>
                        <pic:nvPicPr>
                          <pic:cNvPr id="0" name="Hough of s08-withstep5.jpg"/>
                          <pic:cNvPicPr/>
                        </pic:nvPicPr>
                        <pic:blipFill>
                          <a:blip r:embed="rId15"/>
                          <a:stretch>
                            <a:fillRect/>
                          </a:stretch>
                        </pic:blipFill>
                        <pic:spPr>
                          <a:xfrm>
                            <a:off x="0" y="0"/>
                            <a:ext cx="2331720" cy="4208755"/>
                          </a:xfrm>
                          <a:prstGeom prst="rect"/>
                        </pic:spPr>
                      </pic:pic>
                    </a:graphicData>
                  </a:graphic>
                </wp:inline>
              </w:drawing>
            </w:r>
          </w:p>
        </w:tc>
        <w:tc>
          <w:tcPr>
            <w:tcW w:type="dxa" w:w="4873"/>
          </w:tcPr>
          <w:p>
            <w:pPr>
              <w:jc w:val="center"/>
            </w:pPr>
            <w:r>
              <w:drawing>
                <wp:inline xmlns:a="http://schemas.openxmlformats.org/drawingml/2006/main" xmlns:pic="http://schemas.openxmlformats.org/drawingml/2006/picture">
                  <wp:extent cx="2331720" cy="4208755"/>
                  <wp:docPr id="8" name="Picture 8"/>
                  <wp:cNvGraphicFramePr>
                    <a:graphicFrameLocks noChangeAspect="1"/>
                  </wp:cNvGraphicFramePr>
                  <a:graphic>
                    <a:graphicData uri="http://schemas.openxmlformats.org/drawingml/2006/picture">
                      <pic:pic>
                        <pic:nvPicPr>
                          <pic:cNvPr id="0" name="Hough of s08-without5.jpg"/>
                          <pic:cNvPicPr/>
                        </pic:nvPicPr>
                        <pic:blipFill>
                          <a:blip r:embed="rId16"/>
                          <a:stretch>
                            <a:fillRect/>
                          </a:stretch>
                        </pic:blipFill>
                        <pic:spPr>
                          <a:xfrm>
                            <a:off x="0" y="0"/>
                            <a:ext cx="2331720" cy="4208755"/>
                          </a:xfrm>
                          <a:prstGeom prst="rect"/>
                        </pic:spPr>
                      </pic:pic>
                    </a:graphicData>
                  </a:graphic>
                </wp:inline>
              </w:drawing>
            </w:r>
          </w:p>
        </w:tc>
      </w:tr>
      <w:tr>
        <w:tc>
          <w:tcPr>
            <w:tcW w:type="dxa" w:w="4873"/>
          </w:tcPr>
          <w:p>
            <w:pPr>
              <w:jc w:val="center"/>
            </w:pPr>
            <w:r>
              <w:rPr>
                <w:rFonts w:ascii="Times New Roman" w:hAnsi="Times New Roman"/>
                <w:i/>
                <w:sz w:val="16"/>
              </w:rPr>
              <w:t>Figure 7. Hough WITH Step 5 — stronger, more organized accumulator.</w:t>
            </w:r>
          </w:p>
        </w:tc>
        <w:tc>
          <w:tcPr>
            <w:tcW w:type="dxa" w:w="4873"/>
          </w:tcPr>
          <w:p>
            <w:pPr>
              <w:jc w:val="center"/>
            </w:pPr>
            <w:r>
              <w:rPr>
                <w:rFonts w:ascii="Times New Roman" w:hAnsi="Times New Roman"/>
                <w:i/>
                <w:sz w:val="16"/>
              </w:rPr>
              <w:t>Figure 8. Hough WITHOUT Step 5 — weaker / less structured voting.</w:t>
            </w:r>
          </w:p>
        </w:tc>
      </w:tr>
    </w:tbl>
    <w:p/>
    <w:p>
      <w:pPr>
        <w:pStyle w:val="Heading2"/>
      </w:pPr>
      <w:r>
        <w:t>4.2 Conclusion</w:t>
      </w:r>
    </w:p>
    <w:p>
      <w:pPr>
        <w:spacing w:after="120"/>
      </w:pPr>
      <w:r>
        <w:rPr>
          <w:rFonts w:ascii="Times New Roman" w:hAnsi="Times New Roman"/>
          <w:sz w:val="22"/>
        </w:rPr>
        <w:t>Without translation, opposite-polarity gradient maps are misaligned. After addition and later binarization, edges may cancel or double, producing broken strokes. In the submitted pair, including Step 5 yields a far denser S08 (about 2.7× more foreground pixels) and a stronger Hough accumulator. Step 5 is therefore critical for accurate edge localization on this experiment.</w:t>
      </w:r>
    </w:p>
    <w:p>
      <w:pPr>
        <w:spacing w:after="120"/>
      </w:pPr>
      <w:r>
        <w:rPr>
          <w:rFonts w:ascii="Times New Roman" w:hAnsi="Times New Roman"/>
          <w:sz w:val="22"/>
        </w:rPr>
        <w:t>Confirm that the WITH and WITHOUT runs use the identical original photograph. If a second image shows that omitting translation is less harmful (e.g., very clean synthetic text), include that pair for a Task-2-style completeness.</w:t>
      </w:r>
    </w:p>
    <w:p>
      <w:pPr>
        <w:pStyle w:val="Heading1"/>
      </w:pPr>
      <w:r>
        <w:t>5. Task 4 — Importance of Step 10 (Median Filter)</w:t>
      </w:r>
    </w:p>
    <w:p>
      <w:pPr>
        <w:spacing w:after="120"/>
      </w:pPr>
      <w:r>
        <w:rPr>
          <w:rFonts w:ascii="Times New Roman" w:hAnsi="Times New Roman"/>
          <w:sz w:val="22"/>
        </w:rPr>
        <w:t>Official Step 10 applies a Median filter (radius 1.0) to Result of S04. This is not the Bandpass step; Bandpass is Step 11. Median removes isolated salt-and-pepper pixels after morphology while preserving major edges better than a mean filter.</w:t>
      </w:r>
    </w:p>
    <w:p>
      <w:pPr>
        <w:pStyle w:val="Heading2"/>
      </w:pPr>
      <w:r>
        <w:t>5.1 Experimental comparison</w:t>
      </w:r>
    </w:p>
    <w:tbl>
      <w:tblPr>
        <w:tblW w:type="auto" w:w="0"/>
        <w:tblLayout w:type="autofit"/>
        <w:tblLook w:firstColumn="1" w:firstRow="1" w:lastColumn="0" w:lastRow="0" w:noHBand="0" w:noVBand="1" w:val="04A0"/>
      </w:tblPr>
      <w:tblGrid>
        <w:gridCol w:w="4873"/>
        <w:gridCol w:w="4873"/>
      </w:tblGrid>
      <w:tr>
        <w:tc>
          <w:tcPr>
            <w:tcW w:type="dxa" w:w="4873"/>
          </w:tcPr>
          <w:p>
            <w:pPr>
              <w:jc w:val="center"/>
            </w:pPr>
            <w:r>
              <w:drawing>
                <wp:inline xmlns:a="http://schemas.openxmlformats.org/drawingml/2006/main" xmlns:pic="http://schemas.openxmlformats.org/drawingml/2006/picture">
                  <wp:extent cx="2331720" cy="3509239"/>
                  <wp:docPr id="9" name="Picture 9"/>
                  <wp:cNvGraphicFramePr>
                    <a:graphicFrameLocks noChangeAspect="1"/>
                  </wp:cNvGraphicFramePr>
                  <a:graphic>
                    <a:graphicData uri="http://schemas.openxmlformats.org/drawingml/2006/picture">
                      <pic:pic>
                        <pic:nvPicPr>
                          <pic:cNvPr id="0" name="s08-withstep10.jpg"/>
                          <pic:cNvPicPr/>
                        </pic:nvPicPr>
                        <pic:blipFill>
                          <a:blip r:embed="rId17"/>
                          <a:stretch>
                            <a:fillRect/>
                          </a:stretch>
                        </pic:blipFill>
                        <pic:spPr>
                          <a:xfrm>
                            <a:off x="0" y="0"/>
                            <a:ext cx="2331720" cy="3509239"/>
                          </a:xfrm>
                          <a:prstGeom prst="rect"/>
                        </pic:spPr>
                      </pic:pic>
                    </a:graphicData>
                  </a:graphic>
                </wp:inline>
              </w:drawing>
            </w:r>
          </w:p>
        </w:tc>
        <w:tc>
          <w:tcPr>
            <w:tcW w:type="dxa" w:w="4873"/>
          </w:tcPr>
          <w:p>
            <w:pPr>
              <w:jc w:val="center"/>
            </w:pPr>
            <w:r>
              <w:drawing>
                <wp:inline xmlns:a="http://schemas.openxmlformats.org/drawingml/2006/main" xmlns:pic="http://schemas.openxmlformats.org/drawingml/2006/picture">
                  <wp:extent cx="2331720" cy="3509239"/>
                  <wp:docPr id="10" name="Picture 10"/>
                  <wp:cNvGraphicFramePr>
                    <a:graphicFrameLocks noChangeAspect="1"/>
                  </wp:cNvGraphicFramePr>
                  <a:graphic>
                    <a:graphicData uri="http://schemas.openxmlformats.org/drawingml/2006/picture">
                      <pic:pic>
                        <pic:nvPicPr>
                          <pic:cNvPr id="0" name="s08-withoutstep10.jpg"/>
                          <pic:cNvPicPr/>
                        </pic:nvPicPr>
                        <pic:blipFill>
                          <a:blip r:embed="rId18"/>
                          <a:stretch>
                            <a:fillRect/>
                          </a:stretch>
                        </pic:blipFill>
                        <pic:spPr>
                          <a:xfrm>
                            <a:off x="0" y="0"/>
                            <a:ext cx="2331720" cy="3509239"/>
                          </a:xfrm>
                          <a:prstGeom prst="rect"/>
                        </pic:spPr>
                      </pic:pic>
                    </a:graphicData>
                  </a:graphic>
                </wp:inline>
              </w:drawing>
            </w:r>
          </w:p>
        </w:tc>
      </w:tr>
      <w:tr>
        <w:tc>
          <w:tcPr>
            <w:tcW w:type="dxa" w:w="4873"/>
          </w:tcPr>
          <w:p>
            <w:pPr>
              <w:jc w:val="center"/>
            </w:pPr>
            <w:r>
              <w:rPr>
                <w:rFonts w:ascii="Times New Roman" w:hAnsi="Times New Roman"/>
                <w:i/>
                <w:sz w:val="16"/>
              </w:rPr>
              <w:t>Figure 9. S08 WITH Step 10 (Median included).</w:t>
            </w:r>
          </w:p>
        </w:tc>
        <w:tc>
          <w:tcPr>
            <w:tcW w:type="dxa" w:w="4873"/>
          </w:tcPr>
          <w:p>
            <w:pPr>
              <w:jc w:val="center"/>
            </w:pPr>
            <w:r>
              <w:rPr>
                <w:rFonts w:ascii="Times New Roman" w:hAnsi="Times New Roman"/>
                <w:i/>
                <w:sz w:val="16"/>
              </w:rPr>
              <w:t>Figure 10. S08 WITHOUT Step 10. Primary layout remains essentially the same.</w:t>
            </w:r>
          </w:p>
        </w:tc>
      </w:tr>
    </w:tbl>
    <w:p/>
    <w:tbl>
      <w:tblPr>
        <w:tblW w:type="auto" w:w="0"/>
        <w:tblLayout w:type="autofit"/>
        <w:tblLook w:firstColumn="1" w:firstRow="1" w:lastColumn="0" w:lastRow="0" w:noHBand="0" w:noVBand="1" w:val="04A0"/>
      </w:tblPr>
      <w:tblGrid>
        <w:gridCol w:w="4873"/>
        <w:gridCol w:w="4873"/>
      </w:tblGrid>
      <w:tr>
        <w:tc>
          <w:tcPr>
            <w:tcW w:type="dxa" w:w="4873"/>
          </w:tcPr>
          <w:p>
            <w:pPr>
              <w:jc w:val="center"/>
            </w:pPr>
            <w:r>
              <w:drawing>
                <wp:inline xmlns:a="http://schemas.openxmlformats.org/drawingml/2006/main" xmlns:pic="http://schemas.openxmlformats.org/drawingml/2006/picture">
                  <wp:extent cx="2331720" cy="4208755"/>
                  <wp:docPr id="11" name="Picture 11"/>
                  <wp:cNvGraphicFramePr>
                    <a:graphicFrameLocks noChangeAspect="1"/>
                  </wp:cNvGraphicFramePr>
                  <a:graphic>
                    <a:graphicData uri="http://schemas.openxmlformats.org/drawingml/2006/picture">
                      <pic:pic>
                        <pic:nvPicPr>
                          <pic:cNvPr id="0" name="Hough of s08-withstep10.jpg"/>
                          <pic:cNvPicPr/>
                        </pic:nvPicPr>
                        <pic:blipFill>
                          <a:blip r:embed="rId19"/>
                          <a:stretch>
                            <a:fillRect/>
                          </a:stretch>
                        </pic:blipFill>
                        <pic:spPr>
                          <a:xfrm>
                            <a:off x="0" y="0"/>
                            <a:ext cx="2331720" cy="4208755"/>
                          </a:xfrm>
                          <a:prstGeom prst="rect"/>
                        </pic:spPr>
                      </pic:pic>
                    </a:graphicData>
                  </a:graphic>
                </wp:inline>
              </w:drawing>
            </w:r>
          </w:p>
        </w:tc>
        <w:tc>
          <w:tcPr>
            <w:tcW w:type="dxa" w:w="4873"/>
          </w:tcPr>
          <w:p>
            <w:pPr>
              <w:jc w:val="center"/>
            </w:pPr>
            <w:r>
              <w:drawing>
                <wp:inline xmlns:a="http://schemas.openxmlformats.org/drawingml/2006/main" xmlns:pic="http://schemas.openxmlformats.org/drawingml/2006/picture">
                  <wp:extent cx="2331720" cy="4208755"/>
                  <wp:docPr id="12" name="Picture 12"/>
                  <wp:cNvGraphicFramePr>
                    <a:graphicFrameLocks noChangeAspect="1"/>
                  </wp:cNvGraphicFramePr>
                  <a:graphic>
                    <a:graphicData uri="http://schemas.openxmlformats.org/drawingml/2006/picture">
                      <pic:pic>
                        <pic:nvPicPr>
                          <pic:cNvPr id="0" name="Hough of s08-withoutstep10.jpg"/>
                          <pic:cNvPicPr/>
                        </pic:nvPicPr>
                        <pic:blipFill>
                          <a:blip r:embed="rId20"/>
                          <a:stretch>
                            <a:fillRect/>
                          </a:stretch>
                        </pic:blipFill>
                        <pic:spPr>
                          <a:xfrm>
                            <a:off x="0" y="0"/>
                            <a:ext cx="2331720" cy="4208755"/>
                          </a:xfrm>
                          <a:prstGeom prst="rect"/>
                        </pic:spPr>
                      </pic:pic>
                    </a:graphicData>
                  </a:graphic>
                </wp:inline>
              </w:drawing>
            </w:r>
          </w:p>
        </w:tc>
      </w:tr>
      <w:tr>
        <w:tc>
          <w:tcPr>
            <w:tcW w:type="dxa" w:w="4873"/>
          </w:tcPr>
          <w:p>
            <w:pPr>
              <w:jc w:val="center"/>
            </w:pPr>
            <w:r>
              <w:rPr>
                <w:rFonts w:ascii="Times New Roman" w:hAnsi="Times New Roman"/>
                <w:i/>
                <w:sz w:val="16"/>
              </w:rPr>
              <w:t>Figure 11. Hough WITH Step 10.</w:t>
            </w:r>
          </w:p>
        </w:tc>
        <w:tc>
          <w:tcPr>
            <w:tcW w:type="dxa" w:w="4873"/>
          </w:tcPr>
          <w:p>
            <w:pPr>
              <w:jc w:val="center"/>
            </w:pPr>
            <w:r>
              <w:rPr>
                <w:rFonts w:ascii="Times New Roman" w:hAnsi="Times New Roman"/>
                <w:i/>
                <w:sz w:val="16"/>
              </w:rPr>
              <w:t>Figure 12. Hough WITHOUT Step 10 — highly similar accumulator structure.</w:t>
            </w:r>
          </w:p>
        </w:tc>
      </w:tr>
    </w:tbl>
    <w:p/>
    <w:p>
      <w:pPr>
        <w:pStyle w:val="Heading2"/>
      </w:pPr>
      <w:r>
        <w:t>5.2 Conclusion</w:t>
      </w:r>
    </w:p>
    <w:p>
      <w:pPr>
        <w:spacing w:after="120"/>
      </w:pPr>
      <w:r>
        <w:rPr>
          <w:rFonts w:ascii="Times New Roman" w:hAnsi="Times New Roman"/>
          <w:sz w:val="22"/>
        </w:rPr>
        <w:t>For the submitted pair, WITH and WITHOUT Median produce nearly identical S08 results (foreground counts differ only by about 2%) and very similar Hough patterns. Earlier morphology (Steps 8–9) and later Bandpass/thresholding already suppress much of the isolated noise that Median would remove. Practical impact of Step 10 is therefore minor on this image, although Median remains a cheap and theoretically justified binary cleanup before spectral filtering, especially when Result of S04 still contains salt-and-pepper spikes.</w:t>
      </w:r>
    </w:p>
    <w:p>
      <w:pPr>
        <w:pStyle w:val="Heading1"/>
      </w:pPr>
      <w:r>
        <w:t>6. Task 5 — Bandpass Parameters (Step 11)</w:t>
      </w:r>
    </w:p>
    <w:p>
      <w:pPr>
        <w:spacing w:after="120"/>
      </w:pPr>
      <w:r>
        <w:rPr>
          <w:rFonts w:ascii="Times New Roman" w:hAnsi="Times New Roman"/>
          <w:sz w:val="22"/>
        </w:rPr>
        <w:t>Step 11 uses Process → FFT → Bandpass Filter with defaults large structures = 40 pixels and small structures = 10 pixels. The large-structure setting controls how much broad illumination and large relief are suppressed. The small-structure setting controls removal of fine grain and speckles. The assignment emphasizes studying especially the small-structure size.</w:t>
      </w:r>
    </w:p>
    <w:p>
      <w:pPr>
        <w:spacing w:after="120"/>
      </w:pPr>
      <w:r>
        <w:rPr>
          <w:rFonts w:ascii="Times New Roman" w:hAnsi="Times New Roman"/>
          <w:sz w:val="22"/>
        </w:rPr>
        <w:t>Expected behaviour:</w:t>
      </w:r>
    </w:p>
    <w:p>
      <w:pPr>
        <w:pStyle w:val="ListBullet"/>
      </w:pPr>
      <w:r>
        <w:rPr>
          <w:rFonts w:ascii="Times New Roman" w:hAnsi="Times New Roman"/>
          <w:sz w:val="22"/>
        </w:rPr>
        <w:t>Larger “large structures” values (e.g. 80) keep more uneven background shading, which can hurt clean thresholding at Step 13.</w:t>
      </w:r>
    </w:p>
    <w:p>
      <w:pPr>
        <w:pStyle w:val="ListBullet"/>
      </w:pPr>
      <w:r>
        <w:rPr>
          <w:rFonts w:ascii="Times New Roman" w:hAnsi="Times New Roman"/>
          <w:sz w:val="22"/>
        </w:rPr>
        <w:t>Smaller “small structures” values (e.g. 3–5) retain more stone micro-texture, producing noisier S07/S08 and more spurious Hough votes.</w:t>
      </w:r>
    </w:p>
    <w:p>
      <w:pPr>
        <w:pStyle w:val="ListBullet"/>
      </w:pPr>
      <w:r>
        <w:rPr>
          <w:rFonts w:ascii="Times New Roman" w:hAnsi="Times New Roman"/>
          <w:sz w:val="22"/>
        </w:rPr>
        <w:t>Defaults 40 / 10 are a mid-scale compromise for letter-sized features on width-400 images.</w:t>
      </w:r>
    </w:p>
    <w:p>
      <w:pPr>
        <w:spacing w:after="120"/>
      </w:pPr>
      <w:r>
        <w:rPr>
          <w:rFonts w:ascii="Times New Roman" w:hAnsi="Times New Roman"/>
          <w:sz w:val="22"/>
        </w:rPr>
        <w:t>INSERT FIGURES HERE — recommended grid (same source image for all):</w:t>
      </w:r>
    </w:p>
    <w:p>
      <w:pPr>
        <w:pStyle w:val="ListBullet"/>
      </w:pPr>
      <w:r>
        <w:rPr>
          <w:rFonts w:ascii="Times New Roman" w:hAnsi="Times New Roman"/>
          <w:sz w:val="22"/>
        </w:rPr>
        <w:t>small ∈ {3, 5, 10, 15} with large = 40 → show S06 or S08 for each</w:t>
      </w:r>
    </w:p>
    <w:p>
      <w:pPr>
        <w:pStyle w:val="ListBullet"/>
      </w:pPr>
      <w:r>
        <w:rPr>
          <w:rFonts w:ascii="Times New Roman" w:hAnsi="Times New Roman"/>
          <w:sz w:val="22"/>
        </w:rPr>
        <w:t>large ∈ {20, 40, 80} with small = 10 → show S06 or S08 for each</w:t>
      </w:r>
    </w:p>
    <w:p>
      <w:pPr>
        <w:spacing w:after="120"/>
      </w:pPr>
      <w:r>
        <w:rPr>
          <w:rFonts w:ascii="Times New Roman" w:hAnsi="Times New Roman"/>
          <w:sz w:val="22"/>
        </w:rPr>
        <w:t>After inserting those figures, write 3–5 sentences comparing which setting best isolates character-scale strokes for your monument image. Send those Bandpass result images if you want this section completed with captions matching your exact outputs.</w:t>
      </w:r>
    </w:p>
    <w:p>
      <w:pPr>
        <w:pStyle w:val="Heading1"/>
      </w:pPr>
      <w:r>
        <w:t>7. Task 6 — Proposed Algorithm for Step 16</w:t>
      </w:r>
    </w:p>
    <w:p>
      <w:pPr>
        <w:spacing w:after="120"/>
      </w:pPr>
      <w:r>
        <w:rPr>
          <w:rFonts w:ascii="Times New Roman" w:hAnsi="Times New Roman"/>
          <w:sz w:val="22"/>
        </w:rPr>
        <w:t>Goal: locate the y-coordinates of the centroids of all prominent dark regions in Hough of S08 that lie close to the vertical middle axis.</w:t>
      </w:r>
    </w:p>
    <w:p>
      <w:pPr>
        <w:pStyle w:val="Heading2"/>
      </w:pPr>
      <w:r>
        <w:t>7.1 Procedure</w:t>
      </w:r>
    </w:p>
    <w:p>
      <w:pPr>
        <w:pStyle w:val="ListBullet"/>
      </w:pPr>
      <w:r>
        <w:rPr>
          <w:rFonts w:ascii="Times New Roman" w:hAnsi="Times New Roman"/>
          <w:sz w:val="22"/>
        </w:rPr>
        <w:t>Input: grayscale Hough of S08.</w:t>
      </w:r>
    </w:p>
    <w:p>
      <w:pPr>
        <w:pStyle w:val="ListBullet"/>
      </w:pPr>
      <w:r>
        <w:rPr>
          <w:rFonts w:ascii="Times New Roman" w:hAnsi="Times New Roman"/>
          <w:sz w:val="22"/>
        </w:rPr>
        <w:t>ROI: crop a vertical strip around the horizontal center of the accumulator (about 10–25% of image width), because row peaks appear near the vertical middle axis.</w:t>
      </w:r>
    </w:p>
    <w:p>
      <w:pPr>
        <w:pStyle w:val="ListBullet"/>
      </w:pPr>
      <w:r>
        <w:rPr>
          <w:rFonts w:ascii="Times New Roman" w:hAnsi="Times New Roman"/>
          <w:sz w:val="22"/>
        </w:rPr>
        <w:t>Threshold for dark peaks (assignment polarity): keep dark blobs via a darkness threshold / percentile, or invert then apply Otsu if implementation is easier on bright peaks.</w:t>
      </w:r>
    </w:p>
    <w:p>
      <w:pPr>
        <w:pStyle w:val="ListBullet"/>
      </w:pPr>
      <w:r>
        <w:rPr>
          <w:rFonts w:ascii="Times New Roman" w:hAnsi="Times New Roman"/>
          <w:sz w:val="22"/>
        </w:rPr>
        <w:t>Connected-component labeling on the binary ROI.</w:t>
      </w:r>
    </w:p>
    <w:p>
      <w:pPr>
        <w:pStyle w:val="ListBullet"/>
      </w:pPr>
      <w:r>
        <w:rPr>
          <w:rFonts w:ascii="Times New Roman" w:hAnsi="Times New Roman"/>
          <w:sz w:val="22"/>
        </w:rPr>
        <w:t>For each component with area ≥ A_min, compute the intensity-weighted centroid y_c = Σ y·I(x,y) / Σ I(x,y) (weight by darkness if peaks are dark).</w:t>
      </w:r>
    </w:p>
    <w:p>
      <w:pPr>
        <w:pStyle w:val="ListBullet"/>
      </w:pPr>
      <w:r>
        <w:rPr>
          <w:rFonts w:ascii="Times New Roman" w:hAnsi="Times New Roman"/>
          <w:sz w:val="22"/>
        </w:rPr>
        <w:t>Discard components too far from the middle axis; sort remaining y_c ascending → estimated text-row positions.</w:t>
      </w:r>
    </w:p>
    <w:p>
      <w:pPr>
        <w:pStyle w:val="Heading2"/>
      </w:pPr>
      <w:r>
        <w:t>7.2 Pseudocode</w:t>
      </w:r>
    </w:p>
    <w:p>
      <w:r>
        <w:rPr>
          <w:rFonts w:ascii="Courier New" w:hAnsi="Courier New"/>
          <w:sz w:val="18"/>
        </w:rPr>
        <w:t>function extractRowYs(hough):</w:t>
        <w:br/>
        <w:t xml:space="preserve">    w, h = hough.width, hough.height</w:t>
        <w:br/>
        <w:t xml:space="preserve">    x0 = w/2 - w/8;  x1 = w/2 + w/8</w:t>
        <w:br/>
        <w:t xml:space="preserve">    roi = crop(hough, x0, 0, x1, h)</w:t>
        <w:br/>
        <w:t xml:space="preserve">    bin = thresholdDark(roi)              # peaks are dark in this plugin output</w:t>
        <w:br/>
        <w:t xml:space="preserve">    comps = connectedComponents(bin)</w:t>
        <w:br/>
        <w:t xml:space="preserve">    ys = []</w:t>
        <w:br/>
        <w:t xml:space="preserve">    for C in comps:</w:t>
        <w:br/>
        <w:t xml:space="preserve">        if area(C) &lt; Amin: continue</w:t>
        <w:br/>
        <w:t xml:space="preserve">        ys.append(weightedCentroidY(C, roi))</w:t>
        <w:br/>
        <w:t xml:space="preserve">    return sort(ys)</w:t>
      </w:r>
    </w:p>
    <w:p>
      <w:pPr>
        <w:pStyle w:val="Heading2"/>
      </w:pPr>
      <w:r>
        <w:t>7.3 Assumptions and limitations</w:t>
      </w:r>
    </w:p>
    <w:p>
      <w:pPr>
        <w:spacing w:after="120"/>
      </w:pPr>
      <w:r>
        <w:rPr>
          <w:rFonts w:ascii="Times New Roman" w:hAnsi="Times New Roman"/>
          <w:sz w:val="22"/>
        </w:rPr>
        <w:t>Assumptions: text rows are approximately straight and produce dominant accumulator peaks near the middle axis; decorative non-text lines are weaker voters. Limitations: curved or heavily broken rows, strong ornamental lines, and weak inscriptions can create false or missing centroids; A_min and strip width require tuning per image.</w:t>
      </w:r>
    </w:p>
    <w:p>
      <w:pPr>
        <w:pStyle w:val="Heading1"/>
      </w:pPr>
      <w:r>
        <w:t>8. Difficulties, Assumptions, and Simplifications</w:t>
      </w:r>
    </w:p>
    <w:p>
      <w:pPr>
        <w:spacing w:after="120"/>
      </w:pPr>
      <w:r>
        <w:rPr>
          <w:rFonts w:ascii="Times New Roman" w:hAnsi="Times New Roman"/>
          <w:sz w:val="22"/>
        </w:rPr>
        <w:t>Weathering and uneven lighting make global thresholding brittle. The directional kernels assume dominant vertical strokes. Skeletonization on textured stone creates spurs. Hough row detection assumes near-straight rows. Simplification: assignment default parameters were used except when a task required ablating a specific step.</w:t>
      </w:r>
    </w:p>
    <w:p>
      <w:pPr>
        <w:pStyle w:val="Heading1"/>
      </w:pPr>
      <w:r>
        <w:t>9. Conclusion</w:t>
      </w:r>
    </w:p>
    <w:p>
      <w:pPr>
        <w:spacing w:after="120"/>
      </w:pPr>
      <w:r>
        <w:rPr>
          <w:rFonts w:ascii="Times New Roman" w:hAnsi="Times New Roman"/>
          <w:sz w:val="22"/>
        </w:rPr>
        <w:t>The pipeline converts degraded inscription photographs into skeletal centerlines and Hough accumulators suitable for estimating text-row positions. On the submitted experiments, Step 5 (translation) has a large effect on S08/Hough quality; Step 2 (Mean) changes the density-versus-clutter trade-off; and Step 10 (Median) has only a minor effect on the final pair. Completing Task 2’s second opposite-case image and Task 5’s Bandpass parameter figures will fully close the experimental requirements.</w:t>
      </w:r>
    </w:p>
    <w:p>
      <w:pPr>
        <w:pStyle w:val="Heading1"/>
      </w:pPr>
      <w:r>
        <w:t>10. References</w:t>
      </w:r>
    </w:p>
    <w:p>
      <w:pPr>
        <w:pStyle w:val="ListBullet"/>
      </w:pPr>
      <w:r>
        <w:rPr>
          <w:rFonts w:ascii="Times New Roman" w:hAnsi="Times New Roman"/>
          <w:sz w:val="22"/>
        </w:rPr>
        <w:t>W. Burger, M. J. Burge. Digital Image Processing: An Algorithmic Introduction using Java, 2nd ed., Springer, 2016.</w:t>
      </w:r>
    </w:p>
    <w:p>
      <w:pPr>
        <w:pStyle w:val="ListBullet"/>
      </w:pPr>
      <w:r>
        <w:rPr>
          <w:rFonts w:ascii="Times New Roman" w:hAnsi="Times New Roman"/>
          <w:sz w:val="22"/>
        </w:rPr>
        <w:t>American University of Armenia, CS 260 / CS 371 Image Processing, Project 1 Assignment (2026).</w:t>
      </w:r>
    </w:p>
    <w:p>
      <w:pPr>
        <w:pStyle w:val="Heading1"/>
      </w:pPr>
      <w:r>
        <w:t>Appendix — File mapping used in this report</w:t>
      </w:r>
    </w:p>
    <w:p>
      <w:pPr>
        <w:pStyle w:val="ListBullet"/>
      </w:pPr>
      <w:r>
        <w:rPr>
          <w:rFonts w:ascii="Times New Roman" w:hAnsi="Times New Roman"/>
          <w:sz w:val="22"/>
        </w:rPr>
        <w:t>Task 2: s08-with2.jpg, s08-without2.jpg, Hough of s08-with2.jpg, Hough of s08-without-step2.jpg</w:t>
      </w:r>
    </w:p>
    <w:p>
      <w:pPr>
        <w:pStyle w:val="ListBullet"/>
      </w:pPr>
      <w:r>
        <w:rPr>
          <w:rFonts w:ascii="Times New Roman" w:hAnsi="Times New Roman"/>
          <w:sz w:val="22"/>
        </w:rPr>
        <w:t>Task 3: s08-withstep5.jpg, s08-wothout5.jpg, Hough of s08-withstep5.jpg, Hough of s08-without5.jpg</w:t>
      </w:r>
    </w:p>
    <w:p>
      <w:pPr>
        <w:pStyle w:val="ListBullet"/>
      </w:pPr>
      <w:r>
        <w:rPr>
          <w:rFonts w:ascii="Times New Roman" w:hAnsi="Times New Roman"/>
          <w:sz w:val="22"/>
        </w:rPr>
        <w:t>Task 4: s08-withstep10.jpg, s08-withoutstep10.jpg, Hough of s08-withstep10.jpg, Hough of s08-withoutstep10.jpg</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