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CHUYỂN ĐỔI ERD SANG MÔ HÌNH QUAN HỆ</w:t>
      </w:r>
    </w:p>
    <w:p>
      <w:pPr>
        <w:jc w:val="center"/>
      </w:pPr>
      <w:r>
        <w:rPr>
          <w:i/>
        </w:rPr>
        <w:t>Môn học: Cơ sở dữ liệu</w:t>
      </w:r>
    </w:p>
    <w:p>
      <w:pPr>
        <w:pStyle w:val="Heading1"/>
      </w:pPr>
      <w:r>
        <w:t>1. Xác định các thực thể</w:t>
      </w:r>
    </w:p>
    <w:p>
      <w:r>
        <w:t>Từ mô hình ERD, xác định được các thực thể sau:</w:t>
      </w:r>
    </w:p>
    <w:p>
      <w:pPr>
        <w:pStyle w:val="ListNumber"/>
      </w:pPr>
      <w:r>
        <w:t>PHIEUXUAT: lưu thông tin phiếu xuất vật tư.</w:t>
      </w:r>
    </w:p>
    <w:p>
      <w:pPr>
        <w:pStyle w:val="ListNumber"/>
      </w:pPr>
      <w:r>
        <w:t>VATTU: lưu thông tin vật tư.</w:t>
      </w:r>
    </w:p>
    <w:p>
      <w:pPr>
        <w:pStyle w:val="ListNumber"/>
      </w:pPr>
      <w:r>
        <w:t>PHIEUNHAP: lưu thông tin phiếu nhập vật tư.</w:t>
      </w:r>
    </w:p>
    <w:p>
      <w:pPr>
        <w:pStyle w:val="ListNumber"/>
      </w:pPr>
      <w:r>
        <w:t>DONDH: lưu thông tin đơn đặt hàng.</w:t>
      </w:r>
    </w:p>
    <w:p>
      <w:pPr>
        <w:pStyle w:val="ListNumber"/>
      </w:pPr>
      <w:r>
        <w:t>NHACC: lưu thông tin nhà cung cấp.</w:t>
      </w:r>
    </w:p>
    <w:p>
      <w:pPr>
        <w:pStyle w:val="Heading1"/>
      </w:pPr>
      <w:r>
        <w:t>2. Xác định các mối quan hệ</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Các thực thể</w:t>
            </w:r>
          </w:p>
        </w:tc>
        <w:tc>
          <w:tcPr>
            <w:tcW w:type="dxa" w:w="3312"/>
            <w:vAlign w:val="center"/>
          </w:tcPr>
          <w:p>
            <w:r>
              <w:t>Loại quan hệ</w:t>
            </w:r>
          </w:p>
        </w:tc>
        <w:tc>
          <w:tcPr>
            <w:tcW w:type="dxa" w:w="3312"/>
            <w:vAlign w:val="center"/>
          </w:tcPr>
          <w:p>
            <w:r>
              <w:t>Cách chuyển đổi</w:t>
            </w:r>
          </w:p>
        </w:tc>
      </w:tr>
      <w:tr>
        <w:tc>
          <w:tcPr>
            <w:tcW w:type="dxa" w:w="3312"/>
            <w:vAlign w:val="center"/>
          </w:tcPr>
          <w:p>
            <w:r>
              <w:t>PHIEUXUAT – VATTU</w:t>
            </w:r>
          </w:p>
        </w:tc>
        <w:tc>
          <w:tcPr>
            <w:tcW w:type="dxa" w:w="3312"/>
            <w:vAlign w:val="center"/>
          </w:tcPr>
          <w:p>
            <w:r>
              <w:t>N–N</w:t>
            </w:r>
          </w:p>
        </w:tc>
        <w:tc>
          <w:tcPr>
            <w:tcW w:type="dxa" w:w="3312"/>
            <w:vAlign w:val="center"/>
          </w:tcPr>
          <w:p>
            <w:r>
              <w:t>Tạo bảng trung gian CHITIETPHIEUXUAT.</w:t>
            </w:r>
          </w:p>
        </w:tc>
      </w:tr>
      <w:tr>
        <w:tc>
          <w:tcPr>
            <w:tcW w:type="dxa" w:w="3312"/>
            <w:vAlign w:val="center"/>
          </w:tcPr>
          <w:p>
            <w:r>
              <w:t>VATTU – PHIEUNHAP</w:t>
            </w:r>
          </w:p>
        </w:tc>
        <w:tc>
          <w:tcPr>
            <w:tcW w:type="dxa" w:w="3312"/>
            <w:vAlign w:val="center"/>
          </w:tcPr>
          <w:p>
            <w:r>
              <w:t>N–N</w:t>
            </w:r>
          </w:p>
        </w:tc>
        <w:tc>
          <w:tcPr>
            <w:tcW w:type="dxa" w:w="3312"/>
            <w:vAlign w:val="center"/>
          </w:tcPr>
          <w:p>
            <w:r>
              <w:t>Tạo bảng trung gian CHITIETPHIEUNHAP.</w:t>
            </w:r>
          </w:p>
        </w:tc>
      </w:tr>
      <w:tr>
        <w:tc>
          <w:tcPr>
            <w:tcW w:type="dxa" w:w="3312"/>
            <w:vAlign w:val="center"/>
          </w:tcPr>
          <w:p>
            <w:r>
              <w:t>VATTU – DONDH</w:t>
            </w:r>
          </w:p>
        </w:tc>
        <w:tc>
          <w:tcPr>
            <w:tcW w:type="dxa" w:w="3312"/>
            <w:vAlign w:val="center"/>
          </w:tcPr>
          <w:p>
            <w:r>
              <w:t>N–N</w:t>
            </w:r>
          </w:p>
        </w:tc>
        <w:tc>
          <w:tcPr>
            <w:tcW w:type="dxa" w:w="3312"/>
            <w:vAlign w:val="center"/>
          </w:tcPr>
          <w:p>
            <w:r>
              <w:t>Tạo bảng trung gian CHITIETDONDH.</w:t>
            </w:r>
          </w:p>
        </w:tc>
      </w:tr>
      <w:tr>
        <w:tc>
          <w:tcPr>
            <w:tcW w:type="dxa" w:w="3312"/>
            <w:vAlign w:val="center"/>
          </w:tcPr>
          <w:p>
            <w:r>
              <w:t>DONDH – NHACC</w:t>
            </w:r>
          </w:p>
        </w:tc>
        <w:tc>
          <w:tcPr>
            <w:tcW w:type="dxa" w:w="3312"/>
            <w:vAlign w:val="center"/>
          </w:tcPr>
          <w:p>
            <w:r>
              <w:t>N–1</w:t>
            </w:r>
          </w:p>
        </w:tc>
        <w:tc>
          <w:tcPr>
            <w:tcW w:type="dxa" w:w="3312"/>
            <w:vAlign w:val="center"/>
          </w:tcPr>
          <w:p>
            <w:r>
              <w:t>Đưa MaNCC làm khóa ngoại trong DONDH.</w:t>
            </w:r>
          </w:p>
        </w:tc>
      </w:tr>
    </w:tbl>
    <w:p>
      <w:pPr>
        <w:pStyle w:val="Heading1"/>
      </w:pPr>
      <w:r>
        <w:t>3. Xử lý thuộc tính đa trị</w:t>
      </w:r>
    </w:p>
    <w:p>
      <w:r>
        <w:t>Thuộc tính SDT của nhà cung cấp là thuộc tính đa trị (một nhà cung cấp có thể có nhiều số điện thoại). Vì vậy, tách thuộc tính này thành bảng SDTNHACC gồm MaNCC và SDT. Khóa chính của bảng là khóa ghép (MaNCC, SDT); MaNCC đồng thời là khóa ngoại tham chiếu NHACC.</w:t>
      </w:r>
    </w:p>
    <w:p>
      <w:pPr>
        <w:pStyle w:val="Heading1"/>
      </w:pPr>
      <w:r>
        <w:t>4. Mô hình dữ liệu quan hệ sau chuyển đổi</w:t>
      </w:r>
    </w:p>
    <w:p>
      <w:r>
        <w:t>Quy ước: PK là khóa chính, FK là khóa ngoại. Khóa chính được ghi rõ trong từng bảng.</w:t>
      </w:r>
    </w:p>
    <w:p>
      <w:pPr>
        <w:pStyle w:val="Heading2"/>
      </w:pPr>
      <w:r>
        <w:t>1. PHIEUXUAT</w:t>
      </w:r>
    </w:p>
    <w:p>
      <w:pPr>
        <w:spacing w:after="40"/>
      </w:pPr>
      <w:r>
        <w:rPr>
          <w:b/>
        </w:rPr>
        <w:t>PHIEUXUAT(SoPX, NgayXuat)</w:t>
      </w:r>
    </w:p>
    <w:p>
      <w:r>
        <w:t>PK: SoPX</w:t>
      </w:r>
    </w:p>
    <w:p>
      <w:pPr>
        <w:pStyle w:val="Heading2"/>
      </w:pPr>
      <w:r>
        <w:t>2. VATTU</w:t>
      </w:r>
    </w:p>
    <w:p>
      <w:pPr>
        <w:spacing w:after="40"/>
      </w:pPr>
      <w:r>
        <w:rPr>
          <w:b/>
        </w:rPr>
        <w:t>VATTU(MaVTU, TenVTU)</w:t>
      </w:r>
    </w:p>
    <w:p>
      <w:r>
        <w:t>PK: MaVTU</w:t>
      </w:r>
    </w:p>
    <w:p>
      <w:pPr>
        <w:pStyle w:val="Heading2"/>
      </w:pPr>
      <w:r>
        <w:t>3. PHIEUNHAP</w:t>
      </w:r>
    </w:p>
    <w:p>
      <w:pPr>
        <w:spacing w:after="40"/>
      </w:pPr>
      <w:r>
        <w:rPr>
          <w:b/>
        </w:rPr>
        <w:t>PHIEUNHAP(SoPN, NgayNhap)</w:t>
      </w:r>
    </w:p>
    <w:p>
      <w:r>
        <w:t>PK: SoPN</w:t>
      </w:r>
    </w:p>
    <w:p>
      <w:pPr>
        <w:pStyle w:val="Heading2"/>
      </w:pPr>
      <w:r>
        <w:t>4. DONDH</w:t>
      </w:r>
    </w:p>
    <w:p>
      <w:pPr>
        <w:spacing w:after="40"/>
      </w:pPr>
      <w:r>
        <w:rPr>
          <w:b/>
        </w:rPr>
        <w:t>DONDH(SoDH, NgayDH, MaNCC)</w:t>
      </w:r>
    </w:p>
    <w:p>
      <w:r>
        <w:t>PK: SoDH; FK: MaNCC tham chiếu NHACC(MaNCC)</w:t>
      </w:r>
    </w:p>
    <w:p>
      <w:pPr>
        <w:pStyle w:val="Heading2"/>
      </w:pPr>
      <w:r>
        <w:t>5. NHACC</w:t>
      </w:r>
    </w:p>
    <w:p>
      <w:pPr>
        <w:spacing w:after="40"/>
      </w:pPr>
      <w:r>
        <w:rPr>
          <w:b/>
        </w:rPr>
        <w:t>NHACC(MaNCC, TenNCC, DiaChi)</w:t>
      </w:r>
    </w:p>
    <w:p>
      <w:r>
        <w:t>PK: MaNCC</w:t>
      </w:r>
    </w:p>
    <w:p>
      <w:pPr>
        <w:pStyle w:val="Heading2"/>
      </w:pPr>
      <w:r>
        <w:t>6. CHITIETPHIEUXUAT</w:t>
      </w:r>
    </w:p>
    <w:p>
      <w:pPr>
        <w:spacing w:after="40"/>
      </w:pPr>
      <w:r>
        <w:rPr>
          <w:b/>
        </w:rPr>
        <w:t>CHITIETPHIEUXUAT(SoPX, MaVTU, DGXuat, SLXuat)</w:t>
      </w:r>
    </w:p>
    <w:p>
      <w:r>
        <w:t>PK ghép: (SoPX, MaVTU); FK: SoPX → PHIEUXUAT(SoPX), MaVTU → VATTU(MaVTU)</w:t>
      </w:r>
    </w:p>
    <w:p>
      <w:pPr>
        <w:pStyle w:val="Heading2"/>
      </w:pPr>
      <w:r>
        <w:t>7. CHITIETPHIEUNHAP</w:t>
      </w:r>
    </w:p>
    <w:p>
      <w:pPr>
        <w:spacing w:after="40"/>
      </w:pPr>
      <w:r>
        <w:rPr>
          <w:b/>
        </w:rPr>
        <w:t>CHITIETPHIEUNHAP(MaVTU, SoPN, DGNhap, SLNhap)</w:t>
      </w:r>
    </w:p>
    <w:p>
      <w:r>
        <w:t>PK ghép: (MaVTU, SoPN); FK: MaVTU → VATTU(MaVTU), SoPN → PHIEUNHAP(SoPN)</w:t>
      </w:r>
    </w:p>
    <w:p>
      <w:pPr>
        <w:pStyle w:val="Heading2"/>
      </w:pPr>
      <w:r>
        <w:t>8. CHITIETDONDH</w:t>
      </w:r>
    </w:p>
    <w:p>
      <w:pPr>
        <w:spacing w:after="40"/>
      </w:pPr>
      <w:r>
        <w:rPr>
          <w:b/>
        </w:rPr>
        <w:t>CHITIETDONDH(MaVTU, SoDH)</w:t>
      </w:r>
    </w:p>
    <w:p>
      <w:r>
        <w:t>PK ghép: (MaVTU, SoDH); FK: MaVTU → VATTU(MaVTU), SoDH → DONDH(SoDH)</w:t>
      </w:r>
    </w:p>
    <w:p>
      <w:pPr>
        <w:pStyle w:val="Heading2"/>
      </w:pPr>
      <w:r>
        <w:t>9. SDTNHACC</w:t>
      </w:r>
    </w:p>
    <w:p>
      <w:pPr>
        <w:spacing w:after="40"/>
      </w:pPr>
      <w:r>
        <w:rPr>
          <w:b/>
        </w:rPr>
        <w:t>SDTNHACC(MaNCC, SDT)</w:t>
      </w:r>
    </w:p>
    <w:p>
      <w:r>
        <w:t>PK ghép: (MaNCC, SDT); FK: MaNCC → NHACC(MaNCC)</w:t>
      </w:r>
    </w:p>
    <w:p>
      <w:pPr>
        <w:pStyle w:val="Heading1"/>
      </w:pPr>
      <w:r>
        <w:t>5. Kết luận</w:t>
      </w:r>
    </w:p>
    <w:p>
      <w:r>
        <w:t>Sau khi chuyển đổi ERD sang mô hình dữ liệu quan hệ, ta thu được 9 bảng. Các quan hệ N–N được chuyển thành bảng trung gian; quan hệ N–1 được biểu diễn bằng khóa ngoại; thuộc tính đa trị SDT được tách thành bảng riêng để lưu được nhiều số điện thoại cho một nhà cung cấp.</w:t>
      </w:r>
    </w:p>
    <w:p/>
    <w:p>
      <w:pPr>
        <w:jc w:val="right"/>
      </w:pPr>
      <w:r>
        <w:rPr>
          <w:i/>
        </w:rPr>
        <w:t>— Hết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