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ía_completa_llevar_escala_esg_a_14900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Guía completa: llevar ESCALA ESG a Google Antigravity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 cero a la aplicación corriendo en tu máquina, con base de datos persistente y desplegada.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Documento preparado para Tatiana Lovric · 23 de septiembre de 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índ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Índice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hyperlink w:anchor="bm_1_qué_vas_a_necesitar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Qué vas a necesitar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2_archivos_que_subes_y_para_qu_f047df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Archivos que subes y para qué sirve cada uno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3_instalar_antigravity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Instalar Antigravity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4_preparar_tu_máquina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Preparar tu máquina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5_abrir_el_proyecto_y_arrancarlo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Abrir el proyecto y arrancarlo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6_cómo_hablarle_al_agente_los_67ae4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Cómo hablarle al agente: los prompts exactos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7_conectar_supabase_sin_ceder_47676b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Conectar Supabase sin ceder permisos de gestión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8_desplegar_a_internet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Desplegar a internet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9_cuando_algo_falla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Cuando algo falla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10_biblioteca_de_prompts_para_2df2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Biblioteca de prompts para seguir creciendo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11_fuentes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Fuentes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qué_vas_a_necesit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Qué vas a necesitar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Antigravity 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macOS, Windows o 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Gratis en el plan individual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Cuenta de 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Una cuenta de Gmail personal basta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Gratis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Navegador Chrome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del entorno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Gratis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Node.js 20 o superior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Motor que ejecuta la aplicación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Gratis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archivo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escala-esg-codigo.zip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Ya te lo entregué en la conversación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Cuenta de 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Solo si quieres base de datos compartida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Plan gratuito suficiente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plan individual de Antigravity cuesta cero y da acceso a Gemini 3.8 Flash, Gemini 3.7 Flash, Gemini 3.6 Flash, Gemini 3.1 Pro, Claude Sonnet y Opus 4.6, y gpt-oss-120b, con completaciones de Tab ilimitadas y límites de uso semanales básicos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Google Antigravity — Pricing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archivos_que_subes_y_para_qu_608b9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Archivos que subes y para qué sirve cada uno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Todo va dentro del ZIP que descargaste. No tienes que subir nada archivo por archivo: descomprimes la carpeta y abres esa carpeta en Antigravity. Esto es lo que contiene y por qué importa.</w:t>
      </w:r>
    </w:p>
    <w:p>
      <w:pPr>
        <w:spacing w:line="360" w:before="315" w:after="105" w:lineRule="auto"/>
        <w:ind w:left="-30"/>
        <w:jc w:val="left"/>
      </w:pPr>
      <w:bookmarkStart w:id="4" w:name="archivos_que_tú_vas_a_toc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Archivos que tú vas a tocar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Para qué sirve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¿Lo editas tú?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README.md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Manual del proyecto. El agente lo lee para entender qué construyó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.env.example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Plantilla de las dos variables de 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 copias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.env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y rellenas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supabase/migration.sql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esquema de la base de datos, comentado línea por línea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 pegas en el panel de Supabase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package.json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Lista de dependencias y comandos 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el_corazón_de_la_lógica_es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El corazón de la lógica ESG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 más adelante quieres ampliar el contenido normativo, estos son los archivos que importan: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client/src/lib/vsme.ts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catálogo VSME completo: los seis niveles, las veinte divulgaciones, los ~71 datapoints, el mapeo SFDR del Apéndice C, los requisitos técnicos y los patrones de diseño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client/src/lib/engine.ts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Las reglas: progreso, prerrequisitos entre niveles, desbloqueos y el bloqueo de coherencia que impide declarar objetivos sin inventario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shared/schema.ts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modelo de datos que comparten cliente y servidor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interfaz_y_servid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Interfaz y servidor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Carpeta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Las cuatro pantallas: ruta de niveles, formulario de nivel, informe VSME y método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client/src/components/shell.tsx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Logotipo, tema claro/oscuro y estructura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API REST, la capa SQLite y la capa Supabase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lo_que_no_va_en_el_zip_a_propósi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Lo que NO va en el ZIP, a propósito</w:t>
      </w:r>
      <w:bookmarkEnd w:id="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node_modules</w:t>
      </w:r>
      <w:r>
        <w:rPr>
          <w:rFonts w:eastAsia="source serif 4" w:cs="source serif 4" w:ascii="source serif 4" w:hAnsi="source serif 4"/>
          <w:color w:val="000000"/>
        </w:rPr>
        <w:t xml:space="preserve"> (se instala con un comando),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</w:t>
      </w:r>
      <w:r>
        <w:rPr>
          <w:rFonts w:eastAsia="source serif 4" w:cs="source serif 4" w:ascii="source serif 4" w:hAnsi="source serif 4"/>
          <w:color w:val="000000"/>
        </w:rPr>
        <w:t xml:space="preserve"> (se genera al compilar),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data.db</w:t>
      </w:r>
      <w:r>
        <w:rPr>
          <w:rFonts w:eastAsia="source serif 4" w:cs="source serif 4" w:ascii="source serif 4" w:hAnsi="source serif 4"/>
          <w:color w:val="000000"/>
        </w:rPr>
        <w:t xml:space="preserve"> (tu base local, se crea sola)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 (nunca se comparte un archivo con claves).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3_instalar_antigrav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Instalar Antigravity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paso_1_descarg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1 — Descargar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Entra en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antigravity.google/download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y descarga la versión de tu sistema operativo. Está disponible para macOS, Windows y distribuciones concretas de Linux (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codelab oficial de Google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0" w:name="paso_2_ejecutar_el_instalad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2 — Ejecutar el instalador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la pantalla inicial verás dos opciones: </w:t>
      </w:r>
      <w:r>
        <w:rPr>
          <w:rFonts w:eastAsia="source serif 4" w:cs="source serif 4" w:ascii="source serif 4" w:hAnsi="source serif 4"/>
          <w:b/>
          <w:color w:val="000000"/>
        </w:rPr>
        <w:t xml:space="preserve">Continue with Google</w:t>
      </w:r>
      <w:r>
        <w:rPr>
          <w:rFonts w:eastAsia="source serif 4" w:cs="source serif 4" w:ascii="source serif 4" w:hAnsi="source serif 4"/>
          <w:color w:val="000000"/>
        </w:rPr>
        <w:t xml:space="preserve"> y </w:t>
      </w:r>
      <w:r>
        <w:rPr>
          <w:rFonts w:eastAsia="source serif 4" w:cs="source serif 4" w:ascii="source serif 4" w:hAnsi="source serif 4"/>
          <w:b/>
          <w:color w:val="000000"/>
        </w:rPr>
        <w:t xml:space="preserve">Use business account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Elige </w:t>
      </w:r>
      <w:r>
        <w:rPr>
          <w:rFonts w:eastAsia="source serif 4" w:cs="source serif 4" w:ascii="source serif 4" w:hAnsi="source serif 4"/>
          <w:b/>
          <w:color w:val="000000"/>
        </w:rPr>
        <w:t xml:space="preserve">Continue with Google</w:t>
      </w:r>
      <w:r>
        <w:rPr>
          <w:rFonts w:eastAsia="source serif 4" w:cs="source serif 4" w:ascii="source serif 4" w:hAnsi="source serif 4"/>
          <w:color w:val="000000"/>
        </w:rPr>
        <w:t xml:space="preserve"> e inicia sesión con tu cuenta de Gmail personal. La opción de cuenta empresarial es para organizaciones con un proyecto de Google Cloud y licencias compradas; no es tu caso (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codelab oficial de Google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1" w:name="paso_3_configuración_inici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3 — Configuración inicial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Eliges un tema, opcionalmente algunos plugins de Google, aceptas los términos y pulsas </w:t>
      </w:r>
      <w:r>
        <w:rPr>
          <w:rFonts w:eastAsia="source serif 4" w:cs="source serif 4" w:ascii="source serif 4" w:hAnsi="source serif 4"/>
          <w:b/>
          <w:color w:val="000000"/>
        </w:rPr>
        <w:t xml:space="preserve">Finish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" w:name="paso_4_entender_las_dos_superfic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4 — Entender las dos superficies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Antigravity tiene dos formas de trabajar y conviene que las distingas desde el principio (</w:t>
      </w: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Antigravity IDE Overview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Editor.</w:t>
      </w:r>
      <w:r>
        <w:rPr>
          <w:rFonts w:eastAsia="source serif 4" w:cs="source serif 4" w:ascii="source serif 4" w:hAnsi="source serif 4"/>
          <w:color w:val="000000"/>
        </w:rPr>
        <w:t xml:space="preserve"> El IDE clásico, con autocompletado y edición de archivos. Aquí trabajas tú codo a codo con un agente.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Agentes.</w:t>
      </w:r>
      <w:r>
        <w:rPr>
          <w:rFonts w:eastAsia="source serif 4" w:cs="source serif 4" w:ascii="source serif 4" w:hAnsi="source serif 4"/>
          <w:color w:val="000000"/>
        </w:rPr>
        <w:t xml:space="preserve"> La modalidad principal. Son agentes locales y asíncronos que operan de forma autónoma en el editor, el terminal y el navegador, y que pueden planificar y ejecutar tareas completas. Puedes lanzar varios en paralelo.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 resultará útil saber que los agentes producen </w:t>
      </w:r>
      <w:r>
        <w:rPr>
          <w:rFonts w:eastAsia="source serif 4" w:cs="source serif 4" w:ascii="source serif 4" w:hAnsi="source serif 4"/>
          <w:b/>
          <w:color w:val="000000"/>
        </w:rPr>
        <w:t xml:space="preserve">artifacts</w:t>
      </w:r>
      <w:r>
        <w:rPr>
          <w:rFonts w:eastAsia="source serif 4" w:cs="source serif 4" w:ascii="source serif 4" w:hAnsi="source serif 4"/>
          <w:color w:val="000000"/>
        </w:rPr>
        <w:t xml:space="preserve">: entregables estructurados como planes en Markdown, vistas de diferencias de código, diagramas de arquitectura y grabaciones del navegador. Es su manera de rendir cuentas de lo que hicieron, y te sirve para verificar antes de aceptar cambios.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Una advertencia relevante: los agentes pueden ejecutar comandos en el terminal por su cuenta. Revisa lo que proponen antes de aprobarlo, sobre todo si toca archivos de configuración o credenciales.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4_preparar_tu_máquin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Preparar tu máquina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instalar_node_j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Instalar Node.js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Descarga la versión LTS desde </w:t>
      </w:r>
      <w:hyperlink r:id="rId1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nodejs.org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Necesitas la 20 o superior.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comprobar que quedó bien, abre una terminal y escribe: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node --version</w:t>
        <w:br/>
        <w:t xml:space="preserve">npm --version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 el primer comando responde algo como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v20.x.x</w:t>
      </w:r>
      <w:r>
        <w:rPr>
          <w:rFonts w:eastAsia="source serif 4" w:cs="source serif 4" w:ascii="source serif 4" w:hAnsi="source serif 4"/>
          <w:color w:val="000000"/>
        </w:rPr>
        <w:t xml:space="preserve"> o mayor, vas bien.</w:t>
      </w:r>
    </w:p>
    <w:p>
      <w:pPr>
        <w:spacing w:line="360" w:before="315" w:after="105" w:lineRule="auto"/>
        <w:ind w:left="-30"/>
        <w:jc w:val="left"/>
      </w:pPr>
      <w:bookmarkStart w:id="15" w:name="descomprimir_el_proyec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Descomprimir el proyecto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Coloca la carpeta en un sitio estable y sin acentos ni espacios en la ruta. Por ejemplo: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Windows: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C:\proyectos\escala-esg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macOS o Linux: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~/proyectos/escala-esg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Dentro de esa carpeta debes 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</w:rPr>
        <w:t xml:space="preserve"> y las carpetas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</w:t>
      </w:r>
      <w:r>
        <w:rPr>
          <w:rFonts w:eastAsia="source serif 4" w:cs="source serif 4" w:ascii="source serif 4" w:hAnsi="source serif 4"/>
          <w:color w:val="000000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</w:t>
      </w:r>
      <w:r>
        <w:rPr>
          <w:rFonts w:eastAsia="source serif 4" w:cs="source serif 4" w:ascii="source serif 4" w:hAnsi="source serif 4"/>
          <w:color w:val="000000"/>
        </w:rPr>
        <w:t xml:space="preserve">. Si en cambio ves una sola carpeta llamada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escala-esg</w:t>
      </w:r>
      <w:r>
        <w:rPr>
          <w:rFonts w:eastAsia="source serif 4" w:cs="source serif 4" w:ascii="source serif 4" w:hAnsi="source serif 4"/>
          <w:color w:val="000000"/>
        </w:rPr>
        <w:t xml:space="preserve">, entra en ella: ese es el nivel correcto.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5_abrir_el_proyecto_y_arrancarl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Abrir el proyecto y arrancarlo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paso_1_abrir_la_carpe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1 — Abrir la carpeta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Antigravity: </w:t>
      </w:r>
      <w:r>
        <w:rPr>
          <w:rFonts w:eastAsia="source serif 4" w:cs="source serif 4" w:ascii="source serif 4" w:hAnsi="source serif 4"/>
          <w:b/>
          <w:color w:val="000000"/>
        </w:rPr>
        <w:t xml:space="preserve">File → Open Folder</w:t>
      </w:r>
      <w:r>
        <w:rPr>
          <w:rFonts w:eastAsia="source serif 4" w:cs="source serif 4" w:ascii="source serif 4" w:hAnsi="source serif 4"/>
          <w:color w:val="000000"/>
        </w:rPr>
        <w:t xml:space="preserve"> y seleccionas la carpeta del proyecto.</w:t>
      </w:r>
    </w:p>
    <w:p>
      <w:pPr>
        <w:spacing w:line="360" w:before="315" w:after="105" w:lineRule="auto"/>
        <w:ind w:left="-30"/>
        <w:jc w:val="left"/>
      </w:pPr>
      <w:bookmarkStart w:id="18" w:name="paso_2_instalar_dependenc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2 — Instalar dependencias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Abre la terminal integrada y ejecuta: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install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Tarda uno o dos minutos y descarga unas 290 dependencias. Es normal que muestre avisos; lo que importa es que termine sin la palabra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9" w:name="paso_3_arranc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3 — Arrancar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dev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Abre 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http://localhost:5000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en Chrome. Deberías ver la ruta de seis niveles con el Nivel 0 disponible y los demás bloqueados.</w:t>
      </w:r>
    </w:p>
    <w:p>
      <w:pPr>
        <w:spacing w:line="360" w:before="315" w:after="105" w:lineRule="auto"/>
        <w:ind w:left="-30"/>
        <w:jc w:val="left"/>
      </w:pPr>
      <w:bookmarkStart w:id="20" w:name="los_comandos_que_vas_a_usar_siemp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Los comandos que vas a usar siempre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Qué hace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run 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Arranca en modo desarrollo, recarga sola al guardar cambios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run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Verifica los tipos. Úsalo antes de dar por bueno cualquier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run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Compila la versión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Sirve la versión compilada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Sin configuración adicional, la aplicación crea un archivo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data.db</w:t>
      </w:r>
      <w:r>
        <w:rPr>
          <w:rFonts w:eastAsia="source serif 4" w:cs="source serif 4" w:ascii="source serif 4" w:hAnsi="source serif 4"/>
          <w:color w:val="000000"/>
        </w:rPr>
        <w:t xml:space="preserve"> en la raíz del proyecto y guarda ahí todo. Funciona de inmediato, sin cuentas ni claves.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6_cómo_hablarle_al_agente_los_e6bc9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Cómo hablarle al agente: los prompts exactos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Aquí está la diferencia entre un agente que te ayuda y uno que te rompe el proyecto. Copia estos textos tal cual.</w:t>
      </w:r>
    </w:p>
    <w:p>
      <w:pPr>
        <w:spacing w:line="360" w:before="315" w:after="105" w:lineRule="auto"/>
        <w:ind w:left="-30"/>
        <w:jc w:val="left"/>
      </w:pPr>
      <w:bookmarkStart w:id="22" w:name="prompt_1_que_entienda_el_proyecto_a909f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1 — Que entienda el proyecto antes de tocarlo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es el primero que debes enviar, siempre. Sin contexto, el agente reescribe cosas que ya funcionan.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Antes de modificar nada, lee estos archivos y hazme un resumen de la</w:t>
        <w:br/>
        <w:t xml:space="preserve">arquitectura: README.md, client/src/lib/vsme.ts, client/src/lib/engine.ts,</w:t>
        <w:br/>
        <w:t xml:space="preserve">shared/schema.ts, server/routes.ts y server/storage.ts.</w:t>
        <w:br/>
        <w:t xml:space="preserve"/>
        <w:br/>
        <w:t xml:space="preserve">Contexto: es una app de reporte de sostenibilidad basada en el VSME Standard</w:t>
        <w:br/>
        <w:t xml:space="preserve">de EFRAG. Seis niveles de madurez llevan del Módulo Básico (B1-B11) al Módulo</w:t>
        <w:br/>
        <w:t xml:space="preserve">Completo (C1-C9) con mapeo a indicadores SFDR. Stack: React + Vite en el</w:t>
        <w:br/>
        <w:t xml:space="preserve">cliente, Express en el servidor, y una capa de datos que conmuta entre SQLite</w:t>
        <w:br/>
        <w:t xml:space="preserve">y Supabase según las variables de entorno.</w:t>
        <w:br/>
        <w:t xml:space="preserve"/>
        <w:br/>
        <w:t xml:space="preserve">No cambies el sistema de diseño ni la paleta. No toques la lógica de</w:t>
        <w:br/>
        <w:t xml:space="preserve">desbloqueo de niveles sin explicarme antes qué vas a cambiar y por qué.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prompt_2_verificar_que_todo_arran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2 — Verificar que todo arranca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Ejecuta npm install, luego npm run check y npm run dev. Si algo falla,</w:t>
        <w:br/>
        <w:t xml:space="preserve">diagnostícalo y corrígelo, pero explícame cada corrección antes de aplicarla.</w:t>
        <w:br/>
        <w:t xml:space="preserve">Cuando esté corriendo, abre localhost:5000 con el agente de navegador,</w:t>
        <w:br/>
        <w:t xml:space="preserve">recorre las cuatro pantallas (ruta de niveles, un nivel, informe y método),</w:t>
        <w:br/>
        <w:t xml:space="preserve">y dime si encuentras defectos visuales o errores en la consola.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prompt_3_conectar_supab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3 — Conectar Supabase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Úsalo después de haber creado tu proyecto en Supabase y aplicado la migración (sección 7).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Ya creé un proyecto en Supabase y ejecuté supabase/migration.sql en el</w:t>
        <w:br/>
        <w:t xml:space="preserve">editor SQL. Copia .env.example a .env, ayúdame a rellenar SUPABASE_URL y</w:t>
        <w:br/>
        <w:t xml:space="preserve">SUPABASE_ANON_KEY, y reinicia el servidor.</w:t>
        <w:br/>
        <w:t xml:space="preserve"/>
        <w:br/>
        <w:t xml:space="preserve">Después verifica que está usando Supabase y no SQLite: haz una escritura de</w:t>
        <w:br/>
        <w:t xml:space="preserve">prueba con un X-Visitor-Id, comprueba que otro X-Visitor-Id distinto no ve</w:t>
        <w:br/>
        <w:t xml:space="preserve">esos datos, y confirma que la fila aparece en la tabla entries de Supabase.</w:t>
        <w:br/>
        <w:t xml:space="preserve">Borra los datos de prueba al terminar.</w:t>
        <w:br/>
        <w:t xml:space="preserve"/>
        <w:br/>
        <w:t xml:space="preserve">No pongas las claves en ningún archivo del cliente ni les añadas el prefijo</w:t>
        <w:br/>
        <w:t xml:space="preserve">VITE_. El cliente de Supabase debe vivir solo en server/.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reglas_de_oro_al_trabajar_con_el_agen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Reglas de oro al trabajar con el agente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Una tarea por vez.</w:t>
      </w:r>
      <w:r>
        <w:rPr>
          <w:rFonts w:eastAsia="source serif 4" w:cs="source serif 4" w:ascii="source serif 4" w:hAnsi="source serif 4"/>
          <w:color w:val="000000"/>
        </w:rPr>
        <w:t xml:space="preserve"> Pedir cinco cosas a la vez produce cinco cosas a medias.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Exige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npm run check después de cada cambio.</w:t>
      </w:r>
      <w:r>
        <w:rPr>
          <w:rFonts w:eastAsia="source serif 4" w:cs="source serif 4" w:ascii="source serif 4" w:hAnsi="source serif 4"/>
          <w:color w:val="000000"/>
        </w:rPr>
        <w:t xml:space="preserve"> Es la red de seguridad más barata que tienes.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Usa Git desde el primer día.</w:t>
      </w:r>
      <w:r>
        <w:rPr>
          <w:rFonts w:eastAsia="source serif 4" w:cs="source serif 4" w:ascii="source serif 4" w:hAnsi="source serif 4"/>
          <w:color w:val="000000"/>
        </w:rPr>
        <w:t xml:space="preserve"> El proyecto ya viene con historial iniciado. Pídele al agente: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Haz un commit con un mensaje descriptivo antes de empezar este cambio</w:t>
      </w:r>
      <w:r>
        <w:rPr>
          <w:rFonts w:eastAsia="source serif 4" w:cs="source serif 4" w:ascii="source serif 4" w:hAnsi="source serif 4"/>
          <w:color w:val="000000"/>
        </w:rPr>
        <w:t xml:space="preserve">. Si algo sale mal, vuelves atrás.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Revisa los artifacts.</w:t>
      </w:r>
      <w:r>
        <w:rPr>
          <w:rFonts w:eastAsia="source serif 4" w:cs="source serif 4" w:ascii="source serif 4" w:hAnsi="source serif 4"/>
          <w:color w:val="000000"/>
        </w:rPr>
        <w:t xml:space="preserve"> Cuando el agente te presenta un plan o una vista de diferencias, léela. Ahí se detectan los cambios que no pediste.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Desconfía de los borrados.</w:t>
      </w:r>
      <w:r>
        <w:rPr>
          <w:rFonts w:eastAsia="source serif 4" w:cs="source serif 4" w:ascii="source serif 4" w:hAnsi="source serif 4"/>
          <w:color w:val="000000"/>
        </w:rPr>
        <w:t xml:space="preserve"> Si propone eliminar archivos o dependencias, pregunta por qué antes de aceptar.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7_conectar_supabase_sin_ceder_f97f5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Conectar Supabase sin ceder permisos de gestión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ruta existe precisamente para no autorizar una app OAuth con permisos de escritura sobre toda tu cuenta. Tú haces los tres pasos sensibles; nadie más entra.</w:t>
      </w:r>
    </w:p>
    <w:p>
      <w:pPr>
        <w:spacing w:line="360" w:before="315" w:after="105" w:lineRule="auto"/>
        <w:ind w:left="-30"/>
        <w:jc w:val="left"/>
      </w:pPr>
      <w:bookmarkStart w:id="27" w:name="paso_1_crear_el_proyec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1 — Crear el proyecto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supabase.com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creas una cuenta y un proyecto nuevo. El plan gratuito sirve. Anota la contraseña de la base de datos que te pide al crearlo.</w:t>
      </w:r>
    </w:p>
    <w:p>
      <w:pPr>
        <w:spacing w:line="360" w:before="315" w:after="105" w:lineRule="auto"/>
        <w:ind w:left="-30"/>
        <w:jc w:val="left"/>
      </w:pPr>
      <w:bookmarkStart w:id="28" w:name="paso_2_aplicar_el_esquema_leyéndo_3721e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2 — Aplicar el esquema, leyéndolo primero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Abre </w:t>
      </w:r>
      <w:r>
        <w:rPr>
          <w:rFonts w:eastAsia="source serif 4" w:cs="source serif 4" w:ascii="source serif 4" w:hAnsi="source serif 4"/>
          <w:b/>
          <w:color w:val="000000"/>
        </w:rPr>
        <w:t xml:space="preserve">SQL Editor → New query</w:t>
      </w:r>
      <w:r>
        <w:rPr>
          <w:rFonts w:eastAsia="source serif 4" w:cs="source serif 4" w:ascii="source serif 4" w:hAnsi="source serif 4"/>
          <w:color w:val="000000"/>
        </w:rPr>
        <w:t xml:space="preserve">, pega el contenido completo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supabase/migration.sql</w:t>
      </w:r>
      <w:r>
        <w:rPr>
          <w:rFonts w:eastAsia="source serif 4" w:cs="source serif 4" w:ascii="source serif 4" w:hAnsi="source serif 4"/>
          <w:color w:val="000000"/>
        </w:rPr>
        <w:t xml:space="preserve">, lee los comentarios y pulsa </w:t>
      </w:r>
      <w:r>
        <w:rPr>
          <w:rFonts w:eastAsia="source serif 4" w:cs="source serif 4" w:ascii="source serif 4" w:hAnsi="source serif 4"/>
          <w:b/>
          <w:color w:val="000000"/>
        </w:rPr>
        <w:t xml:space="preserve">Run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Ese archivo crea una sola tabla,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entries</w:t>
      </w:r>
      <w:r>
        <w:rPr>
          <w:rFonts w:eastAsia="source serif 4" w:cs="source serif 4" w:ascii="source serif 4" w:hAnsi="source serif 4"/>
          <w:color w:val="000000"/>
        </w:rPr>
        <w:t xml:space="preserve">, con una restricción de unicidad por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(user_id, key)</w:t>
      </w:r>
      <w:r>
        <w:rPr>
          <w:rFonts w:eastAsia="source serif 4" w:cs="source serif 4" w:ascii="source serif 4" w:hAnsi="source serif 4"/>
          <w:color w:val="000000"/>
        </w:rPr>
        <w:t xml:space="preserve"> y activa Row Level Security sin políticas. No borra ni modifica nada preexistente.</w:t>
      </w:r>
    </w:p>
    <w:p>
      <w:pPr>
        <w:spacing w:line="360" w:before="315" w:after="105" w:lineRule="auto"/>
        <w:ind w:left="-30"/>
        <w:jc w:val="left"/>
      </w:pPr>
      <w:bookmarkStart w:id="29" w:name="paso_3_elegir_la_clave_correc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3 — Elegir la clave correcta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Esto es lo más importante de toda la sección.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migración deja la tabla cerrada con Row Level Security y sin políticas, así que la clave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anon</w:t>
      </w:r>
      <w:r>
        <w:rPr>
          <w:rFonts w:eastAsia="source serif 4" w:cs="source serif 4" w:ascii="source serif 4" w:hAnsi="source serif 4"/>
          <w:color w:val="000000"/>
        </w:rPr>
        <w:t xml:space="preserve"> por sí sola no puede leer ni escribir nada. Como el cliente de Supabase vive exclusivamente en el servidor y nunca llega al navegador, lo correcto es usar la clave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service_role</w:t>
      </w:r>
      <w:r>
        <w:rPr>
          <w:rFonts w:eastAsia="source serif 4" w:cs="source serif 4" w:ascii="source serif 4" w:hAnsi="source serif 4"/>
          <w:color w:val="000000"/>
        </w:rPr>
        <w:t xml:space="preserve">, que ignora RLS.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</w:t>
      </w:r>
      <w:r>
        <w:rPr>
          <w:rFonts w:eastAsia="source serif 4" w:cs="source serif 4" w:ascii="source serif 4" w:hAnsi="source serif 4"/>
          <w:b/>
          <w:color w:val="000000"/>
        </w:rPr>
        <w:t xml:space="preserve">Project Settings → API</w:t>
      </w:r>
      <w:r>
        <w:rPr>
          <w:rFonts w:eastAsia="source serif 4" w:cs="source serif 4" w:ascii="source serif 4" w:hAnsi="source serif 4"/>
          <w:color w:val="000000"/>
        </w:rPr>
        <w:t xml:space="preserve"> encuentras la URL y las claves. Copia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</w:rPr>
        <w:t xml:space="preserve">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 y rellena: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SUPABASE_URL=https://xxxxxxxx.supabase.co</w:t>
        <w:br/>
        <w:t xml:space="preserve">SUPABASE_ANON_KEY=&lt;aquí va la clave service_role&gt;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nombre de la variable dice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ANON</w:t>
      </w:r>
      <w:r>
        <w:rPr>
          <w:rFonts w:eastAsia="source serif 4" w:cs="source serif 4" w:ascii="source serif 4" w:hAnsi="source serif 4"/>
          <w:color w:val="000000"/>
        </w:rPr>
        <w:t xml:space="preserve"> por compatibilidad, pero el valor que pones es la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service_role</w:t>
      </w:r>
      <w:r>
        <w:rPr>
          <w:rFonts w:eastAsia="source serif 4" w:cs="source serif 4" w:ascii="source serif 4" w:hAnsi="source serif 4"/>
          <w:color w:val="000000"/>
        </w:rPr>
        <w:t xml:space="preserve">. La app no la expone nunca al navegador.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 prefieres usar la clave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anon</w:t>
      </w:r>
      <w:r>
        <w:rPr>
          <w:rFonts w:eastAsia="source serif 4" w:cs="source serif 4" w:ascii="source serif 4" w:hAnsi="source serif 4"/>
          <w:color w:val="000000"/>
        </w:rPr>
        <w:t xml:space="preserve"> de verdad, descomenta la política de prototipo incluida al final de la migración. Sábelo: eso abre la tabla a cualquiera que tenga la URL y la clave. La documentación de Supabase es explícita en que la clave publicable está diseñada para exponerse y su alcance depende enteramente de las políticas de Row Level Security (</w:t>
      </w: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API keys — Supabase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30" w:name="paso_4_reinici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Paso 4 — Reiniciar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dev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aplicación detecta las variables y conmuta a Supabase sola. No hay que cambiar una línea de código.</w:t>
      </w:r>
    </w:p>
    <w:p>
      <w:pPr>
        <w:spacing w:line="360" w:before="315" w:after="105" w:lineRule="auto"/>
        <w:ind w:left="-30"/>
        <w:jc w:val="left"/>
      </w:pPr>
      <w:bookmarkStart w:id="31" w:name="lo_que_esto_todavía_no_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Lo que esto todavía no es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aislamiento por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X-Visitor-Id</w:t>
      </w:r>
      <w:r>
        <w:rPr>
          <w:rFonts w:eastAsia="source serif 4" w:cs="source serif 4" w:ascii="source serif 4" w:hAnsi="source serif 4"/>
          <w:color w:val="000000"/>
        </w:rPr>
        <w:t xml:space="preserve"> separa los datos de cada visitante, pero </w:t>
      </w:r>
      <w:r>
        <w:rPr>
          <w:rFonts w:eastAsia="source serif 4" w:cs="source serif 4" w:ascii="source serif 4" w:hAnsi="source serif 4"/>
          <w:b/>
          <w:color w:val="000000"/>
        </w:rPr>
        <w:t xml:space="preserve">no es autenticación</w:t>
      </w:r>
      <w:r>
        <w:rPr>
          <w:rFonts w:eastAsia="source serif 4" w:cs="source serif 4" w:ascii="source serif 4" w:hAnsi="source serif 4"/>
          <w:color w:val="000000"/>
        </w:rPr>
        <w:t xml:space="preserve">: nadie verifica la identidad de quien envía ese encabezado. Para acceso real con inicio de sesión hay que añadir Supabase Auth y la verificación de sesión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server/routes.ts</w:t>
      </w:r>
      <w:r>
        <w:rPr>
          <w:rFonts w:eastAsia="source serif 4" w:cs="source serif 4" w:ascii="source serif 4" w:hAnsi="source serif 4"/>
          <w:color w:val="000000"/>
        </w:rPr>
        <w:t xml:space="preserve">. Hasta entonces, no cargues datos reales de un cliente en una instancia accesible desde internet.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8_desplegar_a_intern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Desplegar a internet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opción_a_un_servidor_node_prop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Opción A — Un servidor Node propio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más directa y la que respeta la arquitectura actual.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ci</w:t>
        <w:br/>
        <w:t xml:space="preserve">npm run build</w:t>
        <w:br/>
        <w:t xml:space="preserve">NODE_ENV=production node dist/index.cjs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Escucha en el puerto 5000. Pon delante un proxy inverso con HTTPS y define las variables de Supabase en el entorno del servidor, no en un archivo subido al repositorio.</w:t>
      </w:r>
    </w:p>
    <w:p>
      <w:pPr>
        <w:spacing w:line="360" w:before="315" w:after="105" w:lineRule="auto"/>
        <w:ind w:left="-30"/>
        <w:jc w:val="left"/>
      </w:pPr>
      <w:bookmarkStart w:id="34" w:name="opción_b_verc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Opción B — Vercel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proyecto ya incluye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vercel.json</w:t>
      </w:r>
      <w:r>
        <w:rPr>
          <w:rFonts w:eastAsia="source serif 4" w:cs="source serif 4" w:ascii="source serif 4" w:hAnsi="source serif 4"/>
          <w:color w:val="000000"/>
        </w:rPr>
        <w:t xml:space="preserve">, pero hay una limitación que debes conocer: Vercel no ejecuta este servidor Express tal cual. Para un despliegue serverless completo hay que trasladar las rutas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server/routes.ts</w:t>
      </w:r>
      <w:r>
        <w:rPr>
          <w:rFonts w:eastAsia="source serif 4" w:cs="source serif 4" w:ascii="source serif 4" w:hAnsi="source serif 4"/>
          <w:color w:val="000000"/>
        </w:rPr>
        <w:t xml:space="preserve"> a funciones en una carpeta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api/</w:t>
      </w:r>
      <w:r>
        <w:rPr>
          <w:rFonts w:eastAsia="source serif 4" w:cs="source serif 4" w:ascii="source serif 4" w:hAnsi="source serif 4"/>
          <w:color w:val="000000"/>
        </w:rPr>
        <w:t xml:space="preserve"> y usar obligatoriamente Supabase, porque el sistema de archivos serverless no conserva SQLite entre invocaciones.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Prompt para que el agente haga esa conversión: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Convierte este proyecto para desplegar en Vercel como funciones serverless.</w:t>
        <w:br/>
        <w:t xml:space="preserve">Mueve las rutas de server/routes.ts a funciones en api/, manteniendo el</w:t>
        <w:br/>
        <w:t xml:space="preserve">mismo contrato de la API (GET, PUT y DELETE /api/entries) y el filtrado por</w:t>
        <w:br/>
        <w:t xml:space="preserve">el encabezado X-Visitor-Id. Usa exclusivamente la capa de Supabase, porque</w:t>
        <w:br/>
        <w:t xml:space="preserve">SQLite no persiste en serverless. Actualiza vercel.json y el README. No</w:t>
        <w:br/>
        <w:t xml:space="preserve">cambies nada del cliente salvo lo estrictamente necesario.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Después, desde la terminal: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i -g vercel</w:t>
        <w:br/>
        <w:t xml:space="preserve">vercel login</w:t>
        <w:br/>
        <w:t xml:space="preserve">vercel --prod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 autenticarte tú misma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vercel login</w:t>
      </w:r>
      <w:r>
        <w:rPr>
          <w:rFonts w:eastAsia="source serif 4" w:cs="source serif 4" w:ascii="source serif 4" w:hAnsi="source serif 4"/>
          <w:color w:val="000000"/>
        </w:rPr>
        <w:t xml:space="preserve"> evitas el conector que falló en nuestra sesión.</w:t>
      </w:r>
    </w:p>
    <w:p>
      <w:pPr>
        <w:spacing w:line="360" w:before="315" w:after="105" w:lineRule="auto"/>
        <w:ind w:left="-30"/>
        <w:jc w:val="left"/>
      </w:pPr>
      <w:bookmarkStart w:id="35" w:name="opción_c_el_agente_de_antigravity_df5cb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Opción C — El agente de Antigravity con la CLI del proveedor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patrón habitual en Antigravity es que te autentiques tú en la terminal con la CLI del proveedor y luego le pidas al agente que la use para desplegar. Funciona igual con Vercel, Render o Google Cloud.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9_cuando_algo_fall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Cuando algo falla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Síntoma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Causa probable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Solución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install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 queda colgado o deja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node_modules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vacío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Instalación interrumpida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rm -rf node_modules package-lock.json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y repetir en primer plano, sin cerrar la terminal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EADDRINUSE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al arrancar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puerto 5000 está ocupado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Cierra el proceso anterior, o cambia el puerto 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server/index.ts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pantalla carga en blanco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de JavaScript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Abre las herramientas de desarrollo de Chrome, pestaña Console, y pasa el error al agente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Los datos no se guardan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servidor no responde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Revisa la terminal donde corre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run dev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la app avisa y mantiene la sesión en memoria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Errores de tipos tras un cambio del agente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Cambio incompleto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run check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y pásale la salida completa al agente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Supabase responde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permission denied for table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RLS activo y estás usando la clave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Cambia a la clave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service_role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 descomenta la política de prototipo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relation "entries" does not exist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migración no se ejecutó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Vuelve al editor SQL de Supabase y ejecuta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supabase/migration.sql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10_biblioteca_de_prompts_para_45a0d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Biblioteca de prompts para seguir creciendo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son las ampliaciones que más sentido tienen para tu práctica profesional. Copia el prompt correspondiente cuando quieras abordar una.</w:t>
      </w:r>
    </w:p>
    <w:p>
      <w:pPr>
        <w:spacing w:line="360" w:before="315" w:after="105" w:lineRule="auto"/>
        <w:ind w:left="-30"/>
        <w:jc w:val="left"/>
      </w:pPr>
      <w:bookmarkStart w:id="38" w:name="exportar_el_informe_a_word_y_pd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Exportar el informe a Word y PDF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Añade exportación del informe VSME a .docx y .pdf, además del Markdown</w:t>
        <w:br/>
        <w:t xml:space="preserve">actual. Debe respetar la estructura de divulgaciones B1-B11 y C1-C9, incluir</w:t>
        <w:br/>
        <w:t xml:space="preserve">el registro de omisiones y la tabla de mapeo SFDR, y llevar pie de página</w:t>
        <w:br/>
        <w:t xml:space="preserve">con la fuente del VSME Standard de EFRAG y la fecha de generación. Genera</w:t>
        <w:br/>
        <w:t xml:space="preserve">los archivos en el servidor, no en el navegador.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9" w:name="varias_empresas_en_la_misma_insta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Varias empresas en la misma instancia</w:t>
      </w:r>
      <w:bookmarkEnd w:id="3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Añade soporte multiempresa: una entidad "empresa" con nombre y ejercicio</w:t>
        <w:br/>
        <w:t xml:space="preserve">fiscal, de modo que una consultora pueda llevar varios clientes en la misma</w:t>
        <w:br/>
        <w:t xml:space="preserve">instancia. Cada empresa con su propia ruta de niveles y su propio informe.</w:t>
        <w:br/>
        <w:t xml:space="preserve">Añade un selector en la cabecera. Mantén el aislamiento por X-Visitor-Id</w:t>
        <w:br/>
        <w:t xml:space="preserve">por encima del de empresa, y actualiza la migración de Supabase con la</w:t>
        <w:br/>
        <w:t xml:space="preserve">nueva tabla y sus claves foráneas.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0" w:name="autenticación_re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Autenticación real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Implementa autenticación con Supabase Auth: registro, inicio de sesión y</w:t>
        <w:br/>
        <w:t xml:space="preserve">recuperación de contraseña. Sustituye el aislamiento por X-Visitor-Id por</w:t>
        <w:br/>
        <w:t xml:space="preserve">el identificador de usuario autenticado, y protege todas las rutas de la</w:t>
        <w:br/>
        <w:t xml:space="preserve">API verificando la sesión en el servidor. Documenta en el README qué pasos</w:t>
        <w:br/>
        <w:t xml:space="preserve">debo hacer yo en el panel de Supabase.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comparación_entre_ejercic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Comparación entre ejercicios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Añade comparación interanual: para cada datapoint numérico, mostrar el valor</w:t>
        <w:br/>
        <w:t xml:space="preserve">del ejercicio anterior junto al actual, con la variación porcentual. En el</w:t>
        <w:br/>
        <w:t xml:space="preserve">informe, una sección de evolución con los indicadores de B3 (energía y GEI),</w:t>
        <w:br/>
        <w:t xml:space="preserve">B6 (agua) y B7 (residuos).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2" w:name="adjuntar_evidencia_document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Adjuntar evidencia documental</w:t>
      </w:r>
      <w:bookmarkEnd w:id="4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Añade la posibilidad de adjuntar archivos como evidencia en cada datapoint:</w:t>
        <w:br/>
        <w:t xml:space="preserve">facturas, mediciones, certificados. Guárdalos en Supabase Storage. En el</w:t>
        <w:br/>
        <w:t xml:space="preserve">informe, una tabla de trazabilidad que liste cada dato con su evidencia</w:t>
        <w:br/>
        <w:t xml:space="preserve">asociada. Limita los tipos a PDF, imágenes y hojas de cálculo, con un</w:t>
        <w:br/>
        <w:t xml:space="preserve">máximo de 10 MB por archivo.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adaptación_a_la_normativa_venezolan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Adaptación a la normativa venezolana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Añade una capa opcional de requisitos venezolanos junto a los del VSME:</w:t>
        <w:br/>
        <w:t xml:space="preserve">campos para el Registro de Actividades Susceptibles de Degradar el Ambiente,</w:t>
        <w:br/>
        <w:t xml:space="preserve">el manejo de desechos peligrosos según la normativa nacional, y los permisos</w:t>
        <w:br/>
        <w:t xml:space="preserve">ambientales vigentes. Debe quedar claramente separada del contenido VSME de</w:t>
        <w:br/>
        <w:t xml:space="preserve">EFRAG, como módulo adicional y no como parte del estándar europeo.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11_fuen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Fuentes</w:t>
      </w:r>
      <w:bookmarkEnd w:id="44"/>
    </w:p>
    <w:p>
      <w:pPr>
        <w:numPr>
          <w:ilvl w:val="0"/>
          <w:numId w:val="3"/>
        </w:numPr>
        <w:spacing w:line="360" w:before="105" w:after="105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EFRAG — VSME Standard (PDF)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estructura de divulgaciones B1–B11 y C1–C9, y el mapeo SFDR del Apéndice C</w:t>
      </w:r>
    </w:p>
    <w:p>
      <w:pPr>
        <w:numPr>
          <w:ilvl w:val="0"/>
          <w:numId w:val="3"/>
        </w:numPr>
        <w:spacing w:line="360" w:before="105" w:after="105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Google Antigravity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plataforma de desarrollo agéntico</w:t>
      </w:r>
    </w:p>
    <w:p>
      <w:pPr>
        <w:numPr>
          <w:ilvl w:val="0"/>
          <w:numId w:val="3"/>
        </w:numPr>
        <w:spacing w:line="360" w:before="105" w:after="105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Google Antigravity — Pricing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plan individual sin coste, modelos disponibles y límites</w:t>
      </w:r>
    </w:p>
    <w:p>
      <w:pPr>
        <w:numPr>
          <w:ilvl w:val="0"/>
          <w:numId w:val="3"/>
        </w:numPr>
        <w:spacing w:line="360" w:before="105" w:after="105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Antigravity IDE Overview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Editor, agentes, agente de navegador y artifacts</w:t>
      </w:r>
    </w:p>
    <w:p>
      <w:pPr>
        <w:numPr>
          <w:ilvl w:val="0"/>
          <w:numId w:val="3"/>
        </w:numPr>
        <w:spacing w:line="360" w:before="105" w:after="105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Getting Started with Google Antigravity — Google Codelabs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descarga, instalación e inicio de sesión</w:t>
      </w:r>
    </w:p>
    <w:p>
      <w:pPr>
        <w:numPr>
          <w:ilvl w:val="0"/>
          <w:numId w:val="3"/>
        </w:numPr>
        <w:spacing w:line="360" w:before="105" w:after="105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API keys — Supabase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claves publicables,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service_role</w:t>
      </w:r>
    </w:p>
    <w:p>
      <w:pPr>
        <w:numPr>
          <w:ilvl w:val="0"/>
          <w:numId w:val="3"/>
        </w:numPr>
        <w:spacing w:line="360" w:before="105" w:after="105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Supabase MCP Server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ámbitos obligatorios de la app OAuth y recomendaciones de seguridad</w:t>
      </w:r>
    </w:p>
    <w:p>
      <w:pPr>
        <w:numPr>
          <w:ilvl w:val="0"/>
          <w:numId w:val="3"/>
        </w:numPr>
        <w:spacing w:line="360" w:before="105" w:after="105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Scopes for your OAuth App — Supabase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permisos que concede cada ámbito</w:t>
      </w:r>
    </w:p>
    <w:p>
      <w:pPr>
        <w:numPr>
          <w:ilvl w:val="0"/>
          <w:numId w:val="3"/>
        </w:numPr>
        <w:spacing w:line="360" w:before="105" w:after="105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Node.js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descarga del entorno de ejecución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Herramienta de preparación de información. No sustituye el criterio profesional ni un aseguramiento externo.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ntigravity.google/pricing/" TargetMode="External"/><Relationship Id="rId6" Type="http://schemas.openxmlformats.org/officeDocument/2006/relationships/hyperlink" Target="https://antigravity.google/download" TargetMode="External"/><Relationship Id="rId7" Type="http://schemas.openxmlformats.org/officeDocument/2006/relationships/hyperlink" Target="https://codelabs.developers.google.com/getting-started-google-antigravity" TargetMode="External"/><Relationship Id="rId8" Type="http://schemas.openxmlformats.org/officeDocument/2006/relationships/hyperlink" Target="https://codelabs.developers.google.com/getting-started-google-antigravity" TargetMode="External"/><Relationship Id="rId9" Type="http://schemas.openxmlformats.org/officeDocument/2006/relationships/hyperlink" Target="https://antigravity.google/docs/ide/overview/" TargetMode="External"/><Relationship Id="rId10" Type="http://schemas.openxmlformats.org/officeDocument/2006/relationships/hyperlink" Target="https://nodejs.org" TargetMode="External"/><Relationship Id="rId11" Type="http://schemas.openxmlformats.org/officeDocument/2006/relationships/hyperlink" Target="http://localhost:5000" TargetMode="External"/><Relationship Id="rId12" Type="http://schemas.openxmlformats.org/officeDocument/2006/relationships/hyperlink" Target="https://supabase.com" TargetMode="External"/><Relationship Id="rId13" Type="http://schemas.openxmlformats.org/officeDocument/2006/relationships/hyperlink" Target="https://supabase.com/docs/guides/getting-started/api-keys" TargetMode="External"/><Relationship Id="rId14" Type="http://schemas.openxmlformats.org/officeDocument/2006/relationships/hyperlink" Target="https://www.efrag.org/sites/default/files/sites/webpublishing/SiteAssets/VSME%20Standard.pdf" TargetMode="External"/><Relationship Id="rId15" Type="http://schemas.openxmlformats.org/officeDocument/2006/relationships/hyperlink" Target="https://antigravity.google/" TargetMode="External"/><Relationship Id="rId16" Type="http://schemas.openxmlformats.org/officeDocument/2006/relationships/hyperlink" Target="https://antigravity.google/pricing/" TargetMode="External"/><Relationship Id="rId17" Type="http://schemas.openxmlformats.org/officeDocument/2006/relationships/hyperlink" Target="https://antigravity.google/docs/ide/overview/" TargetMode="External"/><Relationship Id="rId18" Type="http://schemas.openxmlformats.org/officeDocument/2006/relationships/hyperlink" Target="https://codelabs.developers.google.com/getting-started-google-antigravity" TargetMode="External"/><Relationship Id="rId19" Type="http://schemas.openxmlformats.org/officeDocument/2006/relationships/hyperlink" Target="https://supabase.com/docs/guides/getting-started/api-keys" TargetMode="External"/><Relationship Id="rId20" Type="http://schemas.openxmlformats.org/officeDocument/2006/relationships/hyperlink" Target="https://supabase.com/docs/guides/ai-tools/mcp" TargetMode="External"/><Relationship Id="rId21" Type="http://schemas.openxmlformats.org/officeDocument/2006/relationships/hyperlink" Target="https://supabase.com/docs/guides/integrations/build-a-supabase-oauth-integration/oauth-scopes" TargetMode="External"/><Relationship Id="rId22" Type="http://schemas.openxmlformats.org/officeDocument/2006/relationships/hyperlink" Target="https://nodejs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2026-09-23T15:11:58.938Z</dcterms:created>
  <dcterms:modified xsi:type="dcterms:W3CDTF">2026-09-23T15:11:58.938Z</dcterms:modified>
</cp:coreProperties>
</file>