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image3.png" ContentType="image/png"/>
  <Override PartName="/word/media/image1.png" ContentType="image/png"/>
  <Override PartName="/word/media/image4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-------"/>
      <w:bookmarkEnd w:id="21"/>
      <w:r>
        <w:t xml:space="preserve">Озвончение и оглушение взрывных согласных в абазинском языке</w:t>
      </w:r>
    </w:p>
    <w:p>
      <w:pPr>
        <w:pStyle w:val="FirstParagraph"/>
      </w:pPr>
      <w:r>
        <w:t xml:space="preserve">Таня Мамонова,</w:t>
      </w:r>
      <w:r>
        <w:t xml:space="preserve"> </w:t>
      </w:r>
      <w:hyperlink r:id="rId22">
        <w:r>
          <w:rPr>
            <w:rStyle w:val="Hyperlink"/>
          </w:rPr>
          <w:t xml:space="preserve">t_mamonovaa@outlook.com</w:t>
        </w:r>
      </w:hyperlink>
    </w:p>
    <w:p>
      <w:pPr>
        <w:pStyle w:val="2"/>
      </w:pPr>
      <w:bookmarkStart w:id="23" w:name="введение"/>
      <w:bookmarkEnd w:id="23"/>
      <w:r>
        <w:t xml:space="preserve">Введение</w:t>
      </w:r>
    </w:p>
    <w:p>
      <w:pPr>
        <w:pStyle w:val="FirstParagraph"/>
      </w:pPr>
      <w:r>
        <w:t xml:space="preserve">В данном отчете будут представлены результаты изучения взрывных согласных абазинского языка и озвончения</w:t>
      </w:r>
      <w:r>
        <w:t xml:space="preserve">в личных глагольных префиксах в Абазинской экспедиции в июле 2018 года. Изучение взрывных согласных состояло из исследования их качеств в позиции VCV и наблюдения за озвончением</w:t>
      </w:r>
      <w:r>
        <w:t xml:space="preserve">в консонантных кластерах в инициали.</w:t>
      </w:r>
      <w:r>
        <w:t xml:space="preserve"> </w:t>
      </w:r>
      <w:r>
        <w:t xml:space="preserve">Для составления анкет использовался словарь В. Тугова, из которого автоматически было выбрано нужное количество слов, соответствующих необходимым критериям.</w:t>
      </w:r>
      <w:r>
        <w:t xml:space="preserve"> </w:t>
      </w:r>
      <w:r>
        <w:t xml:space="preserve">Все данные были получены от 6 носителей женского пола, каждое слово из анкеты было записано трижды изолированно и один раз – во фразовой позиции («я сказал Х три раза»), далее полученные данные обработаны в Praat и R. Вы можете ознакомиться с ними в приложении, которое доступно по ссылке:</w:t>
      </w:r>
      <w:r>
        <w:t xml:space="preserve"> </w:t>
      </w:r>
      <w:hyperlink r:id="rId24">
        <w:r>
          <w:rPr>
            <w:rStyle w:val="Hyperlink"/>
          </w:rPr>
          <w:t xml:space="preserve">https://drive.google.com/open?id=1fEQyGwG6U36RF4KlzErq3uKZKj8UZb4l</w:t>
        </w:r>
      </w:hyperlink>
      <w:r>
        <w:t xml:space="preserve">. К сожалению, из-за слишком большого количества данные на настоящий момент обработаны не до конца и позже отчет будет обновлен.</w:t>
      </w:r>
    </w:p>
    <w:p>
      <w:pPr>
        <w:pStyle w:val="2"/>
      </w:pPr>
      <w:bookmarkStart w:id="25" w:name="-----vv"/>
      <w:bookmarkEnd w:id="25"/>
      <w:r>
        <w:t xml:space="preserve">Изучение взрывных согласных в позиции VСV</w:t>
      </w:r>
    </w:p>
    <w:p>
      <w:pPr>
        <w:pStyle w:val="FirstParagraph"/>
      </w:pPr>
      <w:r>
        <w:t xml:space="preserve">На первом этапе работы были изучены CD-VOT свойства каждого из взрывных согласных в позиции аCа. Благодаря этим свойствам можно увидеть различия между согласными разного типа образования: взрывными звонкими, взрывными глухими и абруптивами. Мы использовали 133 двусложных слова типа аСа с взрывными согласными разного места образования, автоматические полученные из словаря В. Тугова. Позже из них мы выбрали слова только с глухим согласным в интервокали, поскольку деление звонких согласных на CD и VOT части затруднительно из-за их свойств. Количество слов с каждым согласным в интервокали представлено на рисунке ниже.</w:t>
      </w:r>
    </w:p>
    <w:p>
      <w:pPr>
        <w:pStyle w:val="a5"/>
      </w:pPr>
      <w:r>
        <w:t xml:space="preserve">Рисунок 1. Количество слов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1. Количество слов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Гласный а был выбран из-за своей частотности относительно других гласных. Эта анкета была записана с 5 носителями. Каждое слово отдельно было произнесено трижды, и один раз – во фразовой позиции. Далее в Praat каждый согласный был разделен на CD и VOT части (до взрыва и после взрыва) и размечены предыдущий и последующий гласный, пример разметки на рисунке 2.</w:t>
      </w:r>
    </w:p>
    <w:p>
      <w:pPr>
        <w:pStyle w:val="a5"/>
      </w:pPr>
      <w:r>
        <w:t xml:space="preserve">Рисунок 2. Пример разметки в Praat</w:t>
      </w:r>
    </w:p>
    <w:p>
      <w:pPr>
        <w:pStyle w:val="a5"/>
      </w:pPr>
      <w:r>
        <w:t xml:space="preserve">Абсолютные значения CD VOT выглядят следующим образом:</w:t>
      </w:r>
    </w:p>
    <w:p>
      <w:pPr>
        <w:pStyle w:val="a5"/>
      </w:pPr>
      <w:r>
        <w:t xml:space="preserve">Рисунок 3. Абсолютные значения CD и VOT</w:t>
      </w:r>
      <w:r>
        <w:t xml:space="preserve"> </w:t>
      </w:r>
      <w:r>
        <w:drawing>
          <wp:inline>
            <wp:extent cx="5969000" cy="3410857"/>
            <wp:effectExtent b="0" l="0" r="0" t="0"/>
            <wp:docPr descr="Рисунок 3. Абсолютные значения CD и VOT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Мы видим, что качество согласного влияет на его VOT, а именно у глухих оно больше, чем у абруптивов.</w:t>
      </w:r>
    </w:p>
    <w:p>
      <w:pPr>
        <w:pStyle w:val="a5"/>
      </w:pPr>
      <w:r>
        <w:t xml:space="preserve">Статистическая значимость была проверена мультиномиальной регрессией со смешанными эффектами, то есть мы предсказываем тип фонации на основании VOT и со спикером в смешанном эффекте.</w:t>
      </w:r>
    </w:p>
    <w:p>
      <w:pPr>
        <w:pStyle w:val="a5"/>
      </w:pPr>
      <w:r>
        <w:t xml:space="preserve">На рисунке ниже видна зависимость реализации согласных от произнесения</w:t>
      </w:r>
    </w:p>
    <w:p>
      <w:pPr>
        <w:pStyle w:val="a5"/>
      </w:pPr>
      <w:r>
        <w:t xml:space="preserve">Рисунок 4. Абсолютные значение CD и VOT в зависимости от произнесения</w:t>
      </w:r>
      <w:r>
        <w:t xml:space="preserve"> </w:t>
      </w:r>
      <w:r>
        <w:drawing>
          <wp:inline>
            <wp:extent cx="5969000" cy="3410857"/>
            <wp:effectExtent b="0" l="0" r="0" t="0"/>
            <wp:docPr descr="Рисунок 4. Абсолютные значения CD и VOT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Видно, что отмеченные нами предыдущие свойства VOT сохраняются и для каждого из произнесений, однако в некоторых случаях разброс значений намного выше ожидаемого.</w:t>
      </w:r>
    </w:p>
    <w:p>
      <w:pPr>
        <w:pStyle w:val="a5"/>
      </w:pPr>
      <w:r>
        <w:t xml:space="preserve">На рисунке 5 показано соотношение долей CD и VOT относительно каждого из согласных</w:t>
      </w:r>
    </w:p>
    <w:p>
      <w:pPr>
        <w:pStyle w:val="a5"/>
      </w:pPr>
      <w:r>
        <w:t xml:space="preserve">Рисунок 5. соотношение долей CD и VOT относительно каждого из согласных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5. Соотношение долей CD и VOT относительно каждого из согласных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Мы снова видим, что в большинстве случаев оно зависит от качества звука, однако пара q – q` выбивается из этого.</w:t>
      </w:r>
    </w:p>
    <w:p>
      <w:pPr>
        <w:pStyle w:val="a5"/>
      </w:pPr>
      <w:r>
        <w:t xml:space="preserve">На рисунке 6 представлена зависимость соотношения частей звука от произнесения:</w:t>
      </w:r>
    </w:p>
    <w:p>
      <w:pPr>
        <w:pStyle w:val="a5"/>
      </w:pPr>
      <w:r>
        <w:t xml:space="preserve">Рисунок 6. Зависимость соотношения частей звука от произнесения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6. Зависимость от произнесения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Как заметно, в целом соотношение не меняется, за исключением звука q в первом произнесении. На данный момент мы не знаем, чем это может быть объяснено.</w:t>
      </w:r>
    </w:p>
    <w:p>
      <w:pPr>
        <w:pStyle w:val="a5"/>
      </w:pPr>
      <w:r>
        <w:t xml:space="preserve">Таким образом, на основании описанных выше графиков мы можем сделать выводы, что в абазинском языке качество согласного звука влияет на его CD VOT свойства. В частности, у глухих VOT-часть больше, чем у абруптивов. Однако есть особенности, которые требуют дальнейшего исследования</w:t>
      </w:r>
    </w:p>
    <w:p>
      <w:pPr>
        <w:pStyle w:val="3"/>
      </w:pPr>
      <w:bookmarkStart w:id="31" w:name="----"/>
      <w:bookmarkEnd w:id="31"/>
      <w:r>
        <w:t xml:space="preserve">Изучение консонантных кластеров в инициали</w:t>
      </w:r>
    </w:p>
    <w:p>
      <w:pPr>
        <w:pStyle w:val="FirstParagraph"/>
      </w:pPr>
      <w:r>
        <w:t xml:space="preserve">На следующем этапе работы было записано с 6 носителями 102 слова с кластерами согласных (глухой + звонкий и звонкий + глухой) в начале слова. Количество слов, выбранных случайным образом из словаря В. Тугова с кластерами в конце слова, оказалось недостаточным для дальнейшего подробного анализа, поскольку консонантный кластер в финали большей части слов содержит два глухих звука. Случаев озвончения глухого выявлено не было, поэтому дальше мы рассматривали только случаи с оглушением согласного в кластерах типа +voice-voice</w:t>
      </w:r>
      <w:r>
        <w:t xml:space="preserve"> </w:t>
      </w:r>
      <w:r>
        <w:t xml:space="preserve">В консонантных кластерах (+voice-voice) в начале слова выявились две стратегии взаимодействия этих согласных:</w:t>
      </w:r>
      <w:r>
        <w:t xml:space="preserve"> </w:t>
      </w:r>
      <w:r>
        <w:t xml:space="preserve">• Звонкий оглушается</w:t>
      </w:r>
      <w:r>
        <w:t xml:space="preserve"> </w:t>
      </w:r>
      <w:r>
        <w:t xml:space="preserve">• Звонкий остается звонким, но после него вставляется гласный</w:t>
      </w:r>
    </w:p>
    <w:p>
      <w:pPr>
        <w:pStyle w:val="a5"/>
      </w:pPr>
      <w:r>
        <w:t xml:space="preserve">Позднее будет подсчитана статистическая значимость, на основе которой можно будет сделать выводы о том, какая стратегия в каком случае встречается.</w:t>
      </w:r>
      <w:r>
        <w:t xml:space="preserve"> </w:t>
      </w:r>
      <w:r>
        <w:t xml:space="preserve">Последующее изучение данной темы может состоять в выявлении конкретных случаев вставления гласного после звонкого, например, возможно фонотактическое влияние на выбор одной из стратегий.</w:t>
      </w:r>
    </w:p>
    <w:p>
      <w:pPr>
        <w:pStyle w:val="3"/>
      </w:pPr>
      <w:bookmarkStart w:id="32" w:name="-----"/>
      <w:bookmarkEnd w:id="32"/>
      <w:r>
        <w:t xml:space="preserve">Озвончение и оглушение в личных префиксах</w:t>
      </w:r>
    </w:p>
    <w:p>
      <w:pPr>
        <w:pStyle w:val="FirstParagraph"/>
      </w:pPr>
      <w:r>
        <w:t xml:space="preserve">Известно [Ломатидзе 2006: стр. 145], что личный префикс может озвончаться или оглушаться в зависимости от начального согласного глагольного корня, причем на данный момент неизвестно, что именно влияет на озвончение, а что – на оглушение. Кроме того, считается [Ломатидзе 2006: стр.145], что на озвончение влияет переходность глагола: озвончаться могут только префиксы эргатива. Для проверки этого утверждения было взято 19 односложных переходных и 2 непереходных глагола с доминантными и рецессивными корнями, которые начинаются на взрывной согласный и составлены с ними следующие глагольные формы с различными комбинациями лица и числа:</w:t>
      </w:r>
      <w:r>
        <w:t xml:space="preserve"> </w:t>
      </w:r>
      <w:r>
        <w:t xml:space="preserve">• Настоящее время</w:t>
      </w:r>
      <w:r>
        <w:t xml:space="preserve"> </w:t>
      </w:r>
      <w:r>
        <w:t xml:space="preserve">• Отрицание + прошедшее время</w:t>
      </w:r>
    </w:p>
    <w:p>
      <w:pPr>
        <w:pStyle w:val="a5"/>
      </w:pPr>
      <w:r>
        <w:t xml:space="preserve">Все стимулы в анкете были на абазинском языке с переводом на русский язык, в некоторых случаях консультанты помогали исправить ошибки в построении глагольных форм. Каждый стимул записывался трижды с 6 носителями. Анкета представлена в приложении.</w:t>
      </w:r>
    </w:p>
    <w:p>
      <w:pPr>
        <w:pStyle w:val="a5"/>
      </w:pPr>
      <w:r>
        <w:t xml:space="preserve">Начальный согласный корня тоже может находиться под влиянием фонетических процессов, в частности, ассимиляции по глухости-звонкости с последующим согласным. Рассмотрим пару переходных глаголов</w:t>
      </w:r>
      <w:r>
        <w:t xml:space="preserve"> </w:t>
      </w:r>
      <w:r>
        <w:t xml:space="preserve">“</w:t>
      </w:r>
      <w:r>
        <w:t xml:space="preserve">бгърА</w:t>
      </w:r>
      <w:r>
        <w:t xml:space="preserve">”</w:t>
      </w:r>
      <w:r>
        <w:t xml:space="preserve"> </w:t>
      </w:r>
      <w:r>
        <w:t xml:space="preserve">“</w:t>
      </w:r>
      <w:r>
        <w:t xml:space="preserve">чесать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бкъарА</w:t>
      </w:r>
      <w:r>
        <w:t xml:space="preserve">”</w:t>
      </w:r>
      <w:r>
        <w:t xml:space="preserve"> </w:t>
      </w:r>
      <w:r>
        <w:t xml:space="preserve">“</w:t>
      </w:r>
      <w:r>
        <w:t xml:space="preserve">бить</w:t>
      </w:r>
      <w:r>
        <w:t xml:space="preserve">”</w:t>
      </w:r>
      <w:r>
        <w:t xml:space="preserve">. Собранные словоформы представлены в таблице ниже.</w:t>
      </w:r>
    </w:p>
    <w:p>
      <w:pPr>
        <w:pStyle w:val="a5"/>
      </w:pPr>
      <w:r>
        <w:t xml:space="preserve">Таблица 1. Сравнение словоформ глаголов</w:t>
      </w:r>
      <w:r>
        <w:t xml:space="preserve"> </w:t>
      </w:r>
      <w:r>
        <w:t xml:space="preserve">“</w:t>
      </w:r>
      <w:r>
        <w:t xml:space="preserve">бгърА</w:t>
      </w:r>
      <w:r>
        <w:t xml:space="preserve">”</w:t>
      </w:r>
      <w:r>
        <w:t xml:space="preserve"> </w:t>
      </w:r>
      <w:r>
        <w:t xml:space="preserve">“</w:t>
      </w:r>
      <w:r>
        <w:t xml:space="preserve">чесать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бкъарА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бить</w:t>
      </w:r>
      <w:r>
        <w:t xml:space="preserve">”</w:t>
      </w:r>
    </w:p>
    <w:p>
      <w:pPr>
        <w:pStyle w:val="a5"/>
      </w:pPr>
      <w:r>
        <w:t xml:space="preserve">ВСТАВИТЬ ТАБЛИЦУ УЖЕ В ВОРДЕ</w:t>
      </w:r>
    </w:p>
    <w:p>
      <w:pPr>
        <w:pStyle w:val="a5"/>
      </w:pPr>
      <w:r>
        <w:t xml:space="preserve">Мы видим, что префиксы эргатива действительно озвончаются,а префиксы абсолютива - нет. Кроме того, абсолютивный префикс 3 лица единственного числа д- может оглушаться, если согласный, на который начинается корень, тоже глухой.</w:t>
      </w:r>
    </w:p>
    <w:p>
      <w:pPr>
        <w:pStyle w:val="a5"/>
      </w:pPr>
      <w:r>
        <w:t xml:space="preserve">Кроме того, мы проверили, может ли влиять доминантность</w:t>
      </w:r>
      <w:r>
        <w:t xml:space="preserve">корня на реализацию личных префиксов на примере минимальной пары глаголов</w:t>
      </w:r>
      <w:r>
        <w:t xml:space="preserve"> </w:t>
      </w:r>
      <w:r>
        <w:t xml:space="preserve">“</w:t>
      </w:r>
      <w:r>
        <w:t xml:space="preserve">пить</w:t>
      </w:r>
      <w:r>
        <w:t xml:space="preserve">”</w:t>
      </w:r>
      <w:r>
        <w:t xml:space="preserve"> </w:t>
      </w:r>
      <w:r>
        <w:t xml:space="preserve">(доминантный) и</w:t>
      </w:r>
      <w:r>
        <w:t xml:space="preserve"> </w:t>
      </w:r>
      <w:r>
        <w:t xml:space="preserve">“</w:t>
      </w:r>
      <w:r>
        <w:t xml:space="preserve">варить</w:t>
      </w:r>
      <w:r>
        <w:t xml:space="preserve">”</w:t>
      </w:r>
      <w:r>
        <w:t xml:space="preserve"> </w:t>
      </w:r>
      <w:r>
        <w:t xml:space="preserve">(рецессивный)</w:t>
      </w:r>
    </w:p>
    <w:p>
      <w:pPr>
        <w:pStyle w:val="a5"/>
      </w:pPr>
      <w:r>
        <w:t xml:space="preserve">Таблица 2. Сравнение словоформ глаголов</w:t>
      </w:r>
      <w:r>
        <w:t xml:space="preserve"> </w:t>
      </w:r>
      <w:r>
        <w:t xml:space="preserve">“</w:t>
      </w:r>
      <w:r>
        <w:t xml:space="preserve">жвра</w:t>
      </w:r>
      <w:r>
        <w:t xml:space="preserve">”</w:t>
      </w:r>
      <w:r>
        <w:t xml:space="preserve"> </w:t>
      </w:r>
      <w:r>
        <w:t xml:space="preserve">“</w:t>
      </w:r>
      <w:r>
        <w:t xml:space="preserve">пить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жврА</w:t>
      </w:r>
      <w:r>
        <w:t xml:space="preserve">”</w:t>
      </w:r>
      <w:r>
        <w:t xml:space="preserve"> </w:t>
      </w:r>
      <w:r>
        <w:t xml:space="preserve">“</w:t>
      </w:r>
      <w:r>
        <w:t xml:space="preserve">варить</w:t>
      </w:r>
      <w:r>
        <w:t xml:space="preserve">”</w:t>
      </w:r>
    </w:p>
    <w:p>
      <w:pPr>
        <w:pStyle w:val="a5"/>
      </w:pPr>
      <w:r>
        <w:t xml:space="preserve">ВСТАВИТЬ ЕЩЕ РАЗ ТАБЛИЦУ</w:t>
      </w:r>
    </w:p>
    <w:p>
      <w:pPr>
        <w:pStyle w:val="a5"/>
      </w:pPr>
      <w:r>
        <w:t xml:space="preserve">Мы видим, что эргатив либо сохраняет звонкость, либо озвончается во всех личных префиксах в глаголах с рецессивной основой и оглушается, либо сохраняет глухость во всех личных префиксах с доминантной основой.</w:t>
      </w:r>
    </w:p>
    <w:p>
      <w:pPr>
        <w:pStyle w:val="a5"/>
      </w:pPr>
      <w:r>
        <w:t xml:space="preserve">Кроме того, в обоих рассмотренных нами случаях в некоторых словоформах орфография отражает фонетические изменения, а в некоторых нет.</w:t>
      </w:r>
    </w:p>
    <w:p>
      <w:pPr>
        <w:pStyle w:val="a5"/>
      </w:pPr>
      <w:r>
        <w:t xml:space="preserve">К сожалению, полученных и обработанных данных, которые приведены в этом разделе, пока что недостаточно для того, чтобы делать какие-либо окончательные выводы. В дальнейшем исследовании этой темы следует проверить зависимость озвончения и оглушения от других фонетических и морфологических факторов.</w:t>
      </w:r>
    </w:p>
    <w:p>
      <w:pPr>
        <w:pStyle w:val="3"/>
      </w:pPr>
      <w:bookmarkStart w:id="33" w:name="заключение"/>
      <w:bookmarkEnd w:id="33"/>
      <w:r>
        <w:t xml:space="preserve">Заключение</w:t>
      </w:r>
    </w:p>
    <w:p>
      <w:pPr>
        <w:pStyle w:val="FirstParagraph"/>
      </w:pPr>
      <w:r>
        <w:t xml:space="preserve">В данной работе мы рассмотрели свойства взрывных согласных звуков абазинского языка, выявили влияние качества согласного на его CD VOT свойства. Рассмотрели две стратегии реализации в кластерах взрывных согласных. Дальнейшее изучение этой темы может заключаться в более подробном описании различных случаев реализации глухих и звонких согласных различного места образования в консонантных кластерах и в социолингвистическом аспекте изучения CD и VOT свойств взрывных согласных. Морфонологические изменения, которые были найдены в глагольных формах, требуют более детального исследования.</w:t>
      </w:r>
    </w:p>
    <w:p>
      <w:pPr>
        <w:pStyle w:val="3"/>
      </w:pPr>
      <w:bookmarkStart w:id="34" w:name="литература"/>
      <w:bookmarkEnd w:id="34"/>
      <w:r>
        <w:t xml:space="preserve">Литература</w:t>
      </w:r>
    </w:p>
    <w:p>
      <w:pPr>
        <w:pStyle w:val="Compact"/>
        <w:numPr>
          <w:numId w:val="1001"/>
          <w:ilvl w:val="0"/>
        </w:numPr>
      </w:pPr>
      <w:r>
        <w:t xml:space="preserve">К.В. Ломатидзе (2006). Абазинский язык (краткое обозрение).Тбилиси.</w:t>
      </w:r>
    </w:p>
    <w:sectPr w:rsidR="00B6211E">
      <w:pgSz w:w="12240" w:h="15840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rill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30DF"/>
    <w:multiLevelType w:val="multilevel"/>
    <w:tmpl w:val="10D07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1C603D"/>
    <w:multiLevelType w:val="multilevel"/>
    <w:tmpl w:val="BB16D7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0">
    <w:nsid w:val="f1dea4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f637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Heading"/>
    <w:uiPriority w:val="9"/>
    <w:unhideWhenUsed/>
    <w:qFormat/>
    <w:pPr>
      <w:keepNext/>
      <w:keepLines/>
      <w:spacing w:before="200"/>
      <w:outlineLvl w:val="1"/>
    </w:pPr>
    <w:rPr>
      <w:rFonts w:ascii="Brill" w:eastAsiaTheme="majorEastAsia" w:hAnsi="Brill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/>
      <w:outlineLvl w:val="2"/>
    </w:pPr>
    <w:rPr>
      <w:rFonts w:ascii="Brill" w:eastAsiaTheme="majorEastAsia" w:hAnsi="Brill" w:cstheme="majorBidi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/>
      <w:outlineLvl w:val="3"/>
    </w:pPr>
    <w:rPr>
      <w:rFonts w:ascii="Brill" w:eastAsiaTheme="majorEastAsia" w:hAnsi="Brill" w:cstheme="majorBidi"/>
      <w:b/>
      <w:bCs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qFormat/>
  </w:style>
  <w:style w:type="character" w:customStyle="1" w:styleId="VerbatimChar">
    <w:name w:val="Verbatim Char"/>
    <w:basedOn w:val="a3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a3"/>
    <w:rPr>
      <w:vertAlign w:val="superscript"/>
    </w:rPr>
  </w:style>
  <w:style w:type="character" w:customStyle="1" w:styleId="InternetLink">
    <w:name w:val="Internet Link"/>
    <w:basedOn w:val="a3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paragraph" w:customStyle="1" w:styleId="Heading">
    <w:name w:val="Heading"/>
    <w:basedOn w:val="a"/>
    <w:next w:val="a5"/>
    <w:qFormat/>
    <w:pPr>
      <w:keepNext/>
    </w:pPr>
    <w:rPr>
      <w:rFonts w:eastAsia="AR PL SungtiL GB" w:cs="FreeSans"/>
      <w:sz w:val="28"/>
      <w:szCs w:val="28"/>
    </w:rPr>
  </w:style>
  <w:style w:type="paragraph" w:styleId="a5">
    <w:name w:val="Body Text"/>
    <w:basedOn w:val="a"/>
    <w:qFormat/>
    <w:pPr>
      <w:ind w:firstLine="567"/>
    </w:pPr>
    <w:rPr>
      <w:rFonts w:ascii="Brill" w:hAnsi="Brill"/>
    </w:rPr>
  </w:style>
  <w:style w:type="paragraph" w:styleId="a6">
    <w:name w:val="List"/>
    <w:basedOn w:val="a5"/>
    <w:rPr>
      <w:rFonts w:cs="FreeSans"/>
    </w:rPr>
  </w:style>
  <w:style w:type="paragraph" w:styleId="a4">
    <w:name w:val="caption"/>
    <w:basedOn w:val="a"/>
    <w:link w:val="a3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a5"/>
    <w:qFormat/>
    <w:pPr>
      <w:ind w:firstLine="0"/>
    </w:pPr>
  </w:style>
  <w:style w:type="paragraph" w:customStyle="1" w:styleId="Compact">
    <w:name w:val="Compact"/>
    <w:basedOn w:val="a5"/>
    <w:qFormat/>
    <w:pPr>
      <w:ind w:firstLine="0"/>
      <w:jc w:val="left"/>
    </w:pPr>
  </w:style>
  <w:style w:type="paragraph" w:styleId="a7">
    <w:name w:val="Title"/>
    <w:basedOn w:val="a"/>
    <w:qFormat/>
    <w:rsid w:val="00B5544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uto"/>
      <w:sz w:val="28"/>
      <w:szCs w:val="36"/>
    </w:rPr>
  </w:style>
  <w:style w:type="paragraph" w:styleId="a8">
    <w:name w:val="Subtitle"/>
    <w:basedOn w:val="a7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a9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a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pPr>
      <w:spacing w:before="283"/>
      <w:ind w:left="283" w:hanging="283"/>
      <w:contextualSpacing/>
    </w:pPr>
    <w:rPr>
      <w:rFonts w:ascii="Brill" w:hAnsi="Brill"/>
      <w:sz w:val="20"/>
    </w:rPr>
  </w:style>
  <w:style w:type="paragraph" w:styleId="ab">
    <w:name w:val="Block Text"/>
    <w:basedOn w:val="a5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  <w:rPr>
      <w:rFonts w:ascii="Brill" w:hAnsi="Brill"/>
      <w:sz w:val="22"/>
    </w:rPr>
  </w:style>
  <w:style w:type="paragraph" w:customStyle="1" w:styleId="DefinitionTerm">
    <w:name w:val="Definition Term"/>
    <w:basedOn w:val="a"/>
    <w:qFormat/>
    <w:pPr>
      <w:keepNext/>
      <w:keepLines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  <w:rPr>
      <w:rFonts w:ascii="Brill" w:hAnsi="Brill"/>
    </w:rPr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d">
    <w:name w:val="TOC Heading"/>
    <w:basedOn w:val="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  <w:spacing w:before="283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4" Target="https://drive.google.com/open?id=1fEQyGwG6U36RF4KlzErq3uKZKj8UZb4l" TargetMode="External" /><Relationship Type="http://schemas.openxmlformats.org/officeDocument/2006/relationships/hyperlink" Id="rId22" Target="mailto:t_mamonovaa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open?id=1fEQyGwG6U36RF4KlzErq3uKZKj8UZb4l" TargetMode="External" /><Relationship Type="http://schemas.openxmlformats.org/officeDocument/2006/relationships/hyperlink" Id="rId22" Target="mailto:t_mamonovaa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3522</Words>
  <Characters>20082</Characters>
  <Application>Microsoft Office Word</Application>
  <DocSecurity>0</DocSecurity>
  <Lines>167</Lines>
  <Paragraphs>47</Paragraphs>
  <ScaleCrop>false</ScaleCrop>
  <Company>Microsoft</Company>
  <LinksUpToDate>false</LinksUpToDate>
  <CharactersWithSpaces>23557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2018-09-01T17:31:58Z</dcterms:created>
  <dcterms:modified xsi:type="dcterms:W3CDTF">2018-09-01T17:31:58Z</dcterms:modified>
</cp:coreProperties>
</file>