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11E" w:rsidRDefault="001870D9">
      <w:pPr>
        <w:pStyle w:val="2"/>
      </w:pPr>
      <w:bookmarkStart w:id="0" w:name="noun-classes-in-zilo-andi-experimental-d"/>
      <w:bookmarkStart w:id="1" w:name="_GoBack"/>
      <w:bookmarkEnd w:id="0"/>
      <w:r>
        <w:t xml:space="preserve">Noun classes in </w:t>
      </w:r>
      <w:proofErr w:type="spellStart"/>
      <w:r>
        <w:t>Zilo</w:t>
      </w:r>
      <w:proofErr w:type="spellEnd"/>
      <w:r>
        <w:t xml:space="preserve"> </w:t>
      </w:r>
      <w:proofErr w:type="spellStart"/>
      <w:r>
        <w:t>Andi</w:t>
      </w:r>
      <w:proofErr w:type="spellEnd"/>
      <w:r>
        <w:t>: experimental data</w:t>
      </w:r>
      <w:bookmarkEnd w:id="1"/>
      <w:r>
        <w:rPr>
          <w:rStyle w:val="FootnoteAnchor"/>
        </w:rPr>
        <w:footnoteReference w:id="1"/>
      </w:r>
    </w:p>
    <w:p w:rsidR="00B6211E" w:rsidRDefault="001870D9">
      <w:pPr>
        <w:pStyle w:val="a5"/>
      </w:pPr>
      <w:r>
        <w:t xml:space="preserve">George </w:t>
      </w:r>
      <w:proofErr w:type="spellStart"/>
      <w:r>
        <w:t>Moroz</w:t>
      </w:r>
      <w:proofErr w:type="spellEnd"/>
      <w:r>
        <w:t xml:space="preserve">, Samira </w:t>
      </w:r>
      <w:proofErr w:type="spellStart"/>
      <w:r>
        <w:t>Verhees</w:t>
      </w:r>
      <w:proofErr w:type="spellEnd"/>
    </w:p>
    <w:p w:rsidR="00B6211E" w:rsidRDefault="001870D9">
      <w:pPr>
        <w:pStyle w:val="a5"/>
      </w:pPr>
      <w:r>
        <w:t>Linguistic Convergence Laboratory at NRU HSE, Moscow</w:t>
      </w:r>
    </w:p>
    <w:p w:rsidR="00B6211E" w:rsidRDefault="001870D9">
      <w:pPr>
        <w:pStyle w:val="a5"/>
      </w:pPr>
      <w:hyperlink r:id="rId7">
        <w:r>
          <w:rPr>
            <w:rStyle w:val="InternetLink"/>
          </w:rPr>
          <w:t>agricolamz@gmail.com</w:t>
        </w:r>
      </w:hyperlink>
      <w:r>
        <w:t xml:space="preserve">, </w:t>
      </w:r>
      <w:hyperlink r:id="rId8">
        <w:r>
          <w:rPr>
            <w:rStyle w:val="InternetLink"/>
          </w:rPr>
          <w:t>jh.verhees@gmail.com</w:t>
        </w:r>
      </w:hyperlink>
    </w:p>
    <w:p w:rsidR="00B6211E" w:rsidRDefault="001870D9">
      <w:pPr>
        <w:pStyle w:val="3"/>
      </w:pPr>
      <w:bookmarkStart w:id="2" w:name="abstract"/>
      <w:bookmarkEnd w:id="2"/>
      <w:r>
        <w:t>Abstract</w:t>
      </w:r>
    </w:p>
    <w:p w:rsidR="00B6211E" w:rsidRDefault="001870D9">
      <w:pPr>
        <w:pStyle w:val="FirstParagraph"/>
      </w:pPr>
      <w:r>
        <w:t xml:space="preserve">This paper evaluates the </w:t>
      </w:r>
      <w:proofErr w:type="spellStart"/>
      <w:r>
        <w:t>interspeaker</w:t>
      </w:r>
      <w:proofErr w:type="spellEnd"/>
      <w:r>
        <w:t xml:space="preserve"> variation in noun class assignment among speakers of the </w:t>
      </w:r>
      <w:proofErr w:type="spellStart"/>
      <w:r>
        <w:t>Zilo</w:t>
      </w:r>
      <w:proofErr w:type="spellEnd"/>
      <w:r>
        <w:t xml:space="preserve"> dialect of </w:t>
      </w:r>
      <w:proofErr w:type="spellStart"/>
      <w:r>
        <w:t>Andi</w:t>
      </w:r>
      <w:proofErr w:type="spellEnd"/>
      <w:r>
        <w:t xml:space="preserve"> (a </w:t>
      </w:r>
      <w:proofErr w:type="spellStart"/>
      <w:r>
        <w:t>Nakh-Daghestanian</w:t>
      </w:r>
      <w:proofErr w:type="spellEnd"/>
      <w:r>
        <w:t xml:space="preserve"> language spoken in the Republic of </w:t>
      </w:r>
      <w:proofErr w:type="spellStart"/>
      <w:r>
        <w:t>Daghestan</w:t>
      </w:r>
      <w:proofErr w:type="spellEnd"/>
      <w:r>
        <w:t xml:space="preserve">). The nominal lexicon in </w:t>
      </w:r>
      <w:proofErr w:type="spellStart"/>
      <w:r>
        <w:t>Andi</w:t>
      </w:r>
      <w:proofErr w:type="spellEnd"/>
      <w:r>
        <w:t xml:space="preserve"> </w:t>
      </w:r>
      <w:proofErr w:type="gramStart"/>
      <w:r>
        <w:t>is divided</w:t>
      </w:r>
      <w:proofErr w:type="gramEnd"/>
      <w:r>
        <w:t xml:space="preserve"> in </w:t>
      </w:r>
      <w:r>
        <w:t>three to six classes, depending on the dialect. In dialects with more numerous classes, there are two to three classes for inanimate objects with no obvious semantic distinction between them, while the remaining three classes (male, female, non-human anima</w:t>
      </w:r>
      <w:r>
        <w:t xml:space="preserve">te) are semantically transparent and predictably refer to either male, female or non-human animate referents respectively. We designed an experiment to test whether the assignment of inanimate noun classes is consistent across speakers in different layers </w:t>
      </w:r>
      <w:r>
        <w:t xml:space="preserve">of the lexicon, including native words, older loan words, and more recent borrowings from Russian. As we will show, speakers are </w:t>
      </w:r>
      <w:proofErr w:type="gramStart"/>
      <w:r>
        <w:t>fairly consistent</w:t>
      </w:r>
      <w:proofErr w:type="gramEnd"/>
      <w:r>
        <w:t xml:space="preserve"> in assigning certain noun classes, though some variation occurs in all layers of the lexicon; variation is co</w:t>
      </w:r>
      <w:r>
        <w:t>nsiderably higher with respect to more recent loan words and among younger speakers.</w:t>
      </w:r>
    </w:p>
    <w:p w:rsidR="00B6211E" w:rsidRDefault="001870D9">
      <w:pPr>
        <w:pStyle w:val="3"/>
      </w:pPr>
      <w:bookmarkStart w:id="3" w:name="introduction"/>
      <w:bookmarkEnd w:id="3"/>
      <w:r>
        <w:t>1. Introduction</w:t>
      </w:r>
    </w:p>
    <w:p w:rsidR="00B6211E" w:rsidRDefault="001870D9">
      <w:pPr>
        <w:pStyle w:val="FirstParagraph"/>
      </w:pPr>
      <w:proofErr w:type="spellStart"/>
      <w:r>
        <w:t>Andi</w:t>
      </w:r>
      <w:proofErr w:type="spellEnd"/>
      <w:r>
        <w:t xml:space="preserve"> is a minority language spoken in a mountainous area in northwestern </w:t>
      </w:r>
      <w:proofErr w:type="spellStart"/>
      <w:r>
        <w:t>Daghestan</w:t>
      </w:r>
      <w:proofErr w:type="spellEnd"/>
      <w:r>
        <w:t xml:space="preserve"> (one of the North Caucasian autonomous republics of the Russian Federati</w:t>
      </w:r>
      <w:r>
        <w:t xml:space="preserve">on). The nominal lexicon in </w:t>
      </w:r>
      <w:proofErr w:type="spellStart"/>
      <w:r>
        <w:t>Andi</w:t>
      </w:r>
      <w:proofErr w:type="spellEnd"/>
      <w:r>
        <w:t xml:space="preserve"> </w:t>
      </w:r>
      <w:proofErr w:type="gramStart"/>
      <w:r>
        <w:t>is divided</w:t>
      </w:r>
      <w:proofErr w:type="gramEnd"/>
      <w:r>
        <w:t xml:space="preserve"> into three to six classes. Some of these classes are semantically transparent, while others are not; in addition to masculine and feminine, non-human animates and two to three kinds of inanimate objects </w:t>
      </w:r>
      <w:proofErr w:type="gramStart"/>
      <w:r>
        <w:t>can be di</w:t>
      </w:r>
      <w:r>
        <w:t>stinguished</w:t>
      </w:r>
      <w:proofErr w:type="gramEnd"/>
      <w:r>
        <w:t xml:space="preserve">. The difference between the various inanimate classes remains unclear. All nouns in </w:t>
      </w:r>
      <w:proofErr w:type="spellStart"/>
      <w:r>
        <w:t>Andi</w:t>
      </w:r>
      <w:proofErr w:type="spellEnd"/>
      <w:r>
        <w:t xml:space="preserve"> belong to a class. This includes the influx of recent borrowings from Russian connected to technological innovations. Surprisingly, newly introduced nouns </w:t>
      </w:r>
      <w:r>
        <w:t xml:space="preserve">for objects like computers and </w:t>
      </w:r>
      <w:proofErr w:type="spellStart"/>
      <w:r>
        <w:t>simcards</w:t>
      </w:r>
      <w:proofErr w:type="spellEnd"/>
      <w:r>
        <w:t xml:space="preserve"> </w:t>
      </w:r>
      <w:proofErr w:type="gramStart"/>
      <w:r>
        <w:t>are assigned</w:t>
      </w:r>
      <w:proofErr w:type="gramEnd"/>
      <w:r>
        <w:t xml:space="preserve"> </w:t>
      </w:r>
      <w:r>
        <w:rPr>
          <w:i/>
        </w:rPr>
        <w:t>different</w:t>
      </w:r>
      <w:r>
        <w:t xml:space="preserve"> inanimate classes, which suggests some kind of semantic distinction between these classes. As this regularity seems far from </w:t>
      </w:r>
      <w:proofErr w:type="gramStart"/>
      <w:r>
        <w:t>straight-forward</w:t>
      </w:r>
      <w:proofErr w:type="gramEnd"/>
      <w:r>
        <w:t xml:space="preserve">, we decided to conduct an experiment to measure </w:t>
      </w:r>
      <w:proofErr w:type="spellStart"/>
      <w:r>
        <w:t>int</w:t>
      </w:r>
      <w:r>
        <w:t>erspeaker</w:t>
      </w:r>
      <w:proofErr w:type="spellEnd"/>
      <w:r>
        <w:t xml:space="preserve"> variation regarding noun class assignment. For this purpose, we compiled a list of 114 lexical items, which includes borrowings from different periods as well as basic lexicon, and verified their class affiliation with sixteen speakers of differe</w:t>
      </w:r>
      <w:r>
        <w:t xml:space="preserve">nt ages and genders. We recorded variation in every part of the lexicon, though it was significantly higher for borrowed words. We also detected a stronger tendency to variation among younger speakers. In Section 2 of this </w:t>
      </w:r>
      <w:proofErr w:type="gramStart"/>
      <w:r>
        <w:t>paper</w:t>
      </w:r>
      <w:proofErr w:type="gramEnd"/>
      <w:r>
        <w:t xml:space="preserve"> we introduce the </w:t>
      </w:r>
      <w:proofErr w:type="spellStart"/>
      <w:r>
        <w:t>Andi</w:t>
      </w:r>
      <w:proofErr w:type="spellEnd"/>
      <w:r>
        <w:t xml:space="preserve"> langu</w:t>
      </w:r>
      <w:r>
        <w:t xml:space="preserve">age, its dialects and sociolinguistic background. Section 3 </w:t>
      </w:r>
      <w:proofErr w:type="gramStart"/>
      <w:r>
        <w:t>provides a brief introduction to</w:t>
      </w:r>
      <w:proofErr w:type="gramEnd"/>
      <w:r>
        <w:t xml:space="preserve"> the grammatical category of noun class and the class systems attested in various dialects of </w:t>
      </w:r>
      <w:proofErr w:type="spellStart"/>
      <w:r>
        <w:t>Andi</w:t>
      </w:r>
      <w:proofErr w:type="spellEnd"/>
      <w:r>
        <w:t xml:space="preserve">, as well as those of </w:t>
      </w:r>
      <w:proofErr w:type="spellStart"/>
      <w:r>
        <w:t>neighbouring</w:t>
      </w:r>
      <w:proofErr w:type="spellEnd"/>
      <w:r>
        <w:t xml:space="preserve"> and closely related languages. </w:t>
      </w:r>
      <w:r>
        <w:t xml:space="preserve">In Section </w:t>
      </w:r>
      <w:proofErr w:type="gramStart"/>
      <w:r>
        <w:t>4</w:t>
      </w:r>
      <w:proofErr w:type="gramEnd"/>
      <w:r>
        <w:t xml:space="preserve"> we discuss the pure agreement percentages among the surveyed speakers and the results from Fleiss’ Kappa test. Section 5 summarizes our findings.</w:t>
      </w:r>
    </w:p>
    <w:p w:rsidR="00B6211E" w:rsidRDefault="001870D9">
      <w:pPr>
        <w:pStyle w:val="3"/>
      </w:pPr>
      <w:bookmarkStart w:id="4" w:name="andi-background"/>
      <w:bookmarkEnd w:id="4"/>
      <w:r>
        <w:lastRenderedPageBreak/>
        <w:t xml:space="preserve">2. </w:t>
      </w:r>
      <w:proofErr w:type="spellStart"/>
      <w:r>
        <w:t>Andi</w:t>
      </w:r>
      <w:proofErr w:type="spellEnd"/>
      <w:r>
        <w:t xml:space="preserve"> (background)</w:t>
      </w:r>
    </w:p>
    <w:p w:rsidR="00B6211E" w:rsidRDefault="001870D9">
      <w:pPr>
        <w:pStyle w:val="FirstParagraph"/>
      </w:pPr>
      <w:proofErr w:type="spellStart"/>
      <w:r>
        <w:t>Andi</w:t>
      </w:r>
      <w:proofErr w:type="spellEnd"/>
      <w:r>
        <w:t xml:space="preserve"> is an unwritten language of </w:t>
      </w:r>
      <w:proofErr w:type="spellStart"/>
      <w:r>
        <w:t>Daghestan</w:t>
      </w:r>
      <w:proofErr w:type="spellEnd"/>
      <w:r>
        <w:t xml:space="preserve"> (see Figure 1). Together with </w:t>
      </w:r>
      <w:proofErr w:type="spellStart"/>
      <w:r>
        <w:t>Akh</w:t>
      </w:r>
      <w:r>
        <w:t>vakh</w:t>
      </w:r>
      <w:proofErr w:type="spellEnd"/>
      <w:r>
        <w:t xml:space="preserve">, </w:t>
      </w:r>
      <w:proofErr w:type="spellStart"/>
      <w:r>
        <w:t>Karata</w:t>
      </w:r>
      <w:proofErr w:type="spellEnd"/>
      <w:r>
        <w:t xml:space="preserve">, </w:t>
      </w:r>
      <w:proofErr w:type="spellStart"/>
      <w:r>
        <w:t>Botlikh</w:t>
      </w:r>
      <w:proofErr w:type="spellEnd"/>
      <w:r>
        <w:t xml:space="preserve">, </w:t>
      </w:r>
      <w:proofErr w:type="spellStart"/>
      <w:r>
        <w:t>Godoberi</w:t>
      </w:r>
      <w:proofErr w:type="spellEnd"/>
      <w:r>
        <w:t xml:space="preserve">, </w:t>
      </w:r>
      <w:proofErr w:type="spellStart"/>
      <w:r>
        <w:t>Chamalal</w:t>
      </w:r>
      <w:proofErr w:type="spellEnd"/>
      <w:r>
        <w:t xml:space="preserve">, </w:t>
      </w:r>
      <w:proofErr w:type="spellStart"/>
      <w:r>
        <w:t>Bagvalal</w:t>
      </w:r>
      <w:proofErr w:type="spellEnd"/>
      <w:r>
        <w:t xml:space="preserve"> and </w:t>
      </w:r>
      <w:proofErr w:type="spellStart"/>
      <w:r>
        <w:t>Tindi</w:t>
      </w:r>
      <w:proofErr w:type="spellEnd"/>
      <w:r>
        <w:t xml:space="preserve">, it makes up the </w:t>
      </w:r>
      <w:proofErr w:type="spellStart"/>
      <w:r>
        <w:t>Andic</w:t>
      </w:r>
      <w:proofErr w:type="spellEnd"/>
      <w:r>
        <w:t xml:space="preserve"> branch of the </w:t>
      </w:r>
      <w:proofErr w:type="spellStart"/>
      <w:r>
        <w:t>Nakh-Daghestanian</w:t>
      </w:r>
      <w:proofErr w:type="spellEnd"/>
      <w:r>
        <w:t xml:space="preserve"> (or East Caucasian) language family. The </w:t>
      </w:r>
      <w:proofErr w:type="spellStart"/>
      <w:r>
        <w:t>Andic</w:t>
      </w:r>
      <w:proofErr w:type="spellEnd"/>
      <w:r>
        <w:t xml:space="preserve"> branch </w:t>
      </w:r>
      <w:proofErr w:type="gramStart"/>
      <w:r>
        <w:t>is usually subsumed</w:t>
      </w:r>
      <w:proofErr w:type="gramEnd"/>
      <w:r>
        <w:t xml:space="preserve"> under a macro-branch it shares with </w:t>
      </w:r>
      <w:proofErr w:type="spellStart"/>
      <w:r>
        <w:t>Avar</w:t>
      </w:r>
      <w:proofErr w:type="spellEnd"/>
      <w:r>
        <w:t xml:space="preserve"> (Schulze 2013), which is</w:t>
      </w:r>
      <w:r>
        <w:t xml:space="preserve"> also an influential </w:t>
      </w:r>
      <w:proofErr w:type="spellStart"/>
      <w:r>
        <w:t>neighbour</w:t>
      </w:r>
      <w:proofErr w:type="spellEnd"/>
      <w:r>
        <w:t xml:space="preserve"> of the </w:t>
      </w:r>
      <w:proofErr w:type="spellStart"/>
      <w:r>
        <w:t>Andic</w:t>
      </w:r>
      <w:proofErr w:type="spellEnd"/>
      <w:r>
        <w:t xml:space="preserve"> languages. </w:t>
      </w:r>
      <w:proofErr w:type="spellStart"/>
      <w:r>
        <w:t>Andi</w:t>
      </w:r>
      <w:proofErr w:type="spellEnd"/>
      <w:r>
        <w:t xml:space="preserve"> </w:t>
      </w:r>
      <w:proofErr w:type="gramStart"/>
      <w:r>
        <w:t>is spoken</w:t>
      </w:r>
      <w:proofErr w:type="gramEnd"/>
      <w:r>
        <w:t xml:space="preserve"> in the </w:t>
      </w:r>
      <w:proofErr w:type="spellStart"/>
      <w:r>
        <w:t>Botlikh</w:t>
      </w:r>
      <w:proofErr w:type="spellEnd"/>
      <w:r>
        <w:t xml:space="preserve"> district of the Republic of </w:t>
      </w:r>
      <w:proofErr w:type="spellStart"/>
      <w:r>
        <w:t>Daghestan</w:t>
      </w:r>
      <w:proofErr w:type="spellEnd"/>
      <w:r>
        <w:t xml:space="preserve">, which borders on the Chechen republic. From some of the </w:t>
      </w:r>
      <w:proofErr w:type="spellStart"/>
      <w:r>
        <w:t>Andi</w:t>
      </w:r>
      <w:proofErr w:type="spellEnd"/>
      <w:r>
        <w:t xml:space="preserve"> villages Chechnya </w:t>
      </w:r>
      <w:proofErr w:type="gramStart"/>
      <w:r>
        <w:t>can be reached</w:t>
      </w:r>
      <w:proofErr w:type="gramEnd"/>
      <w:r>
        <w:t xml:space="preserve"> by foot. All of the </w:t>
      </w:r>
      <w:proofErr w:type="spellStart"/>
      <w:r>
        <w:t>Andic</w:t>
      </w:r>
      <w:proofErr w:type="spellEnd"/>
      <w:r>
        <w:t xml:space="preserve"> languages </w:t>
      </w:r>
      <w:proofErr w:type="gramStart"/>
      <w:r>
        <w:t>ar</w:t>
      </w:r>
      <w:r>
        <w:t>e spoken</w:t>
      </w:r>
      <w:proofErr w:type="gramEnd"/>
      <w:r>
        <w:t xml:space="preserve"> in a rather compact area, wedged in between large clusters of Chechen and </w:t>
      </w:r>
      <w:proofErr w:type="spellStart"/>
      <w:r>
        <w:t>Avar</w:t>
      </w:r>
      <w:proofErr w:type="spellEnd"/>
      <w:r>
        <w:t xml:space="preserve"> speaking villages (see Figure 2). Each of the nine </w:t>
      </w:r>
      <w:proofErr w:type="spellStart"/>
      <w:r>
        <w:t>Andi</w:t>
      </w:r>
      <w:proofErr w:type="spellEnd"/>
      <w:r>
        <w:t xml:space="preserve"> speaking villages </w:t>
      </w:r>
      <w:proofErr w:type="gramStart"/>
      <w:r>
        <w:t>is considered</w:t>
      </w:r>
      <w:proofErr w:type="gramEnd"/>
      <w:r>
        <w:t xml:space="preserve"> to have a distinct dialect with some minor idiosyncrasies. These dialects </w:t>
      </w:r>
      <w:proofErr w:type="gramStart"/>
      <w:r>
        <w:t>can be</w:t>
      </w:r>
      <w:r>
        <w:t xml:space="preserve"> divided</w:t>
      </w:r>
      <w:proofErr w:type="gramEnd"/>
      <w:r>
        <w:t xml:space="preserve"> in two major groups: </w:t>
      </w:r>
      <w:r>
        <w:rPr>
          <w:b/>
        </w:rPr>
        <w:t>Upper</w:t>
      </w:r>
      <w:r>
        <w:t xml:space="preserve">, which includes the </w:t>
      </w:r>
      <w:proofErr w:type="spellStart"/>
      <w:r>
        <w:t>Andi</w:t>
      </w:r>
      <w:proofErr w:type="spellEnd"/>
      <w:r>
        <w:t xml:space="preserve">, </w:t>
      </w:r>
      <w:proofErr w:type="spellStart"/>
      <w:r>
        <w:t>Gagatli</w:t>
      </w:r>
      <w:proofErr w:type="spellEnd"/>
      <w:r>
        <w:t xml:space="preserve">, </w:t>
      </w:r>
      <w:proofErr w:type="spellStart"/>
      <w:r>
        <w:t>Gunkha</w:t>
      </w:r>
      <w:proofErr w:type="spellEnd"/>
      <w:r>
        <w:t xml:space="preserve">, </w:t>
      </w:r>
      <w:proofErr w:type="spellStart"/>
      <w:r>
        <w:t>Rikvani</w:t>
      </w:r>
      <w:proofErr w:type="spellEnd"/>
      <w:r>
        <w:t xml:space="preserve">, </w:t>
      </w:r>
      <w:proofErr w:type="spellStart"/>
      <w:r>
        <w:t>Ashali</w:t>
      </w:r>
      <w:proofErr w:type="spellEnd"/>
      <w:r>
        <w:t xml:space="preserve">, </w:t>
      </w:r>
      <w:proofErr w:type="spellStart"/>
      <w:r>
        <w:t>Chanko</w:t>
      </w:r>
      <w:proofErr w:type="spellEnd"/>
      <w:r>
        <w:t xml:space="preserve"> and </w:t>
      </w:r>
      <w:proofErr w:type="spellStart"/>
      <w:r>
        <w:t>Zilo</w:t>
      </w:r>
      <w:proofErr w:type="spellEnd"/>
      <w:r>
        <w:t xml:space="preserve"> dialects, and </w:t>
      </w:r>
      <w:r>
        <w:rPr>
          <w:b/>
        </w:rPr>
        <w:t>Lower</w:t>
      </w:r>
      <w:r>
        <w:t xml:space="preserve">, which includes only the Muni and </w:t>
      </w:r>
      <w:proofErr w:type="spellStart"/>
      <w:r>
        <w:t>Kwanhidatli</w:t>
      </w:r>
      <w:proofErr w:type="spellEnd"/>
      <w:r>
        <w:t xml:space="preserve"> dialects (see </w:t>
      </w:r>
      <w:proofErr w:type="spellStart"/>
      <w:r>
        <w:t>Tsertsvadze</w:t>
      </w:r>
      <w:proofErr w:type="spellEnd"/>
      <w:r>
        <w:t xml:space="preserve"> 1965). The names of the groups refer to their geogra</w:t>
      </w:r>
      <w:r>
        <w:t xml:space="preserve">phical location. The Upper villages are situated higher in the mountains, while the Lower dialects are spoken at the foot of these mountains, along the </w:t>
      </w:r>
      <w:proofErr w:type="spellStart"/>
      <w:r>
        <w:t>Andi</w:t>
      </w:r>
      <w:proofErr w:type="spellEnd"/>
      <w:r>
        <w:t xml:space="preserve"> </w:t>
      </w:r>
      <w:proofErr w:type="spellStart"/>
      <w:r>
        <w:t>Koisu</w:t>
      </w:r>
      <w:proofErr w:type="spellEnd"/>
      <w:r>
        <w:t xml:space="preserve"> </w:t>
      </w:r>
      <w:proofErr w:type="gramStart"/>
      <w:r>
        <w:t>river bank</w:t>
      </w:r>
      <w:proofErr w:type="gramEnd"/>
      <w:r>
        <w:t>. There is mutual intelligibility among dialects, although speakers of dialects fro</w:t>
      </w:r>
      <w:r>
        <w:t xml:space="preserve">m the Upper group have trouble understanding speakers of Lower dialects (in particular that of Muni) and vice versa. Hence, they prefer to communicate in </w:t>
      </w:r>
      <w:proofErr w:type="spellStart"/>
      <w:r>
        <w:t>Avar</w:t>
      </w:r>
      <w:proofErr w:type="spellEnd"/>
      <w:r>
        <w:t>, while within dialect groups they speak their native language. In this paper, we consider materia</w:t>
      </w:r>
      <w:r>
        <w:t xml:space="preserve">l from the village </w:t>
      </w:r>
      <w:proofErr w:type="spellStart"/>
      <w:r>
        <w:t>Zilo</w:t>
      </w:r>
      <w:proofErr w:type="spellEnd"/>
      <w:r>
        <w:t xml:space="preserve"> (see Figure 2). Although </w:t>
      </w:r>
      <w:proofErr w:type="spellStart"/>
      <w:r>
        <w:t>Zilo</w:t>
      </w:r>
      <w:proofErr w:type="spellEnd"/>
      <w:r>
        <w:t xml:space="preserve"> </w:t>
      </w:r>
      <w:proofErr w:type="gramStart"/>
      <w:r>
        <w:t>is considered</w:t>
      </w:r>
      <w:proofErr w:type="gramEnd"/>
      <w:r>
        <w:t xml:space="preserve"> one of the Upper dialects, it shares some features with the Lower group (such as the </w:t>
      </w:r>
      <w:r>
        <w:rPr>
          <w:i/>
        </w:rPr>
        <w:t>-e</w:t>
      </w:r>
      <w:r>
        <w:t xml:space="preserve"> habitual). As the map shows, </w:t>
      </w:r>
      <w:proofErr w:type="spellStart"/>
      <w:proofErr w:type="gramStart"/>
      <w:r>
        <w:t>Zilo</w:t>
      </w:r>
      <w:proofErr w:type="spellEnd"/>
      <w:r>
        <w:t xml:space="preserve"> is surrounded almost exclusively by </w:t>
      </w:r>
      <w:proofErr w:type="spellStart"/>
      <w:r>
        <w:t>Andi</w:t>
      </w:r>
      <w:proofErr w:type="spellEnd"/>
      <w:r>
        <w:t xml:space="preserve"> villages, with the except</w:t>
      </w:r>
      <w:r>
        <w:t xml:space="preserve">ion of some </w:t>
      </w:r>
      <w:proofErr w:type="spellStart"/>
      <w:r>
        <w:t>Avar</w:t>
      </w:r>
      <w:proofErr w:type="spellEnd"/>
      <w:r>
        <w:t xml:space="preserve"> villages in the east</w:t>
      </w:r>
      <w:proofErr w:type="gramEnd"/>
      <w:r>
        <w:t xml:space="preserve">. There are also </w:t>
      </w:r>
      <w:proofErr w:type="spellStart"/>
      <w:r>
        <w:t>Botlikh</w:t>
      </w:r>
      <w:proofErr w:type="spellEnd"/>
      <w:r>
        <w:t xml:space="preserve">, </w:t>
      </w:r>
      <w:proofErr w:type="spellStart"/>
      <w:r>
        <w:t>Karata</w:t>
      </w:r>
      <w:proofErr w:type="spellEnd"/>
      <w:r>
        <w:t xml:space="preserve"> and Chechen villages in the </w:t>
      </w:r>
      <w:proofErr w:type="spellStart"/>
      <w:r>
        <w:t>neighbourhood</w:t>
      </w:r>
      <w:proofErr w:type="spellEnd"/>
      <w:r>
        <w:t>.</w:t>
      </w:r>
    </w:p>
    <w:p w:rsidR="00B6211E" w:rsidRDefault="001870D9">
      <w:r>
        <w:rPr>
          <w:noProof/>
          <w:lang w:val="ru-RU" w:eastAsia="ru-RU"/>
        </w:rPr>
        <w:drawing>
          <wp:inline distT="0" distB="0" distL="114935" distR="114935">
            <wp:extent cx="5486400" cy="4114800"/>
            <wp:effectExtent l="0" t="0" r="0" b="0"/>
            <wp:docPr id="1" name="Picture" descr="Figure 1. Andi on th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ndi on the map"/>
                    <pic:cNvPicPr>
                      <a:picLocks noChangeAspect="1" noChangeArrowheads="1"/>
                    </pic:cNvPicPr>
                  </pic:nvPicPr>
                  <pic:blipFill>
                    <a:blip r:embed="rId9"/>
                    <a:stretch>
                      <a:fillRect/>
                    </a:stretch>
                  </pic:blipFill>
                  <pic:spPr bwMode="auto">
                    <a:xfrm>
                      <a:off x="0" y="0"/>
                      <a:ext cx="5486400" cy="4114800"/>
                    </a:xfrm>
                    <a:prstGeom prst="rect">
                      <a:avLst/>
                    </a:prstGeom>
                  </pic:spPr>
                </pic:pic>
              </a:graphicData>
            </a:graphic>
          </wp:inline>
        </w:drawing>
      </w:r>
    </w:p>
    <w:p w:rsidR="00B6211E" w:rsidRDefault="001870D9">
      <w:pPr>
        <w:pStyle w:val="ImageCaption"/>
      </w:pPr>
      <w:r>
        <w:t xml:space="preserve">Figure 1. </w:t>
      </w:r>
      <w:proofErr w:type="spellStart"/>
      <w:r>
        <w:t>Andi</w:t>
      </w:r>
      <w:proofErr w:type="spellEnd"/>
      <w:r>
        <w:t xml:space="preserve"> on the map</w:t>
      </w:r>
    </w:p>
    <w:p w:rsidR="00B6211E" w:rsidRDefault="001870D9">
      <w:r>
        <w:rPr>
          <w:noProof/>
          <w:lang w:val="ru-RU" w:eastAsia="ru-RU"/>
        </w:rPr>
        <w:lastRenderedPageBreak/>
        <w:drawing>
          <wp:inline distT="0" distB="0" distL="114935" distR="114935">
            <wp:extent cx="5486400" cy="4114800"/>
            <wp:effectExtent l="0" t="0" r="0" b="0"/>
            <wp:docPr id="2" name="Image1" descr="Figure 2. The Andi villages and their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di villages and their neighbours"/>
                    <pic:cNvPicPr>
                      <a:picLocks noChangeAspect="1" noChangeArrowheads="1"/>
                    </pic:cNvPicPr>
                  </pic:nvPicPr>
                  <pic:blipFill>
                    <a:blip r:embed="rId10"/>
                    <a:stretch>
                      <a:fillRect/>
                    </a:stretch>
                  </pic:blipFill>
                  <pic:spPr bwMode="auto">
                    <a:xfrm>
                      <a:off x="0" y="0"/>
                      <a:ext cx="5486400" cy="4114800"/>
                    </a:xfrm>
                    <a:prstGeom prst="rect">
                      <a:avLst/>
                    </a:prstGeom>
                  </pic:spPr>
                </pic:pic>
              </a:graphicData>
            </a:graphic>
          </wp:inline>
        </w:drawing>
      </w:r>
    </w:p>
    <w:p w:rsidR="00B6211E" w:rsidRDefault="001870D9">
      <w:pPr>
        <w:pStyle w:val="ImageCaption"/>
      </w:pPr>
      <w:r>
        <w:t xml:space="preserve">Figure 2. The </w:t>
      </w:r>
      <w:proofErr w:type="spellStart"/>
      <w:r>
        <w:t>Andi</w:t>
      </w:r>
      <w:proofErr w:type="spellEnd"/>
      <w:r>
        <w:t xml:space="preserve"> villages and their </w:t>
      </w:r>
      <w:proofErr w:type="spellStart"/>
      <w:r>
        <w:t>neighbours</w:t>
      </w:r>
      <w:proofErr w:type="spellEnd"/>
    </w:p>
    <w:p w:rsidR="00B6211E" w:rsidRDefault="001870D9">
      <w:pPr>
        <w:pStyle w:val="a5"/>
      </w:pPr>
      <w:r>
        <w:t xml:space="preserve">Almost all speakers of </w:t>
      </w:r>
      <w:proofErr w:type="spellStart"/>
      <w:r>
        <w:t>Andi</w:t>
      </w:r>
      <w:proofErr w:type="spellEnd"/>
      <w:r>
        <w:t xml:space="preserve"> and other </w:t>
      </w:r>
      <w:proofErr w:type="spellStart"/>
      <w:r>
        <w:t>Andic</w:t>
      </w:r>
      <w:proofErr w:type="spellEnd"/>
      <w:r>
        <w:t xml:space="preserve"> languages speak </w:t>
      </w:r>
      <w:proofErr w:type="spellStart"/>
      <w:r>
        <w:t>Avar</w:t>
      </w:r>
      <w:proofErr w:type="spellEnd"/>
      <w:r>
        <w:t xml:space="preserve"> and Russian in addition to their mother tongue. </w:t>
      </w:r>
      <w:proofErr w:type="spellStart"/>
      <w:r>
        <w:t>Avar</w:t>
      </w:r>
      <w:proofErr w:type="spellEnd"/>
      <w:r>
        <w:t xml:space="preserve"> was the major local lingua franca in this area before the introduction of Russian and, to a certain extent, still is. Speakers of </w:t>
      </w:r>
      <w:proofErr w:type="spellStart"/>
      <w:r>
        <w:t>Andic</w:t>
      </w:r>
      <w:proofErr w:type="spellEnd"/>
      <w:r>
        <w:t xml:space="preserve"> (as well as speakers of </w:t>
      </w:r>
      <w:proofErr w:type="spellStart"/>
      <w:r>
        <w:t>Tsezic</w:t>
      </w:r>
      <w:proofErr w:type="spellEnd"/>
      <w:r>
        <w:t>) languages use it to communicate wi</w:t>
      </w:r>
      <w:r>
        <w:t xml:space="preserve">th each other and with local </w:t>
      </w:r>
      <w:proofErr w:type="spellStart"/>
      <w:r>
        <w:t>Avars</w:t>
      </w:r>
      <w:proofErr w:type="spellEnd"/>
      <w:r>
        <w:t xml:space="preserve">. The language </w:t>
      </w:r>
      <w:proofErr w:type="gramStart"/>
      <w:r>
        <w:t>is also taught</w:t>
      </w:r>
      <w:proofErr w:type="gramEnd"/>
      <w:r>
        <w:t xml:space="preserve"> in school as a subject called “native language” (</w:t>
      </w:r>
      <w:proofErr w:type="spellStart"/>
      <w:r>
        <w:rPr>
          <w:i/>
        </w:rPr>
        <w:t>rodnoy</w:t>
      </w:r>
      <w:proofErr w:type="spellEnd"/>
      <w:r>
        <w:rPr>
          <w:i/>
        </w:rPr>
        <w:t xml:space="preserve"> </w:t>
      </w:r>
      <w:proofErr w:type="spellStart"/>
      <w:r>
        <w:rPr>
          <w:i/>
        </w:rPr>
        <w:t>yazyk</w:t>
      </w:r>
      <w:proofErr w:type="spellEnd"/>
      <w:r>
        <w:t xml:space="preserve"> in Russian). For speakers of </w:t>
      </w:r>
      <w:proofErr w:type="spellStart"/>
      <w:r>
        <w:t>Andi</w:t>
      </w:r>
      <w:proofErr w:type="spellEnd"/>
      <w:r>
        <w:t xml:space="preserve">, </w:t>
      </w:r>
      <w:proofErr w:type="spellStart"/>
      <w:r>
        <w:t>Avar</w:t>
      </w:r>
      <w:proofErr w:type="spellEnd"/>
      <w:r>
        <w:t xml:space="preserve"> is the language of literacy. Before the introduction of modern technology like computers a</w:t>
      </w:r>
      <w:r>
        <w:t xml:space="preserve">nd cellphones, they would write letters to each other in </w:t>
      </w:r>
      <w:proofErr w:type="spellStart"/>
      <w:r>
        <w:t>Avar</w:t>
      </w:r>
      <w:proofErr w:type="spellEnd"/>
      <w:r>
        <w:t xml:space="preserve">. Currently, they use the extended Cyrillic script of </w:t>
      </w:r>
      <w:proofErr w:type="spellStart"/>
      <w:r>
        <w:t>Avar</w:t>
      </w:r>
      <w:proofErr w:type="spellEnd"/>
      <w:r>
        <w:t xml:space="preserve"> (featuring, among other things, special diacritics for ejective consonants) to write their own language. Russian </w:t>
      </w:r>
      <w:proofErr w:type="gramStart"/>
      <w:r>
        <w:t>was introduced</w:t>
      </w:r>
      <w:proofErr w:type="gramEnd"/>
      <w:r>
        <w:t xml:space="preserve"> as the l</w:t>
      </w:r>
      <w:r>
        <w:t>anguage of administration and education in the first half of the 20th century and subsequently has strengthened its position throughout the republic, cf. (</w:t>
      </w:r>
      <w:proofErr w:type="spellStart"/>
      <w:r>
        <w:t>Dobrushina</w:t>
      </w:r>
      <w:proofErr w:type="spellEnd"/>
      <w:r>
        <w:t xml:space="preserve"> 2011). </w:t>
      </w:r>
      <w:proofErr w:type="spellStart"/>
      <w:r>
        <w:t>Andi</w:t>
      </w:r>
      <w:proofErr w:type="spellEnd"/>
      <w:r>
        <w:t xml:space="preserve"> speakers use it to communicate with people from other regions of </w:t>
      </w:r>
      <w:proofErr w:type="spellStart"/>
      <w:r>
        <w:t>Daghestan</w:t>
      </w:r>
      <w:proofErr w:type="spellEnd"/>
      <w:r>
        <w:t xml:space="preserve"> whe</w:t>
      </w:r>
      <w:r>
        <w:t xml:space="preserve">re </w:t>
      </w:r>
      <w:proofErr w:type="spellStart"/>
      <w:r>
        <w:t>Avar</w:t>
      </w:r>
      <w:proofErr w:type="spellEnd"/>
      <w:r>
        <w:t xml:space="preserve"> </w:t>
      </w:r>
      <w:proofErr w:type="gramStart"/>
      <w:r>
        <w:t>is not spoken</w:t>
      </w:r>
      <w:proofErr w:type="gramEnd"/>
      <w:r>
        <w:t xml:space="preserve">. </w:t>
      </w:r>
      <w:proofErr w:type="gramStart"/>
      <w:r>
        <w:t xml:space="preserve">It is also used for communication by speakers of </w:t>
      </w:r>
      <w:proofErr w:type="spellStart"/>
      <w:r>
        <w:t>Andi</w:t>
      </w:r>
      <w:proofErr w:type="spellEnd"/>
      <w:r>
        <w:t xml:space="preserve"> dialects that belong to different dialect groups</w:t>
      </w:r>
      <w:proofErr w:type="gramEnd"/>
      <w:r>
        <w:t xml:space="preserve">. </w:t>
      </w:r>
      <w:proofErr w:type="gramStart"/>
      <w:r>
        <w:t>As a result</w:t>
      </w:r>
      <w:proofErr w:type="gramEnd"/>
      <w:r>
        <w:t xml:space="preserve"> of this multilingualism, the </w:t>
      </w:r>
      <w:proofErr w:type="spellStart"/>
      <w:r>
        <w:t>Andi</w:t>
      </w:r>
      <w:proofErr w:type="spellEnd"/>
      <w:r>
        <w:t xml:space="preserve"> lexicon contains multiple layers of borrowings from different languages and differe</w:t>
      </w:r>
      <w:r>
        <w:t xml:space="preserve">nt periods. Besides loans from </w:t>
      </w:r>
      <w:proofErr w:type="spellStart"/>
      <w:r>
        <w:t>Avar</w:t>
      </w:r>
      <w:proofErr w:type="spellEnd"/>
      <w:r>
        <w:t xml:space="preserve"> and Russian this includes religious terminology from Arabic, and cultural borrowings from Arabic, Persian and </w:t>
      </w:r>
      <w:proofErr w:type="spellStart"/>
      <w:r>
        <w:t>Kumyk</w:t>
      </w:r>
      <w:proofErr w:type="spellEnd"/>
      <w:r>
        <w:t xml:space="preserve"> (a local Turkic language), some of which were evidently borrowed through </w:t>
      </w:r>
      <w:proofErr w:type="spellStart"/>
      <w:r>
        <w:t>Avar</w:t>
      </w:r>
      <w:proofErr w:type="spellEnd"/>
      <w:r>
        <w:t>. The names of all the tech</w:t>
      </w:r>
      <w:r>
        <w:t xml:space="preserve">nical innovations of the 20th and 21st centuries </w:t>
      </w:r>
      <w:proofErr w:type="gramStart"/>
      <w:r>
        <w:t>were taken</w:t>
      </w:r>
      <w:proofErr w:type="gramEnd"/>
      <w:r>
        <w:t xml:space="preserve"> from Russian with little to no phonetic adaptation. In </w:t>
      </w:r>
      <w:proofErr w:type="gramStart"/>
      <w:r>
        <w:t>Russian</w:t>
      </w:r>
      <w:proofErr w:type="gramEnd"/>
      <w:r>
        <w:t xml:space="preserve"> these terms were mostly borrowed and adapted from English. The lack of phonetic adaptation in more recent Russian loans </w:t>
      </w:r>
      <w:proofErr w:type="gramStart"/>
      <w:r>
        <w:t>is connected</w:t>
      </w:r>
      <w:proofErr w:type="gramEnd"/>
      <w:r>
        <w:t xml:space="preserve"> </w:t>
      </w:r>
      <w:r>
        <w:t xml:space="preserve">to the increasingly important role of the Russian language in </w:t>
      </w:r>
      <w:proofErr w:type="spellStart"/>
      <w:r>
        <w:t>Daghestan</w:t>
      </w:r>
      <w:proofErr w:type="spellEnd"/>
      <w:r>
        <w:t xml:space="preserve">. Earlier loans were subjected to some phonetic change, cf. </w:t>
      </w:r>
      <w:proofErr w:type="spellStart"/>
      <w:r>
        <w:rPr>
          <w:i/>
        </w:rPr>
        <w:t>kempeti</w:t>
      </w:r>
      <w:proofErr w:type="spellEnd"/>
      <w:r>
        <w:t xml:space="preserve"> (</w:t>
      </w:r>
      <w:proofErr w:type="spellStart"/>
      <w:r>
        <w:rPr>
          <w:i/>
        </w:rPr>
        <w:t>kanfeti</w:t>
      </w:r>
      <w:proofErr w:type="spellEnd"/>
      <w:r>
        <w:t xml:space="preserve">, ‘sweets’), </w:t>
      </w:r>
      <w:proofErr w:type="spellStart"/>
      <w:r>
        <w:rPr>
          <w:i/>
        </w:rPr>
        <w:t>t</w:t>
      </w:r>
      <w:r>
        <w:rPr>
          <w:i/>
        </w:rPr>
        <w:t>ʃ</w:t>
      </w:r>
      <w:r>
        <w:rPr>
          <w:i/>
        </w:rPr>
        <w:t>ajnik’i</w:t>
      </w:r>
      <w:proofErr w:type="spellEnd"/>
      <w:r>
        <w:t xml:space="preserve"> (</w:t>
      </w:r>
      <w:proofErr w:type="spellStart"/>
      <w:r>
        <w:rPr>
          <w:i/>
        </w:rPr>
        <w:t>t</w:t>
      </w:r>
      <w:r>
        <w:rPr>
          <w:i/>
        </w:rPr>
        <w:t>ʃ</w:t>
      </w:r>
      <w:r>
        <w:rPr>
          <w:i/>
        </w:rPr>
        <w:t>ajnik</w:t>
      </w:r>
      <w:proofErr w:type="spellEnd"/>
      <w:r>
        <w:t xml:space="preserve"> ‘kettle’), and </w:t>
      </w:r>
      <w:proofErr w:type="spellStart"/>
      <w:r>
        <w:rPr>
          <w:i/>
        </w:rPr>
        <w:t>ʃ</w:t>
      </w:r>
      <w:r>
        <w:rPr>
          <w:i/>
        </w:rPr>
        <w:t>ːi</w:t>
      </w:r>
      <w:r>
        <w:rPr>
          <w:i/>
        </w:rPr>
        <w:t>ɡolati</w:t>
      </w:r>
      <w:proofErr w:type="spellEnd"/>
      <w:r>
        <w:t xml:space="preserve"> (</w:t>
      </w:r>
      <w:proofErr w:type="spellStart"/>
      <w:r>
        <w:rPr>
          <w:i/>
        </w:rPr>
        <w:t>ʃ</w:t>
      </w:r>
      <w:r>
        <w:rPr>
          <w:i/>
        </w:rPr>
        <w:t>ːakalat</w:t>
      </w:r>
      <w:proofErr w:type="spellEnd"/>
      <w:r>
        <w:t xml:space="preserve"> </w:t>
      </w:r>
      <w:r>
        <w:lastRenderedPageBreak/>
        <w:t>‘chocolate’ (</w:t>
      </w:r>
      <w:proofErr w:type="spellStart"/>
      <w:r>
        <w:t>Salimov</w:t>
      </w:r>
      <w:proofErr w:type="spellEnd"/>
      <w:r>
        <w:t xml:space="preserve"> 2010 (1968): 43), as </w:t>
      </w:r>
      <w:r>
        <w:t xml:space="preserve">opposed to more recent words (see Section 4). Borrowed words often have some phonological, orthographic, morphological or syntactic features in the donor </w:t>
      </w:r>
      <w:proofErr w:type="gramStart"/>
      <w:r>
        <w:t>language which</w:t>
      </w:r>
      <w:proofErr w:type="gramEnd"/>
      <w:r>
        <w:t xml:space="preserve"> are incompatible with the system of the recipient language. In this paper, we explore h</w:t>
      </w:r>
      <w:r>
        <w:t xml:space="preserve">ow recent Russian borrowings </w:t>
      </w:r>
      <w:proofErr w:type="gramStart"/>
      <w:r>
        <w:t>are integrated</w:t>
      </w:r>
      <w:proofErr w:type="gramEnd"/>
      <w:r>
        <w:t xml:space="preserve"> in the </w:t>
      </w:r>
      <w:proofErr w:type="spellStart"/>
      <w:r>
        <w:t>Andi</w:t>
      </w:r>
      <w:proofErr w:type="spellEnd"/>
      <w:r>
        <w:t xml:space="preserve"> system of noun classes (see related studies [gagliardi14], [stolz09], on </w:t>
      </w:r>
      <w:r>
        <w:rPr>
          <w:i/>
        </w:rPr>
        <w:t>ЗДЕСЬ НАДО УТОЧНИТЬ, О ЧЕМ ЭТИ СТАТЬИ, А ТО ПОХОЖЕ ЧТО ОНИ НАПИСАЛИ ИМЕННО ПРО КЛАССЫ В АНДИЙСКОМ. КАК ОНИ RELATED К НАМ?</w:t>
      </w:r>
      <w:r>
        <w:t>).</w:t>
      </w:r>
    </w:p>
    <w:p w:rsidR="00B6211E" w:rsidRDefault="001870D9">
      <w:pPr>
        <w:pStyle w:val="3"/>
      </w:pPr>
      <w:bookmarkStart w:id="5" w:name="noun-class-as-a-grammatical-category"/>
      <w:bookmarkEnd w:id="5"/>
      <w:r>
        <w:t xml:space="preserve">3. </w:t>
      </w:r>
      <w:r>
        <w:t>Noun class as a grammatical category</w:t>
      </w:r>
    </w:p>
    <w:p w:rsidR="00B6211E" w:rsidRDefault="001870D9">
      <w:pPr>
        <w:pStyle w:val="FirstParagraph"/>
      </w:pPr>
      <w:r>
        <w:t xml:space="preserve">Noun class is one of the central grammatical categories of the </w:t>
      </w:r>
      <w:proofErr w:type="spellStart"/>
      <w:r>
        <w:t>Nakh-Daghestanian</w:t>
      </w:r>
      <w:proofErr w:type="spellEnd"/>
      <w:r>
        <w:t xml:space="preserve"> languages. It divides the nominal lexicon into varying numbers of classes. We prefer the term noun class to gender, because in </w:t>
      </w:r>
      <w:proofErr w:type="spellStart"/>
      <w:r>
        <w:t>Andi</w:t>
      </w:r>
      <w:proofErr w:type="spellEnd"/>
      <w:r>
        <w:t xml:space="preserve"> in par</w:t>
      </w:r>
      <w:r>
        <w:t xml:space="preserve">ticular, the division of classes is only partially semantically transparent. The masculine and feminine noun classes </w:t>
      </w:r>
      <w:proofErr w:type="gramStart"/>
      <w:r>
        <w:t>are assigned</w:t>
      </w:r>
      <w:proofErr w:type="gramEnd"/>
      <w:r>
        <w:t xml:space="preserve"> to nouns describing male and female (human) referents respectively, based on their biological gender. Everything else may </w:t>
      </w:r>
      <w:proofErr w:type="gramStart"/>
      <w:r>
        <w:t>be a</w:t>
      </w:r>
      <w:r>
        <w:t>ssigned</w:t>
      </w:r>
      <w:proofErr w:type="gramEnd"/>
      <w:r>
        <w:t xml:space="preserve"> one general non-human class, or be divided into several different classes, depending on the dialect. As we will show later, the various classes that </w:t>
      </w:r>
      <w:proofErr w:type="gramStart"/>
      <w:r>
        <w:t>may be assigned</w:t>
      </w:r>
      <w:proofErr w:type="gramEnd"/>
      <w:r>
        <w:t xml:space="preserve"> to objects do not show a clear semantic distinction. A distinct class is assigned t</w:t>
      </w:r>
      <w:r>
        <w:t xml:space="preserve">o each noun, with the exception of a small group of </w:t>
      </w:r>
      <w:proofErr w:type="gramStart"/>
      <w:r>
        <w:t>roots which</w:t>
      </w:r>
      <w:proofErr w:type="gramEnd"/>
      <w:r>
        <w:t xml:space="preserve"> adapt their class to the gender of the actual referent, for example:</w:t>
      </w:r>
    </w:p>
    <w:p w:rsidR="00B6211E" w:rsidRDefault="001870D9">
      <w:pPr>
        <w:numPr>
          <w:ilvl w:val="0"/>
          <w:numId w:val="1"/>
        </w:numPr>
      </w:pPr>
      <w:proofErr w:type="spellStart"/>
      <w:r>
        <w:rPr>
          <w:b/>
        </w:rPr>
        <w:t>ʃ</w:t>
      </w:r>
      <w:r>
        <w:rPr>
          <w:b/>
        </w:rPr>
        <w:t>ːu-w</w:t>
      </w:r>
      <w:proofErr w:type="spellEnd"/>
      <w:r>
        <w:rPr>
          <w:b/>
        </w:rPr>
        <w:t xml:space="preserve"> </w:t>
      </w:r>
      <w:proofErr w:type="spellStart"/>
      <w:r>
        <w:rPr>
          <w:b/>
        </w:rPr>
        <w:t>ket</w:t>
      </w:r>
      <w:r>
        <w:rPr>
          <w:b/>
        </w:rPr>
        <w:t>ʃ</w:t>
      </w:r>
      <w:r>
        <w:rPr>
          <w:b/>
        </w:rPr>
        <w:t>’eqan</w:t>
      </w:r>
      <w:proofErr w:type="spellEnd"/>
      <w:r>
        <w:t xml:space="preserve"> good-m singer ‘a good singer (male)’</w:t>
      </w:r>
    </w:p>
    <w:p w:rsidR="00B6211E" w:rsidRDefault="001870D9">
      <w:pPr>
        <w:numPr>
          <w:ilvl w:val="0"/>
          <w:numId w:val="1"/>
        </w:numPr>
      </w:pPr>
      <w:proofErr w:type="spellStart"/>
      <w:r>
        <w:rPr>
          <w:b/>
        </w:rPr>
        <w:t>ʃ</w:t>
      </w:r>
      <w:r>
        <w:rPr>
          <w:b/>
        </w:rPr>
        <w:t>ːu-j</w:t>
      </w:r>
      <w:proofErr w:type="spellEnd"/>
      <w:r>
        <w:rPr>
          <w:b/>
        </w:rPr>
        <w:t xml:space="preserve"> </w:t>
      </w:r>
      <w:proofErr w:type="spellStart"/>
      <w:r>
        <w:rPr>
          <w:b/>
        </w:rPr>
        <w:t>ket</w:t>
      </w:r>
      <w:r>
        <w:rPr>
          <w:b/>
        </w:rPr>
        <w:t>ʃ</w:t>
      </w:r>
      <w:r>
        <w:rPr>
          <w:b/>
        </w:rPr>
        <w:t>’eqan</w:t>
      </w:r>
      <w:proofErr w:type="spellEnd"/>
      <w:r>
        <w:t xml:space="preserve"> good-f singer ‘a good singer (female)’</w:t>
      </w:r>
    </w:p>
    <w:p w:rsidR="00B6211E" w:rsidRDefault="001870D9">
      <w:pPr>
        <w:pStyle w:val="FirstParagraph"/>
      </w:pPr>
      <w:r>
        <w:t>Noun class is a</w:t>
      </w:r>
      <w:r>
        <w:t xml:space="preserve"> covert category. Only a few nominal roots contain a class marker, e.g. [brother sister] Agreement </w:t>
      </w:r>
      <w:proofErr w:type="gramStart"/>
      <w:r>
        <w:t>is expressed</w:t>
      </w:r>
      <w:proofErr w:type="gramEnd"/>
      <w:r>
        <w:t xml:space="preserve"> on verbs, pronouns, adjectives and some other types of attributes. Demonstratives form the only part of </w:t>
      </w:r>
      <w:proofErr w:type="gramStart"/>
      <w:r>
        <w:t>speech which</w:t>
      </w:r>
      <w:proofErr w:type="gramEnd"/>
      <w:r>
        <w:t xml:space="preserve"> always carries a class agre</w:t>
      </w:r>
      <w:r>
        <w:t xml:space="preserve">ement slot. For all other parts of </w:t>
      </w:r>
      <w:proofErr w:type="gramStart"/>
      <w:r>
        <w:t>speech</w:t>
      </w:r>
      <w:proofErr w:type="gramEnd"/>
      <w:r>
        <w:t xml:space="preserve"> the presence of an agreement slot is lexically determined: some roots have it, while others do not. On verbs the slot is usually </w:t>
      </w:r>
      <w:proofErr w:type="spellStart"/>
      <w:r>
        <w:t>prefixal</w:t>
      </w:r>
      <w:proofErr w:type="spellEnd"/>
      <w:r>
        <w:t xml:space="preserve"> (and, rarely, </w:t>
      </w:r>
      <w:proofErr w:type="spellStart"/>
      <w:r>
        <w:t>infixal</w:t>
      </w:r>
      <w:proofErr w:type="spellEnd"/>
      <w:r>
        <w:t xml:space="preserve">). Adjectives can have a </w:t>
      </w:r>
      <w:proofErr w:type="spellStart"/>
      <w:r>
        <w:t>prefixal</w:t>
      </w:r>
      <w:proofErr w:type="spellEnd"/>
      <w:r>
        <w:t xml:space="preserve">, </w:t>
      </w:r>
      <w:proofErr w:type="spellStart"/>
      <w:r>
        <w:t>infixal</w:t>
      </w:r>
      <w:proofErr w:type="spellEnd"/>
      <w:r>
        <w:t xml:space="preserve"> or </w:t>
      </w:r>
      <w:proofErr w:type="spellStart"/>
      <w:r>
        <w:t>suffixal</w:t>
      </w:r>
      <w:proofErr w:type="spellEnd"/>
      <w:r>
        <w:t xml:space="preserve"> </w:t>
      </w:r>
      <w:r>
        <w:t xml:space="preserve">slot, and demonstratives and pronouns always feature a </w:t>
      </w:r>
      <w:proofErr w:type="spellStart"/>
      <w:r>
        <w:t>suffixal</w:t>
      </w:r>
      <w:proofErr w:type="spellEnd"/>
      <w:r>
        <w:t xml:space="preserve"> slot. Noun class as an agreement class </w:t>
      </w:r>
      <w:proofErr w:type="gramStart"/>
      <w:r>
        <w:t>is partly merged</w:t>
      </w:r>
      <w:proofErr w:type="gramEnd"/>
      <w:r>
        <w:t xml:space="preserve"> with number in </w:t>
      </w:r>
      <w:proofErr w:type="spellStart"/>
      <w:r>
        <w:t>Andi</w:t>
      </w:r>
      <w:proofErr w:type="spellEnd"/>
      <w:r>
        <w:t xml:space="preserve"> (see below).</w:t>
      </w:r>
    </w:p>
    <w:p w:rsidR="00B6211E" w:rsidRDefault="001870D9">
      <w:pPr>
        <w:pStyle w:val="Compact"/>
      </w:pPr>
      <w:r>
        <w:t xml:space="preserve">Table 1. Noun class systems in dialects of </w:t>
      </w:r>
      <w:proofErr w:type="spellStart"/>
      <w:r>
        <w:t>Andi</w:t>
      </w:r>
      <w:proofErr w:type="spellEnd"/>
    </w:p>
    <w:tbl>
      <w:tblPr>
        <w:tblW w:w="9406" w:type="dxa"/>
        <w:tblBorders>
          <w:bottom w:val="single" w:sz="6" w:space="0" w:color="000001"/>
          <w:insideH w:val="single" w:sz="6" w:space="0" w:color="000001"/>
        </w:tblBorders>
        <w:tblLook w:val="07E0" w:firstRow="1" w:lastRow="1" w:firstColumn="1" w:lastColumn="1" w:noHBand="1" w:noVBand="1"/>
      </w:tblPr>
      <w:tblGrid>
        <w:gridCol w:w="1497"/>
        <w:gridCol w:w="976"/>
        <w:gridCol w:w="867"/>
        <w:gridCol w:w="884"/>
        <w:gridCol w:w="830"/>
        <w:gridCol w:w="856"/>
        <w:gridCol w:w="878"/>
        <w:gridCol w:w="879"/>
        <w:gridCol w:w="878"/>
        <w:gridCol w:w="861"/>
      </w:tblGrid>
      <w:tr w:rsidR="00B6211E">
        <w:tc>
          <w:tcPr>
            <w:tcW w:w="940" w:type="dxa"/>
            <w:tcBorders>
              <w:bottom w:val="single" w:sz="6" w:space="0" w:color="000001"/>
            </w:tcBorders>
            <w:shd w:val="clear" w:color="auto" w:fill="auto"/>
            <w:vAlign w:val="bottom"/>
          </w:tcPr>
          <w:p w:rsidR="00B6211E" w:rsidRDefault="001870D9">
            <w:pPr>
              <w:pStyle w:val="Compact"/>
            </w:pPr>
            <w:r>
              <w:t>X1</w:t>
            </w:r>
          </w:p>
        </w:tc>
        <w:tc>
          <w:tcPr>
            <w:tcW w:w="941" w:type="dxa"/>
            <w:tcBorders>
              <w:bottom w:val="single" w:sz="6" w:space="0" w:color="000001"/>
            </w:tcBorders>
            <w:shd w:val="clear" w:color="auto" w:fill="auto"/>
            <w:vAlign w:val="bottom"/>
          </w:tcPr>
          <w:p w:rsidR="00B6211E" w:rsidRDefault="001870D9">
            <w:pPr>
              <w:pStyle w:val="Compact"/>
            </w:pPr>
            <w:r>
              <w:t>X2</w:t>
            </w:r>
          </w:p>
        </w:tc>
        <w:tc>
          <w:tcPr>
            <w:tcW w:w="940" w:type="dxa"/>
            <w:tcBorders>
              <w:bottom w:val="single" w:sz="6" w:space="0" w:color="000001"/>
            </w:tcBorders>
            <w:shd w:val="clear" w:color="auto" w:fill="auto"/>
            <w:vAlign w:val="bottom"/>
          </w:tcPr>
          <w:p w:rsidR="00B6211E" w:rsidRDefault="001870D9">
            <w:pPr>
              <w:pStyle w:val="Compact"/>
            </w:pPr>
            <w:r>
              <w:t>X3</w:t>
            </w:r>
          </w:p>
        </w:tc>
        <w:tc>
          <w:tcPr>
            <w:tcW w:w="941" w:type="dxa"/>
            <w:tcBorders>
              <w:bottom w:val="single" w:sz="6" w:space="0" w:color="000001"/>
            </w:tcBorders>
            <w:shd w:val="clear" w:color="auto" w:fill="auto"/>
            <w:vAlign w:val="bottom"/>
          </w:tcPr>
          <w:p w:rsidR="00B6211E" w:rsidRDefault="001870D9">
            <w:pPr>
              <w:pStyle w:val="Compact"/>
            </w:pPr>
            <w:r>
              <w:t>m [^3]</w:t>
            </w:r>
          </w:p>
        </w:tc>
        <w:tc>
          <w:tcPr>
            <w:tcW w:w="940" w:type="dxa"/>
            <w:tcBorders>
              <w:bottom w:val="single" w:sz="6" w:space="0" w:color="000001"/>
            </w:tcBorders>
            <w:shd w:val="clear" w:color="auto" w:fill="auto"/>
            <w:vAlign w:val="bottom"/>
          </w:tcPr>
          <w:p w:rsidR="00B6211E" w:rsidRDefault="001870D9">
            <w:pPr>
              <w:pStyle w:val="Compact"/>
            </w:pPr>
            <w:r>
              <w:t>f</w:t>
            </w:r>
          </w:p>
        </w:tc>
        <w:tc>
          <w:tcPr>
            <w:tcW w:w="941" w:type="dxa"/>
            <w:tcBorders>
              <w:bottom w:val="single" w:sz="6" w:space="0" w:color="000001"/>
            </w:tcBorders>
            <w:shd w:val="clear" w:color="auto" w:fill="auto"/>
            <w:vAlign w:val="bottom"/>
          </w:tcPr>
          <w:p w:rsidR="00B6211E" w:rsidRDefault="001870D9">
            <w:pPr>
              <w:pStyle w:val="Compact"/>
            </w:pPr>
            <w:r>
              <w:t>an</w:t>
            </w:r>
          </w:p>
        </w:tc>
        <w:tc>
          <w:tcPr>
            <w:tcW w:w="940" w:type="dxa"/>
            <w:tcBorders>
              <w:bottom w:val="single" w:sz="6" w:space="0" w:color="000001"/>
            </w:tcBorders>
            <w:shd w:val="clear" w:color="auto" w:fill="auto"/>
            <w:vAlign w:val="bottom"/>
          </w:tcPr>
          <w:p w:rsidR="00B6211E" w:rsidRDefault="001870D9">
            <w:pPr>
              <w:pStyle w:val="Compact"/>
            </w:pPr>
            <w:r>
              <w:t>¬an 1</w:t>
            </w:r>
          </w:p>
        </w:tc>
        <w:tc>
          <w:tcPr>
            <w:tcW w:w="941" w:type="dxa"/>
            <w:tcBorders>
              <w:bottom w:val="single" w:sz="6" w:space="0" w:color="000001"/>
            </w:tcBorders>
            <w:shd w:val="clear" w:color="auto" w:fill="auto"/>
            <w:vAlign w:val="bottom"/>
          </w:tcPr>
          <w:p w:rsidR="00B6211E" w:rsidRDefault="001870D9">
            <w:pPr>
              <w:pStyle w:val="Compact"/>
            </w:pPr>
            <w:r>
              <w:t>¬an 2</w:t>
            </w:r>
          </w:p>
        </w:tc>
        <w:tc>
          <w:tcPr>
            <w:tcW w:w="940" w:type="dxa"/>
            <w:tcBorders>
              <w:bottom w:val="single" w:sz="6" w:space="0" w:color="000001"/>
            </w:tcBorders>
            <w:shd w:val="clear" w:color="auto" w:fill="auto"/>
            <w:vAlign w:val="bottom"/>
          </w:tcPr>
          <w:p w:rsidR="00B6211E" w:rsidRDefault="001870D9">
            <w:pPr>
              <w:pStyle w:val="Compact"/>
            </w:pPr>
            <w:r>
              <w:t>¬an 3</w:t>
            </w:r>
          </w:p>
        </w:tc>
        <w:tc>
          <w:tcPr>
            <w:tcW w:w="941" w:type="dxa"/>
            <w:tcBorders>
              <w:bottom w:val="single" w:sz="6" w:space="0" w:color="000001"/>
            </w:tcBorders>
            <w:shd w:val="clear" w:color="auto" w:fill="auto"/>
            <w:vAlign w:val="bottom"/>
          </w:tcPr>
          <w:p w:rsidR="00B6211E" w:rsidRDefault="001870D9">
            <w:pPr>
              <w:pStyle w:val="Compact"/>
            </w:pPr>
            <w:r>
              <w:t>¬h</w:t>
            </w:r>
          </w:p>
        </w:tc>
      </w:tr>
      <w:tr w:rsidR="00B6211E">
        <w:tc>
          <w:tcPr>
            <w:tcW w:w="940" w:type="dxa"/>
            <w:shd w:val="clear" w:color="auto" w:fill="auto"/>
          </w:tcPr>
          <w:p w:rsidR="00B6211E" w:rsidRDefault="001870D9">
            <w:pPr>
              <w:pStyle w:val="Compact"/>
            </w:pPr>
            <w:r>
              <w:t xml:space="preserve">(Alekseev </w:t>
            </w:r>
            <w:r>
              <w:t>1999: 221)</w:t>
            </w:r>
          </w:p>
        </w:tc>
        <w:tc>
          <w:tcPr>
            <w:tcW w:w="941" w:type="dxa"/>
            <w:shd w:val="clear" w:color="auto" w:fill="auto"/>
          </w:tcPr>
          <w:p w:rsidR="00B6211E" w:rsidRDefault="001870D9">
            <w:pPr>
              <w:pStyle w:val="Compact"/>
            </w:pPr>
            <w:proofErr w:type="spellStart"/>
            <w:r>
              <w:t>Andi</w:t>
            </w:r>
            <w:proofErr w:type="spellEnd"/>
          </w:p>
        </w:tc>
        <w:tc>
          <w:tcPr>
            <w:tcW w:w="940" w:type="dxa"/>
            <w:shd w:val="clear" w:color="auto" w:fill="auto"/>
          </w:tcPr>
          <w:p w:rsidR="00B6211E" w:rsidRDefault="001870D9">
            <w:pPr>
              <w:pStyle w:val="Compact"/>
            </w:pPr>
            <w:proofErr w:type="spellStart"/>
            <w:r>
              <w:t>sg</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b</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r</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w:t>
            </w:r>
          </w:p>
        </w:tc>
      </w:tr>
      <w:tr w:rsidR="00B6211E">
        <w:tc>
          <w:tcPr>
            <w:tcW w:w="940" w:type="dxa"/>
            <w:shd w:val="clear" w:color="auto" w:fill="auto"/>
          </w:tcPr>
          <w:p w:rsidR="00B6211E" w:rsidRDefault="001870D9">
            <w:pPr>
              <w:pStyle w:val="Compact"/>
            </w:pPr>
            <w:r>
              <w:t>(Alekseev 1999: 221)</w:t>
            </w:r>
          </w:p>
        </w:tc>
        <w:tc>
          <w:tcPr>
            <w:tcW w:w="941" w:type="dxa"/>
            <w:shd w:val="clear" w:color="auto" w:fill="auto"/>
          </w:tcPr>
          <w:p w:rsidR="00B6211E" w:rsidRDefault="001870D9">
            <w:pPr>
              <w:pStyle w:val="Compact"/>
            </w:pPr>
            <w:proofErr w:type="spellStart"/>
            <w:r>
              <w:t>Andi</w:t>
            </w:r>
            <w:proofErr w:type="spellEnd"/>
          </w:p>
        </w:tc>
        <w:tc>
          <w:tcPr>
            <w:tcW w:w="940" w:type="dxa"/>
            <w:shd w:val="clear" w:color="auto" w:fill="auto"/>
          </w:tcPr>
          <w:p w:rsidR="00B6211E" w:rsidRDefault="001870D9">
            <w:pPr>
              <w:pStyle w:val="Compact"/>
            </w:pPr>
            <w:proofErr w:type="spellStart"/>
            <w:r>
              <w:t>pl</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j</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r</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w:t>
            </w:r>
          </w:p>
        </w:tc>
      </w:tr>
      <w:tr w:rsidR="00B6211E">
        <w:tc>
          <w:tcPr>
            <w:tcW w:w="940" w:type="dxa"/>
            <w:shd w:val="clear" w:color="auto" w:fill="auto"/>
          </w:tcPr>
          <w:p w:rsidR="00B6211E" w:rsidRDefault="001870D9">
            <w:pPr>
              <w:pStyle w:val="Compact"/>
            </w:pPr>
            <w:r>
              <w:t>(</w:t>
            </w:r>
            <w:proofErr w:type="spellStart"/>
            <w:r>
              <w:t>Salimov</w:t>
            </w:r>
            <w:proofErr w:type="spellEnd"/>
            <w:r>
              <w:t xml:space="preserve"> 2010 (1968): 47–62)</w:t>
            </w:r>
          </w:p>
        </w:tc>
        <w:tc>
          <w:tcPr>
            <w:tcW w:w="941" w:type="dxa"/>
            <w:shd w:val="clear" w:color="auto" w:fill="auto"/>
          </w:tcPr>
          <w:p w:rsidR="00B6211E" w:rsidRDefault="001870D9">
            <w:pPr>
              <w:pStyle w:val="Compact"/>
            </w:pPr>
            <w:proofErr w:type="spellStart"/>
            <w:r>
              <w:t>Gagatli</w:t>
            </w:r>
            <w:proofErr w:type="spellEnd"/>
          </w:p>
        </w:tc>
        <w:tc>
          <w:tcPr>
            <w:tcW w:w="940" w:type="dxa"/>
            <w:shd w:val="clear" w:color="auto" w:fill="auto"/>
          </w:tcPr>
          <w:p w:rsidR="00B6211E" w:rsidRDefault="001870D9">
            <w:pPr>
              <w:pStyle w:val="Compact"/>
            </w:pPr>
            <w:proofErr w:type="spellStart"/>
            <w:r>
              <w:t>sg</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b</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r</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w:t>
            </w:r>
          </w:p>
        </w:tc>
      </w:tr>
      <w:tr w:rsidR="00B6211E">
        <w:tc>
          <w:tcPr>
            <w:tcW w:w="940" w:type="dxa"/>
            <w:shd w:val="clear" w:color="auto" w:fill="auto"/>
          </w:tcPr>
          <w:p w:rsidR="00B6211E" w:rsidRDefault="001870D9">
            <w:pPr>
              <w:pStyle w:val="Compact"/>
            </w:pPr>
            <w:r>
              <w:t>(</w:t>
            </w:r>
            <w:proofErr w:type="spellStart"/>
            <w:r>
              <w:t>Salimov</w:t>
            </w:r>
            <w:proofErr w:type="spellEnd"/>
            <w:r>
              <w:t xml:space="preserve"> 2010 (1968): 47–62)</w:t>
            </w:r>
          </w:p>
        </w:tc>
        <w:tc>
          <w:tcPr>
            <w:tcW w:w="941" w:type="dxa"/>
            <w:shd w:val="clear" w:color="auto" w:fill="auto"/>
          </w:tcPr>
          <w:p w:rsidR="00B6211E" w:rsidRDefault="001870D9">
            <w:pPr>
              <w:pStyle w:val="Compact"/>
            </w:pPr>
            <w:proofErr w:type="spellStart"/>
            <w:r>
              <w:t>Gagatli</w:t>
            </w:r>
            <w:proofErr w:type="spellEnd"/>
          </w:p>
        </w:tc>
        <w:tc>
          <w:tcPr>
            <w:tcW w:w="940" w:type="dxa"/>
            <w:shd w:val="clear" w:color="auto" w:fill="auto"/>
          </w:tcPr>
          <w:p w:rsidR="00B6211E" w:rsidRDefault="001870D9">
            <w:pPr>
              <w:pStyle w:val="Compact"/>
            </w:pPr>
            <w:proofErr w:type="spellStart"/>
            <w:r>
              <w:t>pl</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j</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r</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w:t>
            </w:r>
          </w:p>
        </w:tc>
      </w:tr>
      <w:tr w:rsidR="00B6211E">
        <w:tc>
          <w:tcPr>
            <w:tcW w:w="940" w:type="dxa"/>
            <w:shd w:val="clear" w:color="auto" w:fill="auto"/>
          </w:tcPr>
          <w:p w:rsidR="00B6211E" w:rsidRDefault="001870D9">
            <w:pPr>
              <w:pStyle w:val="Compact"/>
            </w:pPr>
            <w:r>
              <w:t>(</w:t>
            </w:r>
            <w:proofErr w:type="spellStart"/>
            <w:r>
              <w:t>Suleymanov</w:t>
            </w:r>
            <w:proofErr w:type="spellEnd"/>
            <w:r>
              <w:t xml:space="preserve"> 1957: 131–162)</w:t>
            </w:r>
          </w:p>
        </w:tc>
        <w:tc>
          <w:tcPr>
            <w:tcW w:w="941" w:type="dxa"/>
            <w:shd w:val="clear" w:color="auto" w:fill="auto"/>
          </w:tcPr>
          <w:p w:rsidR="00B6211E" w:rsidRDefault="001870D9">
            <w:pPr>
              <w:pStyle w:val="Compact"/>
            </w:pPr>
            <w:proofErr w:type="spellStart"/>
            <w:r>
              <w:t>Rikvani</w:t>
            </w:r>
            <w:proofErr w:type="spellEnd"/>
          </w:p>
        </w:tc>
        <w:tc>
          <w:tcPr>
            <w:tcW w:w="940" w:type="dxa"/>
            <w:shd w:val="clear" w:color="auto" w:fill="auto"/>
          </w:tcPr>
          <w:p w:rsidR="00B6211E" w:rsidRDefault="001870D9">
            <w:pPr>
              <w:pStyle w:val="Compact"/>
            </w:pPr>
            <w:proofErr w:type="spellStart"/>
            <w:r>
              <w:t>sg</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b</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r</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w:t>
            </w:r>
          </w:p>
        </w:tc>
      </w:tr>
      <w:tr w:rsidR="00B6211E">
        <w:tc>
          <w:tcPr>
            <w:tcW w:w="940" w:type="dxa"/>
            <w:shd w:val="clear" w:color="auto" w:fill="auto"/>
          </w:tcPr>
          <w:p w:rsidR="00B6211E" w:rsidRDefault="001870D9">
            <w:pPr>
              <w:pStyle w:val="Compact"/>
            </w:pPr>
            <w:r>
              <w:t>(</w:t>
            </w:r>
            <w:proofErr w:type="spellStart"/>
            <w:r>
              <w:t>Suleymanov</w:t>
            </w:r>
            <w:proofErr w:type="spellEnd"/>
            <w:r>
              <w:t xml:space="preserve"> </w:t>
            </w:r>
            <w:r>
              <w:t>1957: 131–162)</w:t>
            </w:r>
          </w:p>
        </w:tc>
        <w:tc>
          <w:tcPr>
            <w:tcW w:w="941" w:type="dxa"/>
            <w:shd w:val="clear" w:color="auto" w:fill="auto"/>
          </w:tcPr>
          <w:p w:rsidR="00B6211E" w:rsidRDefault="001870D9">
            <w:pPr>
              <w:pStyle w:val="Compact"/>
            </w:pPr>
            <w:proofErr w:type="spellStart"/>
            <w:r>
              <w:t>Rikvani</w:t>
            </w:r>
            <w:proofErr w:type="spellEnd"/>
          </w:p>
        </w:tc>
        <w:tc>
          <w:tcPr>
            <w:tcW w:w="940" w:type="dxa"/>
            <w:shd w:val="clear" w:color="auto" w:fill="auto"/>
          </w:tcPr>
          <w:p w:rsidR="00B6211E" w:rsidRDefault="001870D9">
            <w:pPr>
              <w:pStyle w:val="Compact"/>
            </w:pPr>
            <w:proofErr w:type="spellStart"/>
            <w:r>
              <w:t>pl</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j</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r</w:t>
            </w:r>
          </w:p>
        </w:tc>
        <w:tc>
          <w:tcPr>
            <w:tcW w:w="940" w:type="dxa"/>
            <w:shd w:val="clear" w:color="auto" w:fill="auto"/>
          </w:tcPr>
          <w:p w:rsidR="00B6211E" w:rsidRDefault="001870D9">
            <w:pPr>
              <w:pStyle w:val="Compact"/>
            </w:pPr>
            <w:r>
              <w:t>r</w:t>
            </w:r>
          </w:p>
        </w:tc>
        <w:tc>
          <w:tcPr>
            <w:tcW w:w="941" w:type="dxa"/>
            <w:shd w:val="clear" w:color="auto" w:fill="auto"/>
          </w:tcPr>
          <w:p w:rsidR="00B6211E" w:rsidRDefault="001870D9">
            <w:pPr>
              <w:pStyle w:val="Compact"/>
            </w:pPr>
            <w:r>
              <w:t>-</w:t>
            </w:r>
          </w:p>
        </w:tc>
      </w:tr>
      <w:tr w:rsidR="00B6211E">
        <w:tc>
          <w:tcPr>
            <w:tcW w:w="940" w:type="dxa"/>
            <w:shd w:val="clear" w:color="auto" w:fill="auto"/>
          </w:tcPr>
          <w:p w:rsidR="00B6211E" w:rsidRDefault="001870D9">
            <w:pPr>
              <w:pStyle w:val="Compact"/>
            </w:pPr>
            <w:r>
              <w:t>Field data</w:t>
            </w:r>
          </w:p>
        </w:tc>
        <w:tc>
          <w:tcPr>
            <w:tcW w:w="941" w:type="dxa"/>
            <w:shd w:val="clear" w:color="auto" w:fill="auto"/>
          </w:tcPr>
          <w:p w:rsidR="00B6211E" w:rsidRDefault="001870D9">
            <w:pPr>
              <w:pStyle w:val="Compact"/>
            </w:pPr>
            <w:proofErr w:type="spellStart"/>
            <w:r>
              <w:t>Zilo</w:t>
            </w:r>
            <w:proofErr w:type="spellEnd"/>
          </w:p>
        </w:tc>
        <w:tc>
          <w:tcPr>
            <w:tcW w:w="940" w:type="dxa"/>
            <w:shd w:val="clear" w:color="auto" w:fill="auto"/>
          </w:tcPr>
          <w:p w:rsidR="00B6211E" w:rsidRDefault="001870D9">
            <w:pPr>
              <w:pStyle w:val="Compact"/>
            </w:pPr>
            <w:proofErr w:type="spellStart"/>
            <w:r>
              <w:t>sg</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b</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r</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w:t>
            </w:r>
          </w:p>
        </w:tc>
      </w:tr>
      <w:tr w:rsidR="00B6211E">
        <w:tc>
          <w:tcPr>
            <w:tcW w:w="940" w:type="dxa"/>
            <w:shd w:val="clear" w:color="auto" w:fill="auto"/>
          </w:tcPr>
          <w:p w:rsidR="00B6211E" w:rsidRDefault="001870D9">
            <w:pPr>
              <w:pStyle w:val="Compact"/>
            </w:pPr>
            <w:r>
              <w:lastRenderedPageBreak/>
              <w:t>Field data</w:t>
            </w:r>
          </w:p>
        </w:tc>
        <w:tc>
          <w:tcPr>
            <w:tcW w:w="941" w:type="dxa"/>
            <w:shd w:val="clear" w:color="auto" w:fill="auto"/>
          </w:tcPr>
          <w:p w:rsidR="00B6211E" w:rsidRDefault="001870D9">
            <w:pPr>
              <w:pStyle w:val="Compact"/>
            </w:pPr>
            <w:proofErr w:type="spellStart"/>
            <w:r>
              <w:t>Zilo</w:t>
            </w:r>
            <w:proofErr w:type="spellEnd"/>
          </w:p>
        </w:tc>
        <w:tc>
          <w:tcPr>
            <w:tcW w:w="940" w:type="dxa"/>
            <w:shd w:val="clear" w:color="auto" w:fill="auto"/>
          </w:tcPr>
          <w:p w:rsidR="00B6211E" w:rsidRDefault="001870D9">
            <w:pPr>
              <w:pStyle w:val="Compact"/>
            </w:pPr>
            <w:proofErr w:type="spellStart"/>
            <w:r>
              <w:t>pl</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j</w:t>
            </w:r>
          </w:p>
        </w:tc>
        <w:tc>
          <w:tcPr>
            <w:tcW w:w="940" w:type="dxa"/>
            <w:shd w:val="clear" w:color="auto" w:fill="auto"/>
          </w:tcPr>
          <w:p w:rsidR="00B6211E" w:rsidRDefault="001870D9">
            <w:pPr>
              <w:pStyle w:val="Compact"/>
            </w:pPr>
            <w:r>
              <w:t>b</w:t>
            </w:r>
          </w:p>
        </w:tc>
        <w:tc>
          <w:tcPr>
            <w:tcW w:w="941" w:type="dxa"/>
            <w:shd w:val="clear" w:color="auto" w:fill="auto"/>
          </w:tcPr>
          <w:p w:rsidR="00B6211E" w:rsidRDefault="001870D9">
            <w:pPr>
              <w:pStyle w:val="Compact"/>
            </w:pPr>
            <w:r>
              <w:t>r</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w:t>
            </w:r>
          </w:p>
        </w:tc>
      </w:tr>
      <w:tr w:rsidR="00B6211E">
        <w:tc>
          <w:tcPr>
            <w:tcW w:w="940" w:type="dxa"/>
            <w:shd w:val="clear" w:color="auto" w:fill="auto"/>
          </w:tcPr>
          <w:p w:rsidR="00B6211E" w:rsidRDefault="001870D9">
            <w:pPr>
              <w:pStyle w:val="Compact"/>
            </w:pPr>
            <w:r>
              <w:t>(</w:t>
            </w:r>
            <w:proofErr w:type="spellStart"/>
            <w:r>
              <w:t>Tsertsvadze</w:t>
            </w:r>
            <w:proofErr w:type="spellEnd"/>
            <w:r>
              <w:t xml:space="preserve"> 1965)</w:t>
            </w:r>
          </w:p>
        </w:tc>
        <w:tc>
          <w:tcPr>
            <w:tcW w:w="941" w:type="dxa"/>
            <w:shd w:val="clear" w:color="auto" w:fill="auto"/>
          </w:tcPr>
          <w:p w:rsidR="00B6211E" w:rsidRDefault="001870D9">
            <w:pPr>
              <w:pStyle w:val="Compact"/>
            </w:pPr>
            <w:r>
              <w:t>Muni</w:t>
            </w:r>
          </w:p>
        </w:tc>
        <w:tc>
          <w:tcPr>
            <w:tcW w:w="940" w:type="dxa"/>
            <w:shd w:val="clear" w:color="auto" w:fill="auto"/>
          </w:tcPr>
          <w:p w:rsidR="00B6211E" w:rsidRDefault="001870D9">
            <w:pPr>
              <w:pStyle w:val="Compact"/>
            </w:pPr>
            <w:proofErr w:type="spellStart"/>
            <w:r>
              <w:t>sg</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b</w:t>
            </w:r>
          </w:p>
        </w:tc>
      </w:tr>
      <w:tr w:rsidR="00B6211E">
        <w:tc>
          <w:tcPr>
            <w:tcW w:w="940" w:type="dxa"/>
            <w:shd w:val="clear" w:color="auto" w:fill="auto"/>
          </w:tcPr>
          <w:p w:rsidR="00B6211E" w:rsidRDefault="001870D9">
            <w:pPr>
              <w:pStyle w:val="Compact"/>
            </w:pPr>
            <w:r>
              <w:t>(</w:t>
            </w:r>
            <w:proofErr w:type="spellStart"/>
            <w:r>
              <w:t>Tsertsvadze</w:t>
            </w:r>
            <w:proofErr w:type="spellEnd"/>
            <w:r>
              <w:t xml:space="preserve"> 1965)</w:t>
            </w:r>
          </w:p>
        </w:tc>
        <w:tc>
          <w:tcPr>
            <w:tcW w:w="941" w:type="dxa"/>
            <w:shd w:val="clear" w:color="auto" w:fill="auto"/>
          </w:tcPr>
          <w:p w:rsidR="00B6211E" w:rsidRDefault="001870D9">
            <w:pPr>
              <w:pStyle w:val="Compact"/>
            </w:pPr>
            <w:r>
              <w:t>Muni</w:t>
            </w:r>
          </w:p>
        </w:tc>
        <w:tc>
          <w:tcPr>
            <w:tcW w:w="940" w:type="dxa"/>
            <w:shd w:val="clear" w:color="auto" w:fill="auto"/>
          </w:tcPr>
          <w:p w:rsidR="00B6211E" w:rsidRDefault="001870D9">
            <w:pPr>
              <w:pStyle w:val="Compact"/>
            </w:pPr>
            <w:proofErr w:type="spellStart"/>
            <w:r>
              <w:t>pl</w:t>
            </w:r>
            <w:proofErr w:type="spellEnd"/>
          </w:p>
        </w:tc>
        <w:tc>
          <w:tcPr>
            <w:tcW w:w="941" w:type="dxa"/>
            <w:shd w:val="clear" w:color="auto" w:fill="auto"/>
          </w:tcPr>
          <w:p w:rsidR="00B6211E" w:rsidRDefault="001870D9">
            <w:pPr>
              <w:pStyle w:val="Compact"/>
            </w:pPr>
            <w:r>
              <w:t>w</w:t>
            </w:r>
          </w:p>
        </w:tc>
        <w:tc>
          <w:tcPr>
            <w:tcW w:w="940" w:type="dxa"/>
            <w:shd w:val="clear" w:color="auto" w:fill="auto"/>
          </w:tcPr>
          <w:p w:rsidR="00B6211E" w:rsidRDefault="001870D9">
            <w:pPr>
              <w:pStyle w:val="Compact"/>
            </w:pPr>
            <w:r>
              <w:t>j</w:t>
            </w:r>
          </w:p>
        </w:tc>
        <w:tc>
          <w:tcPr>
            <w:tcW w:w="941" w:type="dxa"/>
            <w:shd w:val="clear" w:color="auto" w:fill="auto"/>
          </w:tcPr>
          <w:p w:rsidR="00B6211E" w:rsidRDefault="001870D9">
            <w:pPr>
              <w:pStyle w:val="Compact"/>
            </w:pPr>
            <w:r>
              <w:t>-</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w:t>
            </w:r>
          </w:p>
        </w:tc>
        <w:tc>
          <w:tcPr>
            <w:tcW w:w="940" w:type="dxa"/>
            <w:shd w:val="clear" w:color="auto" w:fill="auto"/>
          </w:tcPr>
          <w:p w:rsidR="00B6211E" w:rsidRDefault="001870D9">
            <w:pPr>
              <w:pStyle w:val="Compact"/>
            </w:pPr>
            <w:r>
              <w:t>-</w:t>
            </w:r>
          </w:p>
        </w:tc>
        <w:tc>
          <w:tcPr>
            <w:tcW w:w="941" w:type="dxa"/>
            <w:shd w:val="clear" w:color="auto" w:fill="auto"/>
          </w:tcPr>
          <w:p w:rsidR="00B6211E" w:rsidRDefault="001870D9">
            <w:pPr>
              <w:pStyle w:val="Compact"/>
            </w:pPr>
            <w:r>
              <w:t>b</w:t>
            </w:r>
          </w:p>
        </w:tc>
      </w:tr>
    </w:tbl>
    <w:p w:rsidR="00B6211E" w:rsidRDefault="001870D9">
      <w:pPr>
        <w:pStyle w:val="a5"/>
      </w:pPr>
      <w:r>
        <w:t xml:space="preserve">Table 1 illustrates that the noun class system can be </w:t>
      </w:r>
      <w:r>
        <w:t xml:space="preserve">structurally different in different dialects. We use the following notation: m — masculine, f — feminine, </w:t>
      </w:r>
      <w:proofErr w:type="gramStart"/>
      <w:r>
        <w:t>an</w:t>
      </w:r>
      <w:proofErr w:type="gramEnd"/>
      <w:r>
        <w:t xml:space="preserve"> — animate beings (non-human), ¬an — inanimate objects (which may include some insects) and ¬h — general non-human (including both animate and inani</w:t>
      </w:r>
      <w:r>
        <w:t xml:space="preserve">mate). In the Muni dialect (as well as in </w:t>
      </w:r>
      <w:proofErr w:type="spellStart"/>
      <w:r>
        <w:t>Kwankhidatli</w:t>
      </w:r>
      <w:proofErr w:type="spellEnd"/>
      <w:r>
        <w:t>) as described by (</w:t>
      </w:r>
      <w:proofErr w:type="spellStart"/>
      <w:r>
        <w:t>Tsertsvadze</w:t>
      </w:r>
      <w:proofErr w:type="spellEnd"/>
      <w:r>
        <w:t xml:space="preserve"> 1965), there are only three classes (masculine, feminine and “neuter”, or “everything else”). The other dialects differentiate non-human animates (i.e. animals) and two to</w:t>
      </w:r>
      <w:r>
        <w:t xml:space="preserve"> three classes of inanimate objects. </w:t>
      </w:r>
      <w:proofErr w:type="spellStart"/>
      <w:r>
        <w:t>Rikvani</w:t>
      </w:r>
      <w:proofErr w:type="spellEnd"/>
      <w:r>
        <w:t xml:space="preserve"> has the most elaborate system with a total of three inanimate classes, although the third inanimate class contains only a handful of nouns. The </w:t>
      </w:r>
      <w:proofErr w:type="spellStart"/>
      <w:r>
        <w:t>Andi</w:t>
      </w:r>
      <w:proofErr w:type="spellEnd"/>
      <w:r>
        <w:t xml:space="preserve"> system differs radically from that of the </w:t>
      </w:r>
      <w:proofErr w:type="spellStart"/>
      <w:r>
        <w:t>neighbouring</w:t>
      </w:r>
      <w:proofErr w:type="spellEnd"/>
      <w:r>
        <w:t xml:space="preserve"> languag</w:t>
      </w:r>
      <w:r>
        <w:t xml:space="preserve">es, especially those </w:t>
      </w:r>
      <w:proofErr w:type="gramStart"/>
      <w:r>
        <w:t>which</w:t>
      </w:r>
      <w:proofErr w:type="gramEnd"/>
      <w:r>
        <w:t xml:space="preserve"> are more closely related; they feature smaller systems with a general non-human class, similar to the Lower </w:t>
      </w:r>
      <w:proofErr w:type="spellStart"/>
      <w:r>
        <w:t>Andi</w:t>
      </w:r>
      <w:proofErr w:type="spellEnd"/>
      <w:r>
        <w:t xml:space="preserve"> dialects. </w:t>
      </w:r>
      <w:proofErr w:type="spellStart"/>
      <w:r>
        <w:t>Andi</w:t>
      </w:r>
      <w:proofErr w:type="spellEnd"/>
      <w:r>
        <w:t xml:space="preserve"> seems to be more similar to Chechen in this respect, but the resemblance is limited to the number of </w:t>
      </w:r>
      <w:r>
        <w:t xml:space="preserve">classes; the markers themselves and the structure of the system are different. Because class </w:t>
      </w:r>
      <w:proofErr w:type="gramStart"/>
      <w:r>
        <w:t>is partly fused</w:t>
      </w:r>
      <w:proofErr w:type="gramEnd"/>
      <w:r>
        <w:t xml:space="preserve"> with number, the amount of noun classes (or the amount of classes distinguished by a specific prefix) may differ in plural. Languages like </w:t>
      </w:r>
      <w:proofErr w:type="spellStart"/>
      <w:r>
        <w:t>Botlikh</w:t>
      </w:r>
      <w:proofErr w:type="spellEnd"/>
      <w:r>
        <w:t>,</w:t>
      </w:r>
      <w:r>
        <w:t xml:space="preserve"> for example, distinguish three classes in singular (masculine, feminine and neuter), and only two in plural (human vs. non-human). In </w:t>
      </w:r>
      <w:proofErr w:type="spellStart"/>
      <w:r>
        <w:t>Andi</w:t>
      </w:r>
      <w:proofErr w:type="spellEnd"/>
      <w:r>
        <w:t xml:space="preserve"> it is rather the other way </w:t>
      </w:r>
      <w:proofErr w:type="gramStart"/>
      <w:r>
        <w:t>around:</w:t>
      </w:r>
      <w:proofErr w:type="gramEnd"/>
      <w:r>
        <w:t xml:space="preserve"> some classes have the same marker in singular (e.g. animate and inanimate 1), but</w:t>
      </w:r>
      <w:r>
        <w:t xml:space="preserve"> we consider them distinct classes because they are differentiated in plural.</w:t>
      </w:r>
    </w:p>
    <w:p w:rsidR="00B6211E" w:rsidRDefault="001870D9">
      <w:pPr>
        <w:pStyle w:val="Compact"/>
      </w:pPr>
      <w:r>
        <w:t xml:space="preserve">Table 2. Class inventory of languages spoken in </w:t>
      </w:r>
      <w:proofErr w:type="spellStart"/>
      <w:r>
        <w:t>neighbouring</w:t>
      </w:r>
      <w:proofErr w:type="spellEnd"/>
      <w:r>
        <w:t xml:space="preserve"> villages</w:t>
      </w:r>
    </w:p>
    <w:tbl>
      <w:tblPr>
        <w:tblW w:w="9406" w:type="dxa"/>
        <w:tblBorders>
          <w:bottom w:val="single" w:sz="6" w:space="0" w:color="000001"/>
          <w:insideH w:val="single" w:sz="6" w:space="0" w:color="000001"/>
        </w:tblBorders>
        <w:tblLook w:val="07E0" w:firstRow="1" w:lastRow="1" w:firstColumn="1" w:lastColumn="1" w:noHBand="1" w:noVBand="1"/>
      </w:tblPr>
      <w:tblGrid>
        <w:gridCol w:w="1963"/>
        <w:gridCol w:w="1056"/>
        <w:gridCol w:w="890"/>
        <w:gridCol w:w="868"/>
        <w:gridCol w:w="868"/>
        <w:gridCol w:w="914"/>
        <w:gridCol w:w="949"/>
        <w:gridCol w:w="949"/>
        <w:gridCol w:w="949"/>
      </w:tblGrid>
      <w:tr w:rsidR="00B6211E">
        <w:tc>
          <w:tcPr>
            <w:tcW w:w="1045" w:type="dxa"/>
            <w:tcBorders>
              <w:bottom w:val="single" w:sz="6" w:space="0" w:color="000001"/>
            </w:tcBorders>
            <w:shd w:val="clear" w:color="auto" w:fill="auto"/>
            <w:vAlign w:val="bottom"/>
          </w:tcPr>
          <w:p w:rsidR="00B6211E" w:rsidRDefault="001870D9">
            <w:pPr>
              <w:pStyle w:val="Compact"/>
            </w:pPr>
            <w:r>
              <w:t>X1</w:t>
            </w:r>
          </w:p>
        </w:tc>
        <w:tc>
          <w:tcPr>
            <w:tcW w:w="1045" w:type="dxa"/>
            <w:tcBorders>
              <w:bottom w:val="single" w:sz="6" w:space="0" w:color="000001"/>
            </w:tcBorders>
            <w:shd w:val="clear" w:color="auto" w:fill="auto"/>
            <w:vAlign w:val="bottom"/>
          </w:tcPr>
          <w:p w:rsidR="00B6211E" w:rsidRDefault="001870D9">
            <w:pPr>
              <w:pStyle w:val="Compact"/>
            </w:pPr>
            <w:r>
              <w:t>X2</w:t>
            </w:r>
          </w:p>
        </w:tc>
        <w:tc>
          <w:tcPr>
            <w:tcW w:w="1045" w:type="dxa"/>
            <w:tcBorders>
              <w:bottom w:val="single" w:sz="6" w:space="0" w:color="000001"/>
            </w:tcBorders>
            <w:shd w:val="clear" w:color="auto" w:fill="auto"/>
            <w:vAlign w:val="bottom"/>
          </w:tcPr>
          <w:p w:rsidR="00B6211E" w:rsidRDefault="001870D9">
            <w:pPr>
              <w:pStyle w:val="Compact"/>
            </w:pPr>
            <w:r>
              <w:t>X3</w:t>
            </w:r>
          </w:p>
        </w:tc>
        <w:tc>
          <w:tcPr>
            <w:tcW w:w="1045" w:type="dxa"/>
            <w:tcBorders>
              <w:bottom w:val="single" w:sz="6" w:space="0" w:color="000001"/>
            </w:tcBorders>
            <w:shd w:val="clear" w:color="auto" w:fill="auto"/>
            <w:vAlign w:val="bottom"/>
          </w:tcPr>
          <w:p w:rsidR="00B6211E" w:rsidRDefault="001870D9">
            <w:pPr>
              <w:pStyle w:val="Compact"/>
            </w:pPr>
            <w:r>
              <w:t>m</w:t>
            </w:r>
          </w:p>
        </w:tc>
        <w:tc>
          <w:tcPr>
            <w:tcW w:w="1045" w:type="dxa"/>
            <w:tcBorders>
              <w:bottom w:val="single" w:sz="6" w:space="0" w:color="000001"/>
            </w:tcBorders>
            <w:shd w:val="clear" w:color="auto" w:fill="auto"/>
            <w:vAlign w:val="bottom"/>
          </w:tcPr>
          <w:p w:rsidR="00B6211E" w:rsidRDefault="001870D9">
            <w:pPr>
              <w:pStyle w:val="Compact"/>
            </w:pPr>
            <w:r>
              <w:t>f</w:t>
            </w:r>
          </w:p>
        </w:tc>
        <w:tc>
          <w:tcPr>
            <w:tcW w:w="1045" w:type="dxa"/>
            <w:tcBorders>
              <w:bottom w:val="single" w:sz="6" w:space="0" w:color="000001"/>
            </w:tcBorders>
            <w:shd w:val="clear" w:color="auto" w:fill="auto"/>
            <w:vAlign w:val="bottom"/>
          </w:tcPr>
          <w:p w:rsidR="00B6211E" w:rsidRDefault="001870D9">
            <w:pPr>
              <w:pStyle w:val="Compact"/>
            </w:pPr>
            <w:r>
              <w:t>¬h</w:t>
            </w:r>
          </w:p>
        </w:tc>
        <w:tc>
          <w:tcPr>
            <w:tcW w:w="1045" w:type="dxa"/>
            <w:tcBorders>
              <w:bottom w:val="single" w:sz="6" w:space="0" w:color="000001"/>
            </w:tcBorders>
            <w:shd w:val="clear" w:color="auto" w:fill="auto"/>
            <w:vAlign w:val="bottom"/>
          </w:tcPr>
          <w:p w:rsidR="00B6211E" w:rsidRDefault="001870D9">
            <w:pPr>
              <w:pStyle w:val="Compact"/>
            </w:pPr>
            <w:r>
              <w:t>¬h_1</w:t>
            </w:r>
          </w:p>
        </w:tc>
        <w:tc>
          <w:tcPr>
            <w:tcW w:w="1045" w:type="dxa"/>
            <w:tcBorders>
              <w:bottom w:val="single" w:sz="6" w:space="0" w:color="000001"/>
            </w:tcBorders>
            <w:shd w:val="clear" w:color="auto" w:fill="auto"/>
            <w:vAlign w:val="bottom"/>
          </w:tcPr>
          <w:p w:rsidR="00B6211E" w:rsidRDefault="001870D9">
            <w:pPr>
              <w:pStyle w:val="Compact"/>
            </w:pPr>
            <w:r>
              <w:t>¬h_2</w:t>
            </w:r>
          </w:p>
        </w:tc>
        <w:tc>
          <w:tcPr>
            <w:tcW w:w="1045" w:type="dxa"/>
            <w:tcBorders>
              <w:bottom w:val="single" w:sz="6" w:space="0" w:color="000001"/>
            </w:tcBorders>
            <w:shd w:val="clear" w:color="auto" w:fill="auto"/>
            <w:vAlign w:val="bottom"/>
          </w:tcPr>
          <w:p w:rsidR="00B6211E" w:rsidRDefault="001870D9">
            <w:pPr>
              <w:pStyle w:val="Compact"/>
            </w:pPr>
            <w:r>
              <w:t>¬h_3</w:t>
            </w:r>
          </w:p>
        </w:tc>
      </w:tr>
      <w:tr w:rsidR="00B6211E">
        <w:tc>
          <w:tcPr>
            <w:tcW w:w="1045" w:type="dxa"/>
            <w:shd w:val="clear" w:color="auto" w:fill="auto"/>
          </w:tcPr>
          <w:p w:rsidR="00B6211E" w:rsidRDefault="001870D9">
            <w:pPr>
              <w:pStyle w:val="Compact"/>
            </w:pPr>
            <w:r>
              <w:t xml:space="preserve">(Alekseev and </w:t>
            </w:r>
            <w:proofErr w:type="spellStart"/>
            <w:r>
              <w:t>Atayev</w:t>
            </w:r>
            <w:proofErr w:type="spellEnd"/>
            <w:r>
              <w:t xml:space="preserve"> 1997: 41)</w:t>
            </w:r>
          </w:p>
        </w:tc>
        <w:tc>
          <w:tcPr>
            <w:tcW w:w="1045" w:type="dxa"/>
            <w:shd w:val="clear" w:color="auto" w:fill="auto"/>
          </w:tcPr>
          <w:p w:rsidR="00B6211E" w:rsidRDefault="001870D9">
            <w:pPr>
              <w:pStyle w:val="Compact"/>
            </w:pPr>
            <w:proofErr w:type="spellStart"/>
            <w:r>
              <w:t>Avar</w:t>
            </w:r>
            <w:proofErr w:type="spellEnd"/>
          </w:p>
        </w:tc>
        <w:tc>
          <w:tcPr>
            <w:tcW w:w="1045" w:type="dxa"/>
            <w:shd w:val="clear" w:color="auto" w:fill="auto"/>
          </w:tcPr>
          <w:p w:rsidR="00B6211E" w:rsidRDefault="001870D9">
            <w:pPr>
              <w:pStyle w:val="Compact"/>
            </w:pPr>
            <w:proofErr w:type="spellStart"/>
            <w:r>
              <w:t>sg</w:t>
            </w:r>
            <w:proofErr w:type="spellEnd"/>
          </w:p>
        </w:tc>
        <w:tc>
          <w:tcPr>
            <w:tcW w:w="1045" w:type="dxa"/>
            <w:shd w:val="clear" w:color="auto" w:fill="auto"/>
          </w:tcPr>
          <w:p w:rsidR="00B6211E" w:rsidRDefault="001870D9">
            <w:pPr>
              <w:pStyle w:val="Compact"/>
            </w:pPr>
            <w:r>
              <w:t>w</w:t>
            </w:r>
          </w:p>
        </w:tc>
        <w:tc>
          <w:tcPr>
            <w:tcW w:w="1045" w:type="dxa"/>
            <w:shd w:val="clear" w:color="auto" w:fill="auto"/>
          </w:tcPr>
          <w:p w:rsidR="00B6211E" w:rsidRDefault="001870D9">
            <w:pPr>
              <w:pStyle w:val="Compact"/>
            </w:pPr>
            <w:r>
              <w:t>j</w:t>
            </w:r>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r>
      <w:tr w:rsidR="00B6211E">
        <w:tc>
          <w:tcPr>
            <w:tcW w:w="1045" w:type="dxa"/>
            <w:shd w:val="clear" w:color="auto" w:fill="auto"/>
          </w:tcPr>
          <w:p w:rsidR="00B6211E" w:rsidRDefault="001870D9">
            <w:pPr>
              <w:pStyle w:val="Compact"/>
            </w:pPr>
            <w:r>
              <w:t xml:space="preserve">(Alekseev and </w:t>
            </w:r>
            <w:proofErr w:type="spellStart"/>
            <w:r>
              <w:t>Atayev</w:t>
            </w:r>
            <w:proofErr w:type="spellEnd"/>
            <w:r>
              <w:t xml:space="preserve"> </w:t>
            </w:r>
            <w:r>
              <w:t>1997: 41)</w:t>
            </w:r>
          </w:p>
        </w:tc>
        <w:tc>
          <w:tcPr>
            <w:tcW w:w="1045" w:type="dxa"/>
            <w:shd w:val="clear" w:color="auto" w:fill="auto"/>
          </w:tcPr>
          <w:p w:rsidR="00B6211E" w:rsidRDefault="001870D9">
            <w:pPr>
              <w:pStyle w:val="Compact"/>
            </w:pPr>
            <w:proofErr w:type="spellStart"/>
            <w:r>
              <w:t>Avar</w:t>
            </w:r>
            <w:proofErr w:type="spellEnd"/>
          </w:p>
        </w:tc>
        <w:tc>
          <w:tcPr>
            <w:tcW w:w="1045" w:type="dxa"/>
            <w:shd w:val="clear" w:color="auto" w:fill="auto"/>
          </w:tcPr>
          <w:p w:rsidR="00B6211E" w:rsidRDefault="001870D9">
            <w:pPr>
              <w:pStyle w:val="Compact"/>
            </w:pPr>
            <w:proofErr w:type="spellStart"/>
            <w:r>
              <w:t>pl</w:t>
            </w:r>
            <w:proofErr w:type="spellEnd"/>
          </w:p>
        </w:tc>
        <w:tc>
          <w:tcPr>
            <w:tcW w:w="1045" w:type="dxa"/>
            <w:shd w:val="clear" w:color="auto" w:fill="auto"/>
          </w:tcPr>
          <w:p w:rsidR="00B6211E" w:rsidRDefault="001870D9">
            <w:pPr>
              <w:pStyle w:val="Compact"/>
            </w:pPr>
            <w:r>
              <w:t>r/l</w:t>
            </w:r>
          </w:p>
        </w:tc>
        <w:tc>
          <w:tcPr>
            <w:tcW w:w="1045" w:type="dxa"/>
            <w:shd w:val="clear" w:color="auto" w:fill="auto"/>
          </w:tcPr>
          <w:p w:rsidR="00B6211E" w:rsidRDefault="001870D9">
            <w:pPr>
              <w:pStyle w:val="Compact"/>
            </w:pPr>
            <w:r>
              <w:t>r/l</w:t>
            </w:r>
          </w:p>
        </w:tc>
        <w:tc>
          <w:tcPr>
            <w:tcW w:w="1045" w:type="dxa"/>
            <w:shd w:val="clear" w:color="auto" w:fill="auto"/>
          </w:tcPr>
          <w:p w:rsidR="00B6211E" w:rsidRDefault="001870D9">
            <w:pPr>
              <w:pStyle w:val="Compact"/>
            </w:pPr>
            <w:r>
              <w:t>r/l</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r>
      <w:tr w:rsidR="00B6211E">
        <w:tc>
          <w:tcPr>
            <w:tcW w:w="1045" w:type="dxa"/>
            <w:shd w:val="clear" w:color="auto" w:fill="auto"/>
          </w:tcPr>
          <w:p w:rsidR="00B6211E" w:rsidRDefault="001870D9">
            <w:pPr>
              <w:pStyle w:val="Compact"/>
            </w:pPr>
            <w:r>
              <w:t>(</w:t>
            </w:r>
            <w:proofErr w:type="spellStart"/>
            <w:r>
              <w:t>Magomedbekova</w:t>
            </w:r>
            <w:proofErr w:type="spellEnd"/>
            <w:r>
              <w:t xml:space="preserve"> 1971: 41)</w:t>
            </w:r>
          </w:p>
        </w:tc>
        <w:tc>
          <w:tcPr>
            <w:tcW w:w="1045" w:type="dxa"/>
            <w:shd w:val="clear" w:color="auto" w:fill="auto"/>
          </w:tcPr>
          <w:p w:rsidR="00B6211E" w:rsidRDefault="001870D9">
            <w:pPr>
              <w:pStyle w:val="Compact"/>
            </w:pPr>
            <w:proofErr w:type="spellStart"/>
            <w:r>
              <w:t>Karata</w:t>
            </w:r>
            <w:proofErr w:type="spellEnd"/>
          </w:p>
        </w:tc>
        <w:tc>
          <w:tcPr>
            <w:tcW w:w="1045" w:type="dxa"/>
            <w:shd w:val="clear" w:color="auto" w:fill="auto"/>
          </w:tcPr>
          <w:p w:rsidR="00B6211E" w:rsidRDefault="001870D9">
            <w:pPr>
              <w:pStyle w:val="Compact"/>
            </w:pPr>
            <w:proofErr w:type="spellStart"/>
            <w:r>
              <w:t>sg</w:t>
            </w:r>
            <w:proofErr w:type="spellEnd"/>
          </w:p>
        </w:tc>
        <w:tc>
          <w:tcPr>
            <w:tcW w:w="1045" w:type="dxa"/>
            <w:shd w:val="clear" w:color="auto" w:fill="auto"/>
          </w:tcPr>
          <w:p w:rsidR="00B6211E" w:rsidRDefault="001870D9">
            <w:pPr>
              <w:pStyle w:val="Compact"/>
            </w:pPr>
            <w:r>
              <w:t>w</w:t>
            </w:r>
          </w:p>
        </w:tc>
        <w:tc>
          <w:tcPr>
            <w:tcW w:w="1045" w:type="dxa"/>
            <w:shd w:val="clear" w:color="auto" w:fill="auto"/>
          </w:tcPr>
          <w:p w:rsidR="00B6211E" w:rsidRDefault="001870D9">
            <w:pPr>
              <w:pStyle w:val="Compact"/>
            </w:pPr>
            <w:r>
              <w:t>j</w:t>
            </w:r>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r>
      <w:tr w:rsidR="00B6211E">
        <w:tc>
          <w:tcPr>
            <w:tcW w:w="1045" w:type="dxa"/>
            <w:shd w:val="clear" w:color="auto" w:fill="auto"/>
          </w:tcPr>
          <w:p w:rsidR="00B6211E" w:rsidRDefault="001870D9">
            <w:pPr>
              <w:pStyle w:val="Compact"/>
            </w:pPr>
            <w:r>
              <w:t>(</w:t>
            </w:r>
            <w:proofErr w:type="spellStart"/>
            <w:r>
              <w:t>Magomedbekova</w:t>
            </w:r>
            <w:proofErr w:type="spellEnd"/>
            <w:r>
              <w:t xml:space="preserve"> 1971: 41)</w:t>
            </w:r>
          </w:p>
        </w:tc>
        <w:tc>
          <w:tcPr>
            <w:tcW w:w="1045" w:type="dxa"/>
            <w:shd w:val="clear" w:color="auto" w:fill="auto"/>
          </w:tcPr>
          <w:p w:rsidR="00B6211E" w:rsidRDefault="001870D9">
            <w:pPr>
              <w:pStyle w:val="Compact"/>
            </w:pPr>
            <w:proofErr w:type="spellStart"/>
            <w:r>
              <w:t>Karata</w:t>
            </w:r>
            <w:proofErr w:type="spellEnd"/>
          </w:p>
        </w:tc>
        <w:tc>
          <w:tcPr>
            <w:tcW w:w="1045" w:type="dxa"/>
            <w:shd w:val="clear" w:color="auto" w:fill="auto"/>
          </w:tcPr>
          <w:p w:rsidR="00B6211E" w:rsidRDefault="001870D9">
            <w:pPr>
              <w:pStyle w:val="Compact"/>
            </w:pPr>
            <w:proofErr w:type="spellStart"/>
            <w:r>
              <w:t>pl</w:t>
            </w:r>
            <w:proofErr w:type="spellEnd"/>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r</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r>
      <w:tr w:rsidR="00B6211E">
        <w:tc>
          <w:tcPr>
            <w:tcW w:w="1045" w:type="dxa"/>
            <w:shd w:val="clear" w:color="auto" w:fill="auto"/>
          </w:tcPr>
          <w:p w:rsidR="00B6211E" w:rsidRDefault="001870D9">
            <w:pPr>
              <w:pStyle w:val="Compact"/>
            </w:pPr>
            <w:r>
              <w:t>(</w:t>
            </w:r>
            <w:proofErr w:type="spellStart"/>
            <w:r>
              <w:t>Gudava</w:t>
            </w:r>
            <w:proofErr w:type="spellEnd"/>
            <w:r>
              <w:t xml:space="preserve"> 1962: 253–254)</w:t>
            </w:r>
          </w:p>
        </w:tc>
        <w:tc>
          <w:tcPr>
            <w:tcW w:w="1045" w:type="dxa"/>
            <w:shd w:val="clear" w:color="auto" w:fill="auto"/>
          </w:tcPr>
          <w:p w:rsidR="00B6211E" w:rsidRDefault="001870D9">
            <w:pPr>
              <w:pStyle w:val="Compact"/>
            </w:pPr>
            <w:proofErr w:type="spellStart"/>
            <w:r>
              <w:t>Botlikh</w:t>
            </w:r>
            <w:proofErr w:type="spellEnd"/>
          </w:p>
        </w:tc>
        <w:tc>
          <w:tcPr>
            <w:tcW w:w="1045" w:type="dxa"/>
            <w:shd w:val="clear" w:color="auto" w:fill="auto"/>
          </w:tcPr>
          <w:p w:rsidR="00B6211E" w:rsidRDefault="001870D9">
            <w:pPr>
              <w:pStyle w:val="Compact"/>
            </w:pPr>
            <w:proofErr w:type="spellStart"/>
            <w:r>
              <w:t>sg</w:t>
            </w:r>
            <w:proofErr w:type="spellEnd"/>
          </w:p>
        </w:tc>
        <w:tc>
          <w:tcPr>
            <w:tcW w:w="1045" w:type="dxa"/>
            <w:shd w:val="clear" w:color="auto" w:fill="auto"/>
          </w:tcPr>
          <w:p w:rsidR="00B6211E" w:rsidRDefault="001870D9">
            <w:pPr>
              <w:pStyle w:val="Compact"/>
            </w:pPr>
            <w:r>
              <w:t>w</w:t>
            </w:r>
          </w:p>
        </w:tc>
        <w:tc>
          <w:tcPr>
            <w:tcW w:w="1045" w:type="dxa"/>
            <w:shd w:val="clear" w:color="auto" w:fill="auto"/>
          </w:tcPr>
          <w:p w:rsidR="00B6211E" w:rsidRDefault="001870D9">
            <w:pPr>
              <w:pStyle w:val="Compact"/>
            </w:pPr>
            <w:r>
              <w:t>j</w:t>
            </w:r>
          </w:p>
        </w:tc>
        <w:tc>
          <w:tcPr>
            <w:tcW w:w="1045" w:type="dxa"/>
            <w:shd w:val="clear" w:color="auto" w:fill="auto"/>
          </w:tcPr>
          <w:p w:rsidR="00B6211E" w:rsidRDefault="001870D9">
            <w:pPr>
              <w:pStyle w:val="Compact"/>
            </w:pPr>
            <w:r>
              <w:t>b/m</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r>
      <w:tr w:rsidR="00B6211E">
        <w:tc>
          <w:tcPr>
            <w:tcW w:w="1045" w:type="dxa"/>
            <w:shd w:val="clear" w:color="auto" w:fill="auto"/>
          </w:tcPr>
          <w:p w:rsidR="00B6211E" w:rsidRDefault="001870D9">
            <w:pPr>
              <w:pStyle w:val="Compact"/>
            </w:pPr>
            <w:r>
              <w:t>(</w:t>
            </w:r>
            <w:proofErr w:type="spellStart"/>
            <w:r>
              <w:t>Gudava</w:t>
            </w:r>
            <w:proofErr w:type="spellEnd"/>
            <w:r>
              <w:t xml:space="preserve"> 1962: 253–254)</w:t>
            </w:r>
          </w:p>
        </w:tc>
        <w:tc>
          <w:tcPr>
            <w:tcW w:w="1045" w:type="dxa"/>
            <w:shd w:val="clear" w:color="auto" w:fill="auto"/>
          </w:tcPr>
          <w:p w:rsidR="00B6211E" w:rsidRDefault="001870D9">
            <w:pPr>
              <w:pStyle w:val="Compact"/>
            </w:pPr>
            <w:proofErr w:type="spellStart"/>
            <w:r>
              <w:t>Botlikh</w:t>
            </w:r>
            <w:proofErr w:type="spellEnd"/>
          </w:p>
        </w:tc>
        <w:tc>
          <w:tcPr>
            <w:tcW w:w="1045" w:type="dxa"/>
            <w:shd w:val="clear" w:color="auto" w:fill="auto"/>
          </w:tcPr>
          <w:p w:rsidR="00B6211E" w:rsidRDefault="001870D9">
            <w:pPr>
              <w:pStyle w:val="Compact"/>
            </w:pPr>
            <w:proofErr w:type="spellStart"/>
            <w:r>
              <w:t>pl</w:t>
            </w:r>
            <w:proofErr w:type="spellEnd"/>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r/n</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c>
          <w:tcPr>
            <w:tcW w:w="1045" w:type="dxa"/>
            <w:shd w:val="clear" w:color="auto" w:fill="auto"/>
          </w:tcPr>
          <w:p w:rsidR="00B6211E" w:rsidRDefault="001870D9">
            <w:pPr>
              <w:pStyle w:val="Compact"/>
            </w:pPr>
            <w:r>
              <w:t>NA</w:t>
            </w:r>
          </w:p>
        </w:tc>
      </w:tr>
      <w:tr w:rsidR="00B6211E">
        <w:tc>
          <w:tcPr>
            <w:tcW w:w="1045" w:type="dxa"/>
            <w:shd w:val="clear" w:color="auto" w:fill="auto"/>
          </w:tcPr>
          <w:p w:rsidR="00B6211E" w:rsidRDefault="001870D9">
            <w:pPr>
              <w:pStyle w:val="Compact"/>
            </w:pPr>
            <w:r>
              <w:t xml:space="preserve">(Nichols </w:t>
            </w:r>
            <w:r>
              <w:t>1994: 21–22)</w:t>
            </w:r>
          </w:p>
        </w:tc>
        <w:tc>
          <w:tcPr>
            <w:tcW w:w="1045" w:type="dxa"/>
            <w:shd w:val="clear" w:color="auto" w:fill="auto"/>
          </w:tcPr>
          <w:p w:rsidR="00B6211E" w:rsidRDefault="001870D9">
            <w:pPr>
              <w:pStyle w:val="Compact"/>
            </w:pPr>
            <w:r>
              <w:t>Chechen</w:t>
            </w:r>
          </w:p>
        </w:tc>
        <w:tc>
          <w:tcPr>
            <w:tcW w:w="1045" w:type="dxa"/>
            <w:shd w:val="clear" w:color="auto" w:fill="auto"/>
          </w:tcPr>
          <w:p w:rsidR="00B6211E" w:rsidRDefault="001870D9">
            <w:pPr>
              <w:pStyle w:val="Compact"/>
            </w:pPr>
            <w:proofErr w:type="spellStart"/>
            <w:r>
              <w:t>sg</w:t>
            </w:r>
            <w:proofErr w:type="spellEnd"/>
          </w:p>
        </w:tc>
        <w:tc>
          <w:tcPr>
            <w:tcW w:w="1045" w:type="dxa"/>
            <w:shd w:val="clear" w:color="auto" w:fill="auto"/>
          </w:tcPr>
          <w:p w:rsidR="00B6211E" w:rsidRDefault="001870D9">
            <w:pPr>
              <w:pStyle w:val="Compact"/>
            </w:pPr>
            <w:r>
              <w:t>w</w:t>
            </w:r>
          </w:p>
        </w:tc>
        <w:tc>
          <w:tcPr>
            <w:tcW w:w="1045" w:type="dxa"/>
            <w:shd w:val="clear" w:color="auto" w:fill="auto"/>
          </w:tcPr>
          <w:p w:rsidR="00B6211E" w:rsidRDefault="001870D9">
            <w:pPr>
              <w:pStyle w:val="Compact"/>
            </w:pPr>
            <w:r>
              <w:t>j</w:t>
            </w:r>
          </w:p>
        </w:tc>
        <w:tc>
          <w:tcPr>
            <w:tcW w:w="1045" w:type="dxa"/>
            <w:shd w:val="clear" w:color="auto" w:fill="auto"/>
          </w:tcPr>
          <w:p w:rsidR="00B6211E" w:rsidRDefault="001870D9">
            <w:pPr>
              <w:pStyle w:val="Compact"/>
            </w:pPr>
            <w:r>
              <w:t>j</w:t>
            </w:r>
          </w:p>
        </w:tc>
        <w:tc>
          <w:tcPr>
            <w:tcW w:w="1045" w:type="dxa"/>
            <w:shd w:val="clear" w:color="auto" w:fill="auto"/>
          </w:tcPr>
          <w:p w:rsidR="00B6211E" w:rsidRDefault="001870D9">
            <w:pPr>
              <w:pStyle w:val="Compact"/>
            </w:pPr>
            <w:r>
              <w:t>d</w:t>
            </w:r>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b</w:t>
            </w:r>
          </w:p>
        </w:tc>
      </w:tr>
      <w:tr w:rsidR="00B6211E">
        <w:tc>
          <w:tcPr>
            <w:tcW w:w="1045" w:type="dxa"/>
            <w:shd w:val="clear" w:color="auto" w:fill="auto"/>
          </w:tcPr>
          <w:p w:rsidR="00B6211E" w:rsidRDefault="001870D9">
            <w:pPr>
              <w:pStyle w:val="Compact"/>
            </w:pPr>
            <w:r>
              <w:t>(Nichols 1994: 21–22)</w:t>
            </w:r>
          </w:p>
        </w:tc>
        <w:tc>
          <w:tcPr>
            <w:tcW w:w="1045" w:type="dxa"/>
            <w:shd w:val="clear" w:color="auto" w:fill="auto"/>
          </w:tcPr>
          <w:p w:rsidR="00B6211E" w:rsidRDefault="001870D9">
            <w:pPr>
              <w:pStyle w:val="Compact"/>
            </w:pPr>
            <w:r>
              <w:t>Chechen</w:t>
            </w:r>
          </w:p>
        </w:tc>
        <w:tc>
          <w:tcPr>
            <w:tcW w:w="1045" w:type="dxa"/>
            <w:shd w:val="clear" w:color="auto" w:fill="auto"/>
          </w:tcPr>
          <w:p w:rsidR="00B6211E" w:rsidRDefault="001870D9">
            <w:pPr>
              <w:pStyle w:val="Compact"/>
            </w:pPr>
            <w:proofErr w:type="spellStart"/>
            <w:r>
              <w:t>pl</w:t>
            </w:r>
            <w:proofErr w:type="spellEnd"/>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d</w:t>
            </w:r>
          </w:p>
        </w:tc>
        <w:tc>
          <w:tcPr>
            <w:tcW w:w="1045" w:type="dxa"/>
            <w:shd w:val="clear" w:color="auto" w:fill="auto"/>
          </w:tcPr>
          <w:p w:rsidR="00B6211E" w:rsidRDefault="001870D9">
            <w:pPr>
              <w:pStyle w:val="Compact"/>
            </w:pPr>
            <w:r>
              <w:t>j</w:t>
            </w:r>
          </w:p>
        </w:tc>
        <w:tc>
          <w:tcPr>
            <w:tcW w:w="1045" w:type="dxa"/>
            <w:shd w:val="clear" w:color="auto" w:fill="auto"/>
          </w:tcPr>
          <w:p w:rsidR="00B6211E" w:rsidRDefault="001870D9">
            <w:pPr>
              <w:pStyle w:val="Compact"/>
            </w:pPr>
            <w:r>
              <w:t>d</w:t>
            </w:r>
          </w:p>
        </w:tc>
        <w:tc>
          <w:tcPr>
            <w:tcW w:w="1045" w:type="dxa"/>
            <w:shd w:val="clear" w:color="auto" w:fill="auto"/>
          </w:tcPr>
          <w:p w:rsidR="00B6211E" w:rsidRDefault="001870D9">
            <w:pPr>
              <w:pStyle w:val="Compact"/>
            </w:pPr>
            <w:r>
              <w:t>b</w:t>
            </w:r>
          </w:p>
        </w:tc>
        <w:tc>
          <w:tcPr>
            <w:tcW w:w="1045" w:type="dxa"/>
            <w:shd w:val="clear" w:color="auto" w:fill="auto"/>
          </w:tcPr>
          <w:p w:rsidR="00B6211E" w:rsidRDefault="001870D9">
            <w:pPr>
              <w:pStyle w:val="Compact"/>
            </w:pPr>
            <w:r>
              <w:t>d</w:t>
            </w:r>
          </w:p>
        </w:tc>
      </w:tr>
    </w:tbl>
    <w:p w:rsidR="00B6211E" w:rsidRDefault="001870D9">
      <w:pPr>
        <w:pStyle w:val="a5"/>
      </w:pPr>
      <w:r>
        <w:t xml:space="preserve">As mentioned earlier, the attribution of the masculine and feminine noun classes is very transparent. The animate class consists of animals, both large and small (the only exception are insects, which in some cases </w:t>
      </w:r>
      <w:proofErr w:type="gramStart"/>
      <w:r>
        <w:t>are grouped</w:t>
      </w:r>
      <w:proofErr w:type="gramEnd"/>
      <w:r>
        <w:t xml:space="preserve"> with </w:t>
      </w:r>
      <w:proofErr w:type="spellStart"/>
      <w:r>
        <w:t>inanimates</w:t>
      </w:r>
      <w:proofErr w:type="spellEnd"/>
      <w:r>
        <w:t>). The motivat</w:t>
      </w:r>
      <w:r>
        <w:t xml:space="preserve">ion for assigning any of the inanimate classes remains a mystery. Not even all insects belong to the same inanimate class: in </w:t>
      </w:r>
      <w:proofErr w:type="spellStart"/>
      <w:r>
        <w:t>Rikvani</w:t>
      </w:r>
      <w:proofErr w:type="spellEnd"/>
      <w:r>
        <w:t xml:space="preserve">, spiders belong to the animate class, while butterflies belong to the third inanimate </w:t>
      </w:r>
      <w:r>
        <w:lastRenderedPageBreak/>
        <w:t xml:space="preserve">class. In addition, </w:t>
      </w:r>
      <w:proofErr w:type="spellStart"/>
      <w:r>
        <w:rPr>
          <w:i/>
        </w:rPr>
        <w:t>aqrab</w:t>
      </w:r>
      <w:proofErr w:type="spellEnd"/>
      <w:r>
        <w:t xml:space="preserve"> ‘scorpion’</w:t>
      </w:r>
      <w:r>
        <w:t xml:space="preserve">, which is a loan from </w:t>
      </w:r>
      <w:proofErr w:type="spellStart"/>
      <w:r>
        <w:t>Avar</w:t>
      </w:r>
      <w:proofErr w:type="spellEnd"/>
      <w:r>
        <w:t xml:space="preserve">, also belongs to the animate class, while the native word </w:t>
      </w:r>
      <w:proofErr w:type="spellStart"/>
      <w:r>
        <w:rPr>
          <w:i/>
        </w:rPr>
        <w:t>hort</w:t>
      </w:r>
      <w:r>
        <w:rPr>
          <w:i/>
        </w:rPr>
        <w:t>ʃ</w:t>
      </w:r>
      <w:r>
        <w:rPr>
          <w:i/>
        </w:rPr>
        <w:t>’orit</w:t>
      </w:r>
      <w:r>
        <w:rPr>
          <w:i/>
        </w:rPr>
        <w:t>ʃ</w:t>
      </w:r>
      <w:r>
        <w:rPr>
          <w:i/>
        </w:rPr>
        <w:t>’in</w:t>
      </w:r>
      <w:proofErr w:type="spellEnd"/>
      <w:r>
        <w:t xml:space="preserve"> ’scorpion, </w:t>
      </w:r>
      <w:proofErr w:type="gramStart"/>
      <w:r>
        <w:t>belongs</w:t>
      </w:r>
      <w:proofErr w:type="gramEnd"/>
      <w:r>
        <w:t xml:space="preserve"> to the third inanimate class. A possible explanation for </w:t>
      </w:r>
      <w:proofErr w:type="spellStart"/>
      <w:r>
        <w:rPr>
          <w:i/>
        </w:rPr>
        <w:t>aqrab</w:t>
      </w:r>
      <w:proofErr w:type="spellEnd"/>
      <w:r>
        <w:t xml:space="preserve"> belonging to inanimate </w:t>
      </w:r>
      <w:proofErr w:type="gramStart"/>
      <w:r>
        <w:t>1</w:t>
      </w:r>
      <w:proofErr w:type="gramEnd"/>
      <w:r>
        <w:t xml:space="preserve"> is analogy with </w:t>
      </w:r>
      <w:proofErr w:type="spellStart"/>
      <w:r>
        <w:t>Avar</w:t>
      </w:r>
      <w:proofErr w:type="spellEnd"/>
      <w:r>
        <w:t xml:space="preserve"> - in </w:t>
      </w:r>
      <w:proofErr w:type="spellStart"/>
      <w:r>
        <w:t>Avar</w:t>
      </w:r>
      <w:proofErr w:type="spellEnd"/>
      <w:r>
        <w:t xml:space="preserve"> there is only one</w:t>
      </w:r>
      <w:r>
        <w:t xml:space="preserve"> neuter class, which comprises animals and objects, and corresponds to the class marker </w:t>
      </w:r>
      <w:r>
        <w:rPr>
          <w:i/>
        </w:rPr>
        <w:t>b-</w:t>
      </w:r>
      <w:r>
        <w:t xml:space="preserve">, parallel to animate and inanimate 1 in the </w:t>
      </w:r>
      <w:proofErr w:type="spellStart"/>
      <w:r>
        <w:t>Andi</w:t>
      </w:r>
      <w:proofErr w:type="spellEnd"/>
      <w:r>
        <w:t xml:space="preserve"> dialects.</w:t>
      </w:r>
    </w:p>
    <w:p w:rsidR="00B6211E" w:rsidRDefault="001870D9">
      <w:pPr>
        <w:pStyle w:val="4"/>
      </w:pPr>
      <w:bookmarkStart w:id="6" w:name="inanimate-classes"/>
      <w:bookmarkEnd w:id="6"/>
      <w:r>
        <w:t>3.1 Inanimate classes</w:t>
      </w:r>
    </w:p>
    <w:p w:rsidR="00B6211E" w:rsidRDefault="001870D9">
      <w:pPr>
        <w:pStyle w:val="FirstParagraph"/>
      </w:pPr>
      <w:r>
        <w:t>In the descriptive grammar by (</w:t>
      </w:r>
      <w:proofErr w:type="spellStart"/>
      <w:r>
        <w:t>Suleymanov</w:t>
      </w:r>
      <w:proofErr w:type="spellEnd"/>
      <w:r>
        <w:t xml:space="preserve"> 1957) (</w:t>
      </w:r>
      <w:proofErr w:type="spellStart"/>
      <w:r>
        <w:t>Rikvani</w:t>
      </w:r>
      <w:proofErr w:type="spellEnd"/>
      <w:r>
        <w:t xml:space="preserve"> dialect), a dictionary of 1</w:t>
      </w:r>
      <w:r>
        <w:t xml:space="preserve">236 nouns is provided, grouped by semantic category and noun class. The vast majority of these nouns belongs to the inanimate </w:t>
      </w:r>
      <w:proofErr w:type="gramStart"/>
      <w:r>
        <w:t>1</w:t>
      </w:r>
      <w:proofErr w:type="gramEnd"/>
      <w:r>
        <w:t xml:space="preserve"> class (678). There are 53 masculine nouns, 38 feminine, and 46 ambiguous human nouns. </w:t>
      </w:r>
      <w:proofErr w:type="gramStart"/>
      <w:r>
        <w:t>A total of 29</w:t>
      </w:r>
      <w:proofErr w:type="gramEnd"/>
      <w:r>
        <w:t xml:space="preserve"> nouns is classified as ambig</w:t>
      </w:r>
      <w:r>
        <w:t xml:space="preserve">uous between masculine, feminine and animate (e.g. </w:t>
      </w:r>
      <w:proofErr w:type="spellStart"/>
      <w:r>
        <w:rPr>
          <w:i/>
        </w:rPr>
        <w:t>mot</w:t>
      </w:r>
      <w:r>
        <w:rPr>
          <w:i/>
        </w:rPr>
        <w:t>ʃ</w:t>
      </w:r>
      <w:r>
        <w:rPr>
          <w:i/>
        </w:rPr>
        <w:t>i</w:t>
      </w:r>
      <w:proofErr w:type="spellEnd"/>
      <w:r>
        <w:t xml:space="preserve"> ‘child’). The animate class consists of 109 nouns. There are 276 </w:t>
      </w:r>
      <w:proofErr w:type="gramStart"/>
      <w:r>
        <w:t>nouns which</w:t>
      </w:r>
      <w:proofErr w:type="gramEnd"/>
      <w:r>
        <w:t xml:space="preserve"> belong to inanimate 2, and the third inanimate class contains just seven insects. As the first inanimate class comprises h</w:t>
      </w:r>
      <w:r>
        <w:t>alf of the noun vocabulary, it covers a large number of rather general semantic categories, including body parts, plants, household objects and abstract concepts (</w:t>
      </w:r>
      <w:r>
        <w:rPr>
          <w:b/>
        </w:rPr>
        <w:t>???</w:t>
      </w:r>
      <w:r>
        <w:t>). Unfortunately, the second inanimate class seems to cover largely the same categories, j</w:t>
      </w:r>
      <w:r>
        <w:t xml:space="preserve">ust different parts of it. For example, </w:t>
      </w:r>
      <w:proofErr w:type="spellStart"/>
      <w:r>
        <w:rPr>
          <w:i/>
        </w:rPr>
        <w:t>rel’a</w:t>
      </w:r>
      <w:proofErr w:type="spellEnd"/>
      <w:r>
        <w:t xml:space="preserve"> ‘hand’ belongs to the first inanimate class, while </w:t>
      </w:r>
      <w:proofErr w:type="spellStart"/>
      <w:r>
        <w:rPr>
          <w:i/>
        </w:rPr>
        <w:t>гъажу</w:t>
      </w:r>
      <w:proofErr w:type="spellEnd"/>
      <w:r>
        <w:t xml:space="preserve"> ‘arm’ belongs to the second. Few of the categories are exclusive as a whole to either inanimate </w:t>
      </w:r>
      <w:proofErr w:type="gramStart"/>
      <w:r>
        <w:t>1</w:t>
      </w:r>
      <w:proofErr w:type="gramEnd"/>
      <w:r>
        <w:t xml:space="preserve"> or inanimate 2, with the exception of a few highly spec</w:t>
      </w:r>
      <w:r>
        <w:t>ialized categories belonging to inanimate 2: religious objects and moral concepts (e.g. prayer, tax, amulet); paper objects and documents (book, letter, newspaper, various legal documents); concepts of time (hour, day, night). Curiously, female clothing an</w:t>
      </w:r>
      <w:r>
        <w:t xml:space="preserve">d jewelry is mostly inanimate 2, while male clothing predominantly belongs to inanimate 1.The situation is a bit different in </w:t>
      </w:r>
      <w:proofErr w:type="spellStart"/>
      <w:r>
        <w:t>Gagatli</w:t>
      </w:r>
      <w:proofErr w:type="spellEnd"/>
      <w:r>
        <w:t>, as described in (</w:t>
      </w:r>
      <w:proofErr w:type="spellStart"/>
      <w:r>
        <w:t>Salimov</w:t>
      </w:r>
      <w:proofErr w:type="spellEnd"/>
      <w:r>
        <w:t xml:space="preserve"> 2010 (1968): 48</w:t>
      </w:r>
      <w:proofErr w:type="gramStart"/>
      <w:r>
        <w:t>-)</w:t>
      </w:r>
      <w:proofErr w:type="gramEnd"/>
      <w:r>
        <w:t xml:space="preserve">. In </w:t>
      </w:r>
      <w:proofErr w:type="spellStart"/>
      <w:r>
        <w:t>Gagatli</w:t>
      </w:r>
      <w:proofErr w:type="spellEnd"/>
      <w:r>
        <w:t>, the feminine class contains a handful of abstract concepts that b</w:t>
      </w:r>
      <w:r>
        <w:t xml:space="preserve">elong to inanimate </w:t>
      </w:r>
      <w:proofErr w:type="gramStart"/>
      <w:r>
        <w:t>2</w:t>
      </w:r>
      <w:proofErr w:type="gramEnd"/>
      <w:r>
        <w:t xml:space="preserve"> in </w:t>
      </w:r>
      <w:proofErr w:type="spellStart"/>
      <w:r>
        <w:t>Rikvani</w:t>
      </w:r>
      <w:proofErr w:type="spellEnd"/>
      <w:r>
        <w:t xml:space="preserve"> (e.g. evening). Otherwise, the description of the masculine and animate classes, as well as that of the inanimate </w:t>
      </w:r>
      <w:proofErr w:type="gramStart"/>
      <w:r>
        <w:t>1</w:t>
      </w:r>
      <w:proofErr w:type="gramEnd"/>
      <w:r>
        <w:t xml:space="preserve"> and 2 classes is highly similar. The insects distinguished by the third inanimate class in </w:t>
      </w:r>
      <w:proofErr w:type="spellStart"/>
      <w:r>
        <w:t>Rikvani</w:t>
      </w:r>
      <w:proofErr w:type="spellEnd"/>
      <w:r>
        <w:t xml:space="preserve"> are group</w:t>
      </w:r>
      <w:r>
        <w:t xml:space="preserve">ed with inanimate </w:t>
      </w:r>
      <w:proofErr w:type="gramStart"/>
      <w:r>
        <w:t>2</w:t>
      </w:r>
      <w:proofErr w:type="gramEnd"/>
      <w:r>
        <w:t xml:space="preserve"> in </w:t>
      </w:r>
      <w:proofErr w:type="spellStart"/>
      <w:r>
        <w:t>Gagatli</w:t>
      </w:r>
      <w:proofErr w:type="spellEnd"/>
      <w:r>
        <w:t xml:space="preserve">. For both </w:t>
      </w:r>
      <w:proofErr w:type="gramStart"/>
      <w:r>
        <w:t>dialects</w:t>
      </w:r>
      <w:proofErr w:type="gramEnd"/>
      <w:r>
        <w:t xml:space="preserve"> liquids and water reservoirs tend to be assigned the inanimate 2 class. For </w:t>
      </w:r>
      <w:proofErr w:type="spellStart"/>
      <w:r>
        <w:t>Zilo</w:t>
      </w:r>
      <w:proofErr w:type="spellEnd"/>
      <w:r>
        <w:t xml:space="preserve"> this largely hold, although </w:t>
      </w:r>
      <w:proofErr w:type="spellStart"/>
      <w:r>
        <w:rPr>
          <w:i/>
        </w:rPr>
        <w:t>inχi</w:t>
      </w:r>
      <w:proofErr w:type="spellEnd"/>
      <w:r>
        <w:t xml:space="preserve"> ‘large river’ belongs to inanimate </w:t>
      </w:r>
      <w:proofErr w:type="gramStart"/>
      <w:r>
        <w:t>1</w:t>
      </w:r>
      <w:proofErr w:type="gramEnd"/>
      <w:r>
        <w:t>.</w:t>
      </w:r>
    </w:p>
    <w:p w:rsidR="00B6211E" w:rsidRDefault="001870D9">
      <w:pPr>
        <w:pStyle w:val="4"/>
      </w:pPr>
      <w:bookmarkStart w:id="7" w:name="origins-of-inanimate-2"/>
      <w:bookmarkEnd w:id="7"/>
      <w:r>
        <w:t>3.2 Origins of inanimate 2</w:t>
      </w:r>
    </w:p>
    <w:p w:rsidR="00B6211E" w:rsidRDefault="001870D9">
      <w:pPr>
        <w:pStyle w:val="FirstParagraph"/>
      </w:pPr>
      <w:r>
        <w:t xml:space="preserve">A few remarks on </w:t>
      </w:r>
      <w:proofErr w:type="spellStart"/>
      <w:r>
        <w:t>diachrony</w:t>
      </w:r>
      <w:proofErr w:type="spellEnd"/>
      <w:r>
        <w:t xml:space="preserve"> are in order here. As Table 2 illustrates, the </w:t>
      </w:r>
      <w:proofErr w:type="spellStart"/>
      <w:r>
        <w:t>prefixal</w:t>
      </w:r>
      <w:proofErr w:type="spellEnd"/>
      <w:r>
        <w:t xml:space="preserve"> marker of inanimate plurals is similar to the inanimate </w:t>
      </w:r>
      <w:proofErr w:type="gramStart"/>
      <w:r>
        <w:t>2</w:t>
      </w:r>
      <w:proofErr w:type="gramEnd"/>
      <w:r>
        <w:t xml:space="preserve"> marker in </w:t>
      </w:r>
      <w:proofErr w:type="spellStart"/>
      <w:r>
        <w:t>Andi</w:t>
      </w:r>
      <w:proofErr w:type="spellEnd"/>
      <w:r>
        <w:t xml:space="preserve">. Three-class systems are considered reduced systems originating in a four or five class system that </w:t>
      </w:r>
      <w:r>
        <w:t xml:space="preserve">is more similar to what we find in contemporary </w:t>
      </w:r>
      <w:proofErr w:type="spellStart"/>
      <w:r>
        <w:t>Andi</w:t>
      </w:r>
      <w:proofErr w:type="spellEnd"/>
      <w:r>
        <w:t xml:space="preserve"> </w:t>
      </w:r>
      <w:r>
        <w:rPr>
          <w:i/>
        </w:rPr>
        <w:t>ССЫЛКА НА КАКУЮ-НИБУДЬ РАБОТУ АЛЕКСЕЕВА</w:t>
      </w:r>
      <w:r>
        <w:t>. As argued in (Daniel 2018) there is some evidence that across the family, the second inanimate class (in cases where there is such a distinction) and similar-look</w:t>
      </w:r>
      <w:r>
        <w:t xml:space="preserve">ing plural markers, ultimately originate in a distinct class containing mass nouns, such as liquids, </w:t>
      </w:r>
      <w:proofErr w:type="spellStart"/>
      <w:r>
        <w:t>pluralia</w:t>
      </w:r>
      <w:proofErr w:type="spellEnd"/>
      <w:r>
        <w:t xml:space="preserve"> and </w:t>
      </w:r>
      <w:proofErr w:type="spellStart"/>
      <w:r>
        <w:t>singularia</w:t>
      </w:r>
      <w:proofErr w:type="spellEnd"/>
      <w:r>
        <w:t xml:space="preserve"> </w:t>
      </w:r>
      <w:proofErr w:type="spellStart"/>
      <w:r>
        <w:t>tantum</w:t>
      </w:r>
      <w:proofErr w:type="spellEnd"/>
      <w:r>
        <w:t xml:space="preserve"> and abstract nouns that are “number neutral”. If that is the case, the inanimate </w:t>
      </w:r>
      <w:proofErr w:type="gramStart"/>
      <w:r>
        <w:t>2</w:t>
      </w:r>
      <w:proofErr w:type="gramEnd"/>
      <w:r>
        <w:t xml:space="preserve"> has extended its terrain considerably in </w:t>
      </w:r>
      <w:r>
        <w:t xml:space="preserve">contemporary </w:t>
      </w:r>
      <w:proofErr w:type="spellStart"/>
      <w:r>
        <w:t>Andi</w:t>
      </w:r>
      <w:proofErr w:type="spellEnd"/>
      <w:r>
        <w:t xml:space="preserve">. It contains some mass nouns and </w:t>
      </w:r>
      <w:proofErr w:type="spellStart"/>
      <w:r>
        <w:t>singularia</w:t>
      </w:r>
      <w:proofErr w:type="spellEnd"/>
      <w:r>
        <w:t xml:space="preserve"> </w:t>
      </w:r>
      <w:proofErr w:type="spellStart"/>
      <w:r>
        <w:t>tantum</w:t>
      </w:r>
      <w:proofErr w:type="spellEnd"/>
      <w:r>
        <w:t xml:space="preserve"> like </w:t>
      </w:r>
      <w:proofErr w:type="spellStart"/>
      <w:r>
        <w:rPr>
          <w:i/>
        </w:rPr>
        <w:t>ilajma</w:t>
      </w:r>
      <w:proofErr w:type="spellEnd"/>
      <w:r>
        <w:t xml:space="preserve"> ‘parents’ (literally a contraction of ‘mother’ (</w:t>
      </w:r>
      <w:proofErr w:type="spellStart"/>
      <w:proofErr w:type="gramStart"/>
      <w:r>
        <w:rPr>
          <w:i/>
        </w:rPr>
        <w:t>ila</w:t>
      </w:r>
      <w:proofErr w:type="spellEnd"/>
      <w:proofErr w:type="gramEnd"/>
      <w:r>
        <w:t>) and ‘father’ (</w:t>
      </w:r>
      <w:proofErr w:type="spellStart"/>
      <w:r>
        <w:rPr>
          <w:i/>
        </w:rPr>
        <w:t>ima</w:t>
      </w:r>
      <w:proofErr w:type="spellEnd"/>
      <w:r>
        <w:t xml:space="preserve">), which agrees with inanimate 2 singular), but also many countable objects. In addition, mass nouns are </w:t>
      </w:r>
      <w:r>
        <w:t xml:space="preserve">not restricted to inanimate 2, for example </w:t>
      </w:r>
      <w:proofErr w:type="spellStart"/>
      <w:r>
        <w:rPr>
          <w:i/>
        </w:rPr>
        <w:t>zar</w:t>
      </w:r>
      <w:proofErr w:type="spellEnd"/>
      <w:r>
        <w:t xml:space="preserve"> ‘ice’ and </w:t>
      </w:r>
      <w:r>
        <w:rPr>
          <w:i/>
        </w:rPr>
        <w:t>k’ː</w:t>
      </w:r>
      <w:proofErr w:type="spellStart"/>
      <w:r>
        <w:rPr>
          <w:i/>
        </w:rPr>
        <w:t>öj</w:t>
      </w:r>
      <w:proofErr w:type="spellEnd"/>
      <w:r>
        <w:t xml:space="preserve"> ‘smoke’ belong to inanimate 1 at least in </w:t>
      </w:r>
      <w:proofErr w:type="spellStart"/>
      <w:r>
        <w:t>Rikvani</w:t>
      </w:r>
      <w:proofErr w:type="spellEnd"/>
      <w:r>
        <w:t xml:space="preserve">. Thus, evidence from </w:t>
      </w:r>
      <w:proofErr w:type="spellStart"/>
      <w:r>
        <w:t>Andi</w:t>
      </w:r>
      <w:proofErr w:type="spellEnd"/>
      <w:r>
        <w:t xml:space="preserve"> does not necessarily refute the mass noun hypothesis, but it cannot support it either, as we have no knowledge of how</w:t>
      </w:r>
      <w:r>
        <w:t xml:space="preserve"> </w:t>
      </w:r>
      <w:proofErr w:type="spellStart"/>
      <w:r>
        <w:t>Andi</w:t>
      </w:r>
      <w:proofErr w:type="spellEnd"/>
      <w:r>
        <w:t xml:space="preserve"> noun classes have evolved. Moreover because we have not yet succeeded in establishing semantic regularities for the synchronic level.</w:t>
      </w:r>
    </w:p>
    <w:p w:rsidR="00B6211E" w:rsidRDefault="001870D9">
      <w:pPr>
        <w:pStyle w:val="4"/>
      </w:pPr>
      <w:bookmarkStart w:id="8" w:name="loan-words"/>
      <w:bookmarkEnd w:id="8"/>
      <w:r>
        <w:lastRenderedPageBreak/>
        <w:t>3.3 Loan words</w:t>
      </w:r>
    </w:p>
    <w:p w:rsidR="00B6211E" w:rsidRDefault="001870D9">
      <w:pPr>
        <w:pStyle w:val="FirstParagraph"/>
      </w:pPr>
      <w:proofErr w:type="gramStart"/>
      <w:r>
        <w:t xml:space="preserve">Based on the lists by </w:t>
      </w:r>
      <w:proofErr w:type="spellStart"/>
      <w:r>
        <w:t>Sulejmanov</w:t>
      </w:r>
      <w:proofErr w:type="spellEnd"/>
      <w:r>
        <w:t xml:space="preserve"> and </w:t>
      </w:r>
      <w:proofErr w:type="spellStart"/>
      <w:r>
        <w:t>Salimov</w:t>
      </w:r>
      <w:proofErr w:type="spellEnd"/>
      <w:r>
        <w:t>, we can conclude that there is no distinct pattern for loan words from certain languages, or loan words in general as a group, as we find borrowings in each class: Russian names of professions in the masculine a</w:t>
      </w:r>
      <w:r>
        <w:t>nd feminine classes, names of religious entities which are usually identified as male and borrowed from Arabic are in the masculine class, and various objects borrowed from different languages belong to inanimate 1 or 2.</w:t>
      </w:r>
      <w:proofErr w:type="gramEnd"/>
      <w:r>
        <w:t xml:space="preserve"> Words referring to modern technolog</w:t>
      </w:r>
      <w:r>
        <w:t xml:space="preserve">y </w:t>
      </w:r>
      <w:proofErr w:type="gramStart"/>
      <w:r>
        <w:t>are similarly distributed</w:t>
      </w:r>
      <w:proofErr w:type="gramEnd"/>
      <w:r>
        <w:t xml:space="preserve"> among the inanimate classes in an unpredictable way. For </w:t>
      </w:r>
      <w:proofErr w:type="gramStart"/>
      <w:r>
        <w:t>example</w:t>
      </w:r>
      <w:proofErr w:type="gramEnd"/>
      <w:r>
        <w:t xml:space="preserve"> </w:t>
      </w:r>
      <w:proofErr w:type="spellStart"/>
      <w:r>
        <w:rPr>
          <w:i/>
        </w:rPr>
        <w:t>televizor</w:t>
      </w:r>
      <w:proofErr w:type="spellEnd"/>
      <w:r>
        <w:t xml:space="preserve"> ‘television’ is inanimate 1, while </w:t>
      </w:r>
      <w:proofErr w:type="spellStart"/>
      <w:r>
        <w:rPr>
          <w:i/>
        </w:rPr>
        <w:t>telefon</w:t>
      </w:r>
      <w:proofErr w:type="spellEnd"/>
      <w:r>
        <w:t xml:space="preserve"> ‘telephone’ belongs to the inanimate 2 class. As we will show in the following section, this lack of semantic </w:t>
      </w:r>
      <w:r>
        <w:t xml:space="preserve">transparency and regularity does not hinder speakers in being surprisingly consistent </w:t>
      </w:r>
      <w:proofErr w:type="gramStart"/>
      <w:r>
        <w:t>with regards to</w:t>
      </w:r>
      <w:proofErr w:type="gramEnd"/>
      <w:r>
        <w:t xml:space="preserve"> the class they assign to nouns in general, and new nouns in particular.</w:t>
      </w:r>
    </w:p>
    <w:p w:rsidR="00B6211E" w:rsidRDefault="001870D9">
      <w:pPr>
        <w:pStyle w:val="3"/>
      </w:pPr>
      <w:bookmarkStart w:id="9" w:name="experimental-data-and-analysis"/>
      <w:bookmarkEnd w:id="9"/>
      <w:r>
        <w:t>4. Experimental data and analysis</w:t>
      </w:r>
    </w:p>
    <w:p w:rsidR="00B6211E" w:rsidRDefault="001870D9">
      <w:pPr>
        <w:pStyle w:val="FirstParagraph"/>
      </w:pPr>
      <w:r>
        <w:t>In order to evaluate how consistent speakers are</w:t>
      </w:r>
      <w:r>
        <w:t xml:space="preserve"> in assigning a noun class to certain nouns, we created a list consisting of 25 native and 25 borrowed words for each of the inanimate classes (100 words in total) and some members of the inanimate 3 class from </w:t>
      </w:r>
      <w:proofErr w:type="spellStart"/>
      <w:r>
        <w:t>Rikvani</w:t>
      </w:r>
      <w:proofErr w:type="spellEnd"/>
      <w:r>
        <w:t xml:space="preserve"> (four in total). We included native w</w:t>
      </w:r>
      <w:r>
        <w:t xml:space="preserve">ords in order to detect a difference in variation across speakers between words that are part of the core lexicon and words that </w:t>
      </w:r>
      <w:proofErr w:type="gramStart"/>
      <w:r>
        <w:t>are relatively new and obviously come</w:t>
      </w:r>
      <w:proofErr w:type="gramEnd"/>
      <w:r>
        <w:t xml:space="preserve"> from a different language. When the list was compiled, we arranged the words in a quasi-a</w:t>
      </w:r>
      <w:r>
        <w:t xml:space="preserve">rbitrary order; we tried to avoid offering the speakers large clusters of borrowings and too much repetition of words belonging to the same class, in order to avoid </w:t>
      </w:r>
      <w:proofErr w:type="gramStart"/>
      <w:r>
        <w:rPr>
          <w:i/>
        </w:rPr>
        <w:t>priming(?</w:t>
      </w:r>
      <w:proofErr w:type="gramEnd"/>
      <w:r>
        <w:rPr>
          <w:i/>
        </w:rPr>
        <w:t xml:space="preserve"> ЭТО ТАК НАЗЫВАЕТСЯ? ЧТО-ТО Я НЕ УВЕРЕНА)</w:t>
      </w:r>
      <w:r>
        <w:t>.The complete list of 114 lexical items i</w:t>
      </w:r>
      <w:r>
        <w:t xml:space="preserve">s available online: </w:t>
      </w:r>
      <w:hyperlink r:id="rId11">
        <w:r>
          <w:rPr>
            <w:rStyle w:val="InternetLink"/>
          </w:rPr>
          <w:t>https://goo.gl/YG8Co9</w:t>
        </w:r>
      </w:hyperlink>
      <w:r>
        <w:t xml:space="preserve">. For each of the words, we asked speakers to translate the phrase “my X”, because the possessive construction in </w:t>
      </w:r>
      <w:proofErr w:type="spellStart"/>
      <w:r>
        <w:t>Andi</w:t>
      </w:r>
      <w:proofErr w:type="spellEnd"/>
      <w:r>
        <w:t xml:space="preserve"> consists of a personal pronoun and a class suffix that </w:t>
      </w:r>
      <w:r>
        <w:t xml:space="preserve">agrees with the </w:t>
      </w:r>
      <w:proofErr w:type="spellStart"/>
      <w:r>
        <w:t>possessee</w:t>
      </w:r>
      <w:proofErr w:type="spellEnd"/>
      <w:r>
        <w:t xml:space="preserve">, for example: [my something]. We conducted the experiment with sixteen different speakers, evenly divided </w:t>
      </w:r>
      <w:proofErr w:type="gramStart"/>
      <w:r>
        <w:t>among</w:t>
      </w:r>
      <w:proofErr w:type="gramEnd"/>
      <w:r>
        <w:t xml:space="preserve"> two age groups: younger (13-32) vs. older (34-60). For each age group, we interviewed four female and four male speake</w:t>
      </w:r>
      <w:r>
        <w:t xml:space="preserve">rs. All of the data were collected during fieldwork in </w:t>
      </w:r>
      <w:proofErr w:type="spellStart"/>
      <w:r>
        <w:t>Zilo</w:t>
      </w:r>
      <w:proofErr w:type="spellEnd"/>
      <w:r>
        <w:t xml:space="preserve"> in August of 2017.</w:t>
      </w:r>
    </w:p>
    <w:p w:rsidR="00B6211E" w:rsidRDefault="001870D9">
      <w:pPr>
        <w:pStyle w:val="a5"/>
      </w:pPr>
      <w:r>
        <w:rPr>
          <w:i/>
        </w:rPr>
        <w:t>ОПИСАНИЕ СТАТИСТИЧЕСКОГО АНАЛИЗА</w:t>
      </w:r>
    </w:p>
    <w:p w:rsidR="00B6211E" w:rsidRDefault="001870D9">
      <w:pPr>
        <w:pStyle w:val="a5"/>
      </w:pPr>
      <w:r>
        <w:rPr>
          <w:i/>
        </w:rPr>
        <w:t>В СНОСКУ</w:t>
      </w:r>
      <w:r>
        <w:t xml:space="preserve"> All statistical tests and visualizations were done in R (R Core Team 2018), using the following packages: </w:t>
      </w:r>
      <w:r>
        <w:rPr>
          <w:i/>
        </w:rPr>
        <w:t>ape</w:t>
      </w:r>
      <w:r>
        <w:t xml:space="preserve"> (</w:t>
      </w:r>
      <w:proofErr w:type="spellStart"/>
      <w:r>
        <w:t>Paradis</w:t>
      </w:r>
      <w:proofErr w:type="spellEnd"/>
      <w:r>
        <w:t xml:space="preserve">, Claude, and </w:t>
      </w:r>
      <w:proofErr w:type="spellStart"/>
      <w:r>
        <w:t>Str</w:t>
      </w:r>
      <w:r>
        <w:t>immer</w:t>
      </w:r>
      <w:proofErr w:type="spellEnd"/>
      <w:r>
        <w:t xml:space="preserve"> 2004), </w:t>
      </w:r>
      <w:r>
        <w:rPr>
          <w:i/>
        </w:rPr>
        <w:t>ggplot2</w:t>
      </w:r>
      <w:r>
        <w:t xml:space="preserve"> (Wickham 2009), </w:t>
      </w:r>
      <w:proofErr w:type="spellStart"/>
      <w:r>
        <w:rPr>
          <w:i/>
        </w:rPr>
        <w:t>irr</w:t>
      </w:r>
      <w:proofErr w:type="spellEnd"/>
      <w:r>
        <w:t xml:space="preserve"> (Gamer, Lemon, and Singh 2012) and </w:t>
      </w:r>
      <w:proofErr w:type="spellStart"/>
      <w:r>
        <w:rPr>
          <w:i/>
        </w:rPr>
        <w:t>lingtypology</w:t>
      </w:r>
      <w:proofErr w:type="spellEnd"/>
      <w:r>
        <w:t xml:space="preserve"> (</w:t>
      </w:r>
      <w:proofErr w:type="spellStart"/>
      <w:r>
        <w:t>Moroz</w:t>
      </w:r>
      <w:proofErr w:type="spellEnd"/>
      <w:r>
        <w:t xml:space="preserve"> 2017).</w:t>
      </w:r>
    </w:p>
    <w:p w:rsidR="00B6211E" w:rsidRDefault="001870D9">
      <w:pPr>
        <w:pStyle w:val="Compact"/>
      </w:pPr>
      <w:r>
        <w:t>Table 3. Pure agreement percentages among speakers</w:t>
      </w:r>
    </w:p>
    <w:tbl>
      <w:tblPr>
        <w:tblW w:w="9406" w:type="dxa"/>
        <w:tblBorders>
          <w:bottom w:val="single" w:sz="6" w:space="0" w:color="000001"/>
          <w:insideH w:val="single" w:sz="6" w:space="0" w:color="000001"/>
        </w:tblBorders>
        <w:tblLook w:val="07E0" w:firstRow="1" w:lastRow="1" w:firstColumn="1" w:lastColumn="1" w:noHBand="1" w:noVBand="1"/>
      </w:tblPr>
      <w:tblGrid>
        <w:gridCol w:w="1881"/>
        <w:gridCol w:w="1881"/>
        <w:gridCol w:w="1881"/>
        <w:gridCol w:w="1881"/>
        <w:gridCol w:w="1882"/>
      </w:tblGrid>
      <w:tr w:rsidR="00B6211E">
        <w:tc>
          <w:tcPr>
            <w:tcW w:w="1881" w:type="dxa"/>
            <w:tcBorders>
              <w:bottom w:val="single" w:sz="6" w:space="0" w:color="000001"/>
            </w:tcBorders>
            <w:shd w:val="clear" w:color="auto" w:fill="auto"/>
            <w:vAlign w:val="bottom"/>
          </w:tcPr>
          <w:p w:rsidR="00B6211E" w:rsidRDefault="001870D9">
            <w:pPr>
              <w:pStyle w:val="Compact"/>
            </w:pPr>
            <w:r>
              <w:t>X1</w:t>
            </w:r>
          </w:p>
        </w:tc>
        <w:tc>
          <w:tcPr>
            <w:tcW w:w="1881" w:type="dxa"/>
            <w:tcBorders>
              <w:bottom w:val="single" w:sz="6" w:space="0" w:color="000001"/>
            </w:tcBorders>
            <w:shd w:val="clear" w:color="auto" w:fill="auto"/>
            <w:vAlign w:val="bottom"/>
          </w:tcPr>
          <w:p w:rsidR="00B6211E" w:rsidRDefault="001870D9">
            <w:pPr>
              <w:pStyle w:val="Compact"/>
              <w:jc w:val="right"/>
            </w:pPr>
            <w:r>
              <w:t xml:space="preserve">% </w:t>
            </w:r>
            <w:proofErr w:type="spellStart"/>
            <w:r>
              <w:t>абс</w:t>
            </w:r>
            <w:proofErr w:type="spellEnd"/>
            <w:r>
              <w:t xml:space="preserve">. </w:t>
            </w:r>
            <w:proofErr w:type="spellStart"/>
            <w:r>
              <w:t>согласия</w:t>
            </w:r>
            <w:proofErr w:type="spellEnd"/>
          </w:p>
        </w:tc>
        <w:tc>
          <w:tcPr>
            <w:tcW w:w="1881" w:type="dxa"/>
            <w:tcBorders>
              <w:bottom w:val="single" w:sz="6" w:space="0" w:color="000001"/>
            </w:tcBorders>
            <w:shd w:val="clear" w:color="auto" w:fill="auto"/>
            <w:vAlign w:val="bottom"/>
          </w:tcPr>
          <w:p w:rsidR="00B6211E" w:rsidRDefault="001870D9">
            <w:pPr>
              <w:pStyle w:val="Compact"/>
              <w:jc w:val="right"/>
            </w:pPr>
            <w:proofErr w:type="spellStart"/>
            <w:r>
              <w:t>каппа</w:t>
            </w:r>
            <w:proofErr w:type="spellEnd"/>
            <w:r>
              <w:t xml:space="preserve"> </w:t>
            </w:r>
            <w:proofErr w:type="spellStart"/>
            <w:r>
              <w:t>Фляйса</w:t>
            </w:r>
            <w:proofErr w:type="spellEnd"/>
          </w:p>
        </w:tc>
        <w:tc>
          <w:tcPr>
            <w:tcW w:w="1881" w:type="dxa"/>
            <w:tcBorders>
              <w:bottom w:val="single" w:sz="6" w:space="0" w:color="000001"/>
            </w:tcBorders>
            <w:shd w:val="clear" w:color="auto" w:fill="auto"/>
            <w:vAlign w:val="bottom"/>
          </w:tcPr>
          <w:p w:rsidR="00B6211E" w:rsidRDefault="001870D9">
            <w:pPr>
              <w:pStyle w:val="Compact"/>
              <w:jc w:val="right"/>
            </w:pPr>
            <w:r>
              <w:t>z-score</w:t>
            </w:r>
          </w:p>
        </w:tc>
        <w:tc>
          <w:tcPr>
            <w:tcW w:w="1882" w:type="dxa"/>
            <w:tcBorders>
              <w:bottom w:val="single" w:sz="6" w:space="0" w:color="000001"/>
            </w:tcBorders>
            <w:shd w:val="clear" w:color="auto" w:fill="auto"/>
            <w:vAlign w:val="bottom"/>
          </w:tcPr>
          <w:p w:rsidR="00B6211E" w:rsidRDefault="001870D9">
            <w:pPr>
              <w:pStyle w:val="Compact"/>
            </w:pPr>
            <w:proofErr w:type="spellStart"/>
            <w:r>
              <w:t>характеристика</w:t>
            </w:r>
            <w:proofErr w:type="spellEnd"/>
          </w:p>
        </w:tc>
      </w:tr>
      <w:tr w:rsidR="00B6211E">
        <w:tc>
          <w:tcPr>
            <w:tcW w:w="1881" w:type="dxa"/>
            <w:shd w:val="clear" w:color="auto" w:fill="auto"/>
          </w:tcPr>
          <w:p w:rsidR="00B6211E" w:rsidRDefault="001870D9">
            <w:pPr>
              <w:pStyle w:val="Compact"/>
            </w:pPr>
            <w:proofErr w:type="spellStart"/>
            <w:r>
              <w:t>все</w:t>
            </w:r>
            <w:proofErr w:type="spellEnd"/>
            <w:r>
              <w:t xml:space="preserve"> </w:t>
            </w:r>
            <w:proofErr w:type="spellStart"/>
            <w:r>
              <w:t>наблюдения</w:t>
            </w:r>
            <w:proofErr w:type="spellEnd"/>
          </w:p>
        </w:tc>
        <w:tc>
          <w:tcPr>
            <w:tcW w:w="1881" w:type="dxa"/>
            <w:shd w:val="clear" w:color="auto" w:fill="auto"/>
          </w:tcPr>
          <w:p w:rsidR="00B6211E" w:rsidRDefault="001870D9">
            <w:pPr>
              <w:pStyle w:val="Compact"/>
              <w:jc w:val="right"/>
            </w:pPr>
            <w:r>
              <w:t>74.5</w:t>
            </w:r>
          </w:p>
        </w:tc>
        <w:tc>
          <w:tcPr>
            <w:tcW w:w="1881" w:type="dxa"/>
            <w:shd w:val="clear" w:color="auto" w:fill="auto"/>
          </w:tcPr>
          <w:p w:rsidR="00B6211E" w:rsidRDefault="001870D9">
            <w:pPr>
              <w:pStyle w:val="Compact"/>
              <w:jc w:val="right"/>
            </w:pPr>
            <w:r>
              <w:t>0.849</w:t>
            </w:r>
          </w:p>
        </w:tc>
        <w:tc>
          <w:tcPr>
            <w:tcW w:w="1881" w:type="dxa"/>
            <w:shd w:val="clear" w:color="auto" w:fill="auto"/>
          </w:tcPr>
          <w:p w:rsidR="00B6211E" w:rsidRDefault="001870D9">
            <w:pPr>
              <w:pStyle w:val="Compact"/>
              <w:jc w:val="right"/>
            </w:pPr>
            <w:r>
              <w:t>95.7</w:t>
            </w:r>
          </w:p>
        </w:tc>
        <w:tc>
          <w:tcPr>
            <w:tcW w:w="1882" w:type="dxa"/>
            <w:shd w:val="clear" w:color="auto" w:fill="auto"/>
          </w:tcPr>
          <w:p w:rsidR="00B6211E" w:rsidRDefault="001870D9">
            <w:pPr>
              <w:pStyle w:val="Compact"/>
            </w:pPr>
            <w:proofErr w:type="spellStart"/>
            <w:r>
              <w:t>Очень</w:t>
            </w:r>
            <w:proofErr w:type="spellEnd"/>
            <w:r>
              <w:t xml:space="preserve"> </w:t>
            </w:r>
            <w:proofErr w:type="spellStart"/>
            <w:r>
              <w:t>хорошее</w:t>
            </w:r>
            <w:proofErr w:type="spellEnd"/>
            <w:r>
              <w:t xml:space="preserve"> </w:t>
            </w:r>
            <w:proofErr w:type="spellStart"/>
            <w:r>
              <w:t>согласие</w:t>
            </w:r>
            <w:proofErr w:type="spellEnd"/>
          </w:p>
        </w:tc>
      </w:tr>
      <w:tr w:rsidR="00B6211E">
        <w:tc>
          <w:tcPr>
            <w:tcW w:w="1881" w:type="dxa"/>
            <w:shd w:val="clear" w:color="auto" w:fill="auto"/>
          </w:tcPr>
          <w:p w:rsidR="00B6211E" w:rsidRDefault="001870D9">
            <w:pPr>
              <w:pStyle w:val="Compact"/>
            </w:pPr>
            <w:proofErr w:type="spellStart"/>
            <w:r>
              <w:t>исконные</w:t>
            </w:r>
            <w:proofErr w:type="spellEnd"/>
            <w:r>
              <w:t xml:space="preserve"> </w:t>
            </w:r>
            <w:proofErr w:type="spellStart"/>
            <w:r>
              <w:t>слова</w:t>
            </w:r>
            <w:proofErr w:type="spellEnd"/>
          </w:p>
        </w:tc>
        <w:tc>
          <w:tcPr>
            <w:tcW w:w="1881" w:type="dxa"/>
            <w:shd w:val="clear" w:color="auto" w:fill="auto"/>
          </w:tcPr>
          <w:p w:rsidR="00B6211E" w:rsidRDefault="001870D9">
            <w:pPr>
              <w:pStyle w:val="Compact"/>
              <w:jc w:val="right"/>
            </w:pPr>
            <w:r>
              <w:t>84.2</w:t>
            </w:r>
          </w:p>
        </w:tc>
        <w:tc>
          <w:tcPr>
            <w:tcW w:w="1881" w:type="dxa"/>
            <w:shd w:val="clear" w:color="auto" w:fill="auto"/>
          </w:tcPr>
          <w:p w:rsidR="00B6211E" w:rsidRDefault="001870D9">
            <w:pPr>
              <w:pStyle w:val="Compact"/>
              <w:jc w:val="right"/>
            </w:pPr>
            <w:r>
              <w:t>0.937</w:t>
            </w:r>
          </w:p>
        </w:tc>
        <w:tc>
          <w:tcPr>
            <w:tcW w:w="1881" w:type="dxa"/>
            <w:shd w:val="clear" w:color="auto" w:fill="auto"/>
          </w:tcPr>
          <w:p w:rsidR="00B6211E" w:rsidRDefault="001870D9">
            <w:pPr>
              <w:pStyle w:val="Compact"/>
              <w:jc w:val="right"/>
            </w:pPr>
            <w:r>
              <w:t>77.5</w:t>
            </w:r>
          </w:p>
        </w:tc>
        <w:tc>
          <w:tcPr>
            <w:tcW w:w="1882" w:type="dxa"/>
            <w:shd w:val="clear" w:color="auto" w:fill="auto"/>
          </w:tcPr>
          <w:p w:rsidR="00B6211E" w:rsidRDefault="001870D9">
            <w:pPr>
              <w:pStyle w:val="Compact"/>
            </w:pPr>
            <w:proofErr w:type="spellStart"/>
            <w:r>
              <w:t>Очень</w:t>
            </w:r>
            <w:proofErr w:type="spellEnd"/>
            <w:r>
              <w:t xml:space="preserve"> </w:t>
            </w:r>
            <w:proofErr w:type="spellStart"/>
            <w:r>
              <w:t>хорошее</w:t>
            </w:r>
            <w:proofErr w:type="spellEnd"/>
            <w:r>
              <w:t xml:space="preserve"> </w:t>
            </w:r>
            <w:proofErr w:type="spellStart"/>
            <w:r>
              <w:t>согласие</w:t>
            </w:r>
            <w:proofErr w:type="spellEnd"/>
          </w:p>
        </w:tc>
      </w:tr>
      <w:tr w:rsidR="00B6211E">
        <w:tc>
          <w:tcPr>
            <w:tcW w:w="1881" w:type="dxa"/>
            <w:shd w:val="clear" w:color="auto" w:fill="auto"/>
          </w:tcPr>
          <w:p w:rsidR="00B6211E" w:rsidRDefault="001870D9">
            <w:pPr>
              <w:pStyle w:val="Compact"/>
            </w:pPr>
            <w:proofErr w:type="spellStart"/>
            <w:r>
              <w:t>заимствования</w:t>
            </w:r>
            <w:proofErr w:type="spellEnd"/>
          </w:p>
        </w:tc>
        <w:tc>
          <w:tcPr>
            <w:tcW w:w="1881" w:type="dxa"/>
            <w:shd w:val="clear" w:color="auto" w:fill="auto"/>
          </w:tcPr>
          <w:p w:rsidR="00B6211E" w:rsidRDefault="001870D9">
            <w:pPr>
              <w:pStyle w:val="Compact"/>
              <w:jc w:val="right"/>
            </w:pPr>
            <w:r>
              <w:t>63.3</w:t>
            </w:r>
          </w:p>
        </w:tc>
        <w:tc>
          <w:tcPr>
            <w:tcW w:w="1881" w:type="dxa"/>
            <w:shd w:val="clear" w:color="auto" w:fill="auto"/>
          </w:tcPr>
          <w:p w:rsidR="00B6211E" w:rsidRDefault="001870D9">
            <w:pPr>
              <w:pStyle w:val="Compact"/>
              <w:jc w:val="right"/>
            </w:pPr>
            <w:r>
              <w:t>0.732</w:t>
            </w:r>
          </w:p>
        </w:tc>
        <w:tc>
          <w:tcPr>
            <w:tcW w:w="1881" w:type="dxa"/>
            <w:shd w:val="clear" w:color="auto" w:fill="auto"/>
          </w:tcPr>
          <w:p w:rsidR="00B6211E" w:rsidRDefault="001870D9">
            <w:pPr>
              <w:pStyle w:val="Compact"/>
              <w:jc w:val="right"/>
            </w:pPr>
            <w:r>
              <w:t>56.1</w:t>
            </w:r>
          </w:p>
        </w:tc>
        <w:tc>
          <w:tcPr>
            <w:tcW w:w="1882" w:type="dxa"/>
            <w:shd w:val="clear" w:color="auto" w:fill="auto"/>
          </w:tcPr>
          <w:p w:rsidR="00B6211E" w:rsidRDefault="001870D9">
            <w:pPr>
              <w:pStyle w:val="Compact"/>
            </w:pPr>
            <w:proofErr w:type="spellStart"/>
            <w:r>
              <w:t>Хорошее</w:t>
            </w:r>
            <w:proofErr w:type="spellEnd"/>
            <w:r>
              <w:t xml:space="preserve"> </w:t>
            </w:r>
            <w:proofErr w:type="spellStart"/>
            <w:r>
              <w:t>согласие</w:t>
            </w:r>
            <w:proofErr w:type="spellEnd"/>
          </w:p>
        </w:tc>
      </w:tr>
    </w:tbl>
    <w:p w:rsidR="00B6211E" w:rsidRDefault="001870D9">
      <w:r>
        <w:rPr>
          <w:noProof/>
          <w:lang w:val="ru-RU" w:eastAsia="ru-RU"/>
        </w:rPr>
        <w:lastRenderedPageBreak/>
        <w:drawing>
          <wp:inline distT="0" distB="0" distL="114935" distR="114935">
            <wp:extent cx="4580890" cy="3664585"/>
            <wp:effectExtent l="0" t="0" r="0" b="0"/>
            <wp:docPr id="3" name="Image2" descr="Figure 2. Dendrogram showing the clusterization of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2. Dendrogram showing the clusterization of speakers."/>
                    <pic:cNvPicPr>
                      <a:picLocks noChangeAspect="1" noChangeArrowheads="1"/>
                    </pic:cNvPicPr>
                  </pic:nvPicPr>
                  <pic:blipFill>
                    <a:blip r:embed="rId12"/>
                    <a:stretch>
                      <a:fillRect/>
                    </a:stretch>
                  </pic:blipFill>
                  <pic:spPr bwMode="auto">
                    <a:xfrm>
                      <a:off x="0" y="0"/>
                      <a:ext cx="4580890" cy="3664585"/>
                    </a:xfrm>
                    <a:prstGeom prst="rect">
                      <a:avLst/>
                    </a:prstGeom>
                  </pic:spPr>
                </pic:pic>
              </a:graphicData>
            </a:graphic>
          </wp:inline>
        </w:drawing>
      </w:r>
    </w:p>
    <w:p w:rsidR="00B6211E" w:rsidRDefault="001870D9">
      <w:pPr>
        <w:pStyle w:val="ImageCaption"/>
      </w:pPr>
      <w:r>
        <w:t xml:space="preserve">Figure 2. </w:t>
      </w:r>
      <w:proofErr w:type="spellStart"/>
      <w:r>
        <w:t>Dendrogram</w:t>
      </w:r>
      <w:proofErr w:type="spellEnd"/>
      <w:r>
        <w:t xml:space="preserve"> showing the </w:t>
      </w:r>
      <w:proofErr w:type="spellStart"/>
      <w:r>
        <w:t>clusterization</w:t>
      </w:r>
      <w:proofErr w:type="spellEnd"/>
      <w:r>
        <w:t xml:space="preserve"> of speakers.</w:t>
      </w:r>
    </w:p>
    <w:p w:rsidR="00B6211E" w:rsidRDefault="001870D9">
      <w:r>
        <w:rPr>
          <w:noProof/>
          <w:lang w:val="ru-RU" w:eastAsia="ru-RU"/>
        </w:rPr>
        <w:drawing>
          <wp:inline distT="0" distB="0" distL="114935" distR="114935">
            <wp:extent cx="4580890" cy="3664585"/>
            <wp:effectExtent l="0" t="0" r="0" b="0"/>
            <wp:docPr id="4" name="Image3" descr="Figure 3. Destribution of the most variable words by different ag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3. Destribution of the most variable words by different age group."/>
                    <pic:cNvPicPr>
                      <a:picLocks noChangeAspect="1" noChangeArrowheads="1"/>
                    </pic:cNvPicPr>
                  </pic:nvPicPr>
                  <pic:blipFill>
                    <a:blip r:embed="rId13"/>
                    <a:stretch>
                      <a:fillRect/>
                    </a:stretch>
                  </pic:blipFill>
                  <pic:spPr bwMode="auto">
                    <a:xfrm>
                      <a:off x="0" y="0"/>
                      <a:ext cx="4580890" cy="3664585"/>
                    </a:xfrm>
                    <a:prstGeom prst="rect">
                      <a:avLst/>
                    </a:prstGeom>
                  </pic:spPr>
                </pic:pic>
              </a:graphicData>
            </a:graphic>
          </wp:inline>
        </w:drawing>
      </w:r>
    </w:p>
    <w:p w:rsidR="00B6211E" w:rsidRDefault="001870D9">
      <w:pPr>
        <w:pStyle w:val="ImageCaption"/>
      </w:pPr>
      <w:r>
        <w:t xml:space="preserve">Figure 3. </w:t>
      </w:r>
      <w:proofErr w:type="spellStart"/>
      <w:r>
        <w:t>Destribution</w:t>
      </w:r>
      <w:proofErr w:type="spellEnd"/>
      <w:r>
        <w:t xml:space="preserve"> of the most variable words by different age group.</w:t>
      </w:r>
    </w:p>
    <w:p w:rsidR="00B6211E" w:rsidRDefault="001870D9">
      <w:pPr>
        <w:pStyle w:val="3"/>
      </w:pPr>
      <w:bookmarkStart w:id="10" w:name="conclusion"/>
      <w:bookmarkEnd w:id="10"/>
      <w:r>
        <w:lastRenderedPageBreak/>
        <w:t xml:space="preserve">5. </w:t>
      </w:r>
      <w:r>
        <w:t>Conclusion</w:t>
      </w:r>
    </w:p>
    <w:p w:rsidR="00B6211E" w:rsidRDefault="001870D9">
      <w:pPr>
        <w:pStyle w:val="FirstParagraph"/>
      </w:pPr>
      <w:r>
        <w:t xml:space="preserve">The Upper </w:t>
      </w:r>
      <w:proofErr w:type="spellStart"/>
      <w:r>
        <w:t>Andi</w:t>
      </w:r>
      <w:proofErr w:type="spellEnd"/>
      <w:r>
        <w:t xml:space="preserve"> dialects have an unusually large number of noun classes in comparison with </w:t>
      </w:r>
      <w:proofErr w:type="spellStart"/>
      <w:r>
        <w:t>neighbouring</w:t>
      </w:r>
      <w:proofErr w:type="spellEnd"/>
      <w:r>
        <w:t xml:space="preserve"> languages and other </w:t>
      </w:r>
      <w:proofErr w:type="spellStart"/>
      <w:r>
        <w:t>Nakh-Daghestanian</w:t>
      </w:r>
      <w:proofErr w:type="spellEnd"/>
      <w:r>
        <w:t xml:space="preserve"> languages. This </w:t>
      </w:r>
      <w:proofErr w:type="gramStart"/>
      <w:r>
        <w:t>is caused</w:t>
      </w:r>
      <w:proofErr w:type="gramEnd"/>
      <w:r>
        <w:t xml:space="preserve"> by the distinction of multiple classes for inanimate objects. While the assign</w:t>
      </w:r>
      <w:r>
        <w:t xml:space="preserve">ment of the masculine, feminine and animate classes </w:t>
      </w:r>
      <w:proofErr w:type="gramStart"/>
      <w:r>
        <w:t>is clearly semantically motivated</w:t>
      </w:r>
      <w:proofErr w:type="gramEnd"/>
      <w:r>
        <w:t>, we could discern no obvious pattern for the assignment of a particular inanimate class. Therefore, we decided to conduct an experiment testing the class attribution of 1</w:t>
      </w:r>
      <w:r>
        <w:t xml:space="preserve">14 words referring to inanimate objects (and a few insects that </w:t>
      </w:r>
      <w:proofErr w:type="gramStart"/>
      <w:r>
        <w:t>are usually categorized</w:t>
      </w:r>
      <w:proofErr w:type="gramEnd"/>
      <w:r>
        <w:t xml:space="preserve"> with inanimate objects. The speakers of the </w:t>
      </w:r>
      <w:proofErr w:type="spellStart"/>
      <w:r>
        <w:t>Zilo</w:t>
      </w:r>
      <w:proofErr w:type="spellEnd"/>
      <w:r>
        <w:t xml:space="preserve"> dialect of </w:t>
      </w:r>
      <w:proofErr w:type="spellStart"/>
      <w:r>
        <w:t>Andi</w:t>
      </w:r>
      <w:proofErr w:type="spellEnd"/>
      <w:r>
        <w:t xml:space="preserve"> showed high levels of consent. As our experiment showed, variation occurs </w:t>
      </w:r>
      <w:proofErr w:type="gramStart"/>
      <w:r>
        <w:t>both in the native and the</w:t>
      </w:r>
      <w:proofErr w:type="gramEnd"/>
      <w:r>
        <w:t xml:space="preserve"> bo</w:t>
      </w:r>
      <w:r>
        <w:t>rrowed vocabulary, though for borrowings it is much higher. A hierarchical clustering of the experimental results divided the group of speakers into older and younger speakers</w:t>
      </w:r>
      <w:proofErr w:type="gramStart"/>
      <w:r>
        <w:t>;</w:t>
      </w:r>
      <w:proofErr w:type="gramEnd"/>
      <w:r>
        <w:t xml:space="preserve"> </w:t>
      </w:r>
      <w:r>
        <w:rPr>
          <w:i/>
        </w:rPr>
        <w:t>И КТО У НАС В ИТОГЕ БОЛЕЕ ВАРИАТИВЕН?</w:t>
      </w:r>
    </w:p>
    <w:p w:rsidR="00B6211E" w:rsidRDefault="001870D9">
      <w:pPr>
        <w:pStyle w:val="3"/>
      </w:pPr>
      <w:bookmarkStart w:id="11" w:name="bibliography"/>
      <w:bookmarkEnd w:id="11"/>
      <w:r>
        <w:t>Bibliography</w:t>
      </w:r>
    </w:p>
    <w:p w:rsidR="00B6211E" w:rsidRDefault="001870D9">
      <w:pPr>
        <w:pStyle w:val="aa"/>
      </w:pPr>
      <w:r>
        <w:t>Alekseev, M. E. 1999. “</w:t>
      </w:r>
      <w:proofErr w:type="spellStart"/>
      <w:r>
        <w:t>Andij</w:t>
      </w:r>
      <w:r>
        <w:t>skie</w:t>
      </w:r>
      <w:proofErr w:type="spellEnd"/>
      <w:r>
        <w:t xml:space="preserve"> </w:t>
      </w:r>
      <w:proofErr w:type="spellStart"/>
      <w:r>
        <w:t>Jazyki</w:t>
      </w:r>
      <w:proofErr w:type="spellEnd"/>
      <w:r>
        <w:t xml:space="preserve">.” In </w:t>
      </w:r>
      <w:proofErr w:type="spellStart"/>
      <w:r>
        <w:rPr>
          <w:i/>
        </w:rPr>
        <w:t>Jazyki</w:t>
      </w:r>
      <w:proofErr w:type="spellEnd"/>
      <w:r>
        <w:rPr>
          <w:i/>
        </w:rPr>
        <w:t xml:space="preserve"> Mira. </w:t>
      </w:r>
      <w:proofErr w:type="spellStart"/>
      <w:r>
        <w:rPr>
          <w:i/>
        </w:rPr>
        <w:t>Kavkazskie</w:t>
      </w:r>
      <w:proofErr w:type="spellEnd"/>
      <w:r>
        <w:rPr>
          <w:i/>
        </w:rPr>
        <w:t xml:space="preserve"> </w:t>
      </w:r>
      <w:proofErr w:type="spellStart"/>
      <w:proofErr w:type="gramStart"/>
      <w:r>
        <w:rPr>
          <w:i/>
        </w:rPr>
        <w:t>Jazyki</w:t>
      </w:r>
      <w:proofErr w:type="spellEnd"/>
      <w:r>
        <w:t>,</w:t>
      </w:r>
      <w:proofErr w:type="gramEnd"/>
      <w:r>
        <w:t xml:space="preserve"> edited by M. E. Alekseev, S. A. </w:t>
      </w:r>
      <w:proofErr w:type="spellStart"/>
      <w:r>
        <w:t>Starostin</w:t>
      </w:r>
      <w:proofErr w:type="spellEnd"/>
      <w:r>
        <w:t xml:space="preserve">, G. A. </w:t>
      </w:r>
      <w:proofErr w:type="spellStart"/>
      <w:r>
        <w:t>Klimov</w:t>
      </w:r>
      <w:proofErr w:type="spellEnd"/>
      <w:r>
        <w:t xml:space="preserve">, and J. G. </w:t>
      </w:r>
      <w:proofErr w:type="spellStart"/>
      <w:r>
        <w:t>Testelets</w:t>
      </w:r>
      <w:proofErr w:type="spellEnd"/>
      <w:r>
        <w:t>, 220–28. Moscow: Academia.</w:t>
      </w:r>
    </w:p>
    <w:p w:rsidR="00B6211E" w:rsidRDefault="001870D9">
      <w:pPr>
        <w:pStyle w:val="aa"/>
      </w:pPr>
      <w:r>
        <w:t xml:space="preserve">Alekseev, M. E., and B. M. </w:t>
      </w:r>
      <w:proofErr w:type="spellStart"/>
      <w:r>
        <w:t>Atayev</w:t>
      </w:r>
      <w:proofErr w:type="spellEnd"/>
      <w:r>
        <w:t xml:space="preserve">. 1997. </w:t>
      </w:r>
      <w:proofErr w:type="spellStart"/>
      <w:r>
        <w:rPr>
          <w:i/>
        </w:rPr>
        <w:t>Avarskij</w:t>
      </w:r>
      <w:proofErr w:type="spellEnd"/>
      <w:r>
        <w:rPr>
          <w:i/>
        </w:rPr>
        <w:t xml:space="preserve"> </w:t>
      </w:r>
      <w:proofErr w:type="spellStart"/>
      <w:r>
        <w:rPr>
          <w:i/>
        </w:rPr>
        <w:t>Jazyk</w:t>
      </w:r>
      <w:proofErr w:type="spellEnd"/>
      <w:r>
        <w:rPr>
          <w:i/>
        </w:rPr>
        <w:t xml:space="preserve"> [the </w:t>
      </w:r>
      <w:proofErr w:type="spellStart"/>
      <w:r>
        <w:rPr>
          <w:i/>
        </w:rPr>
        <w:t>Avar</w:t>
      </w:r>
      <w:proofErr w:type="spellEnd"/>
      <w:r>
        <w:rPr>
          <w:i/>
        </w:rPr>
        <w:t xml:space="preserve"> Language]</w:t>
      </w:r>
      <w:r>
        <w:t>. Moscow: Academia.</w:t>
      </w:r>
    </w:p>
    <w:p w:rsidR="00B6211E" w:rsidRDefault="001870D9">
      <w:pPr>
        <w:pStyle w:val="aa"/>
      </w:pPr>
      <w:r>
        <w:t xml:space="preserve">Daniel, </w:t>
      </w:r>
      <w:r>
        <w:t xml:space="preserve">M. 2018. </w:t>
      </w:r>
      <w:r>
        <w:rPr>
          <w:i/>
        </w:rPr>
        <w:t xml:space="preserve">Mass and Class. Interaction of Number, Class and </w:t>
      </w:r>
      <w:proofErr w:type="spellStart"/>
      <w:r>
        <w:rPr>
          <w:i/>
        </w:rPr>
        <w:t>Countability</w:t>
      </w:r>
      <w:proofErr w:type="spellEnd"/>
      <w:r>
        <w:rPr>
          <w:i/>
        </w:rPr>
        <w:t xml:space="preserve"> in (Several) East Caucasian Languages, with Special Focus on </w:t>
      </w:r>
      <w:proofErr w:type="spellStart"/>
      <w:r>
        <w:rPr>
          <w:i/>
        </w:rPr>
        <w:t>Archi</w:t>
      </w:r>
      <w:proofErr w:type="spellEnd"/>
      <w:r>
        <w:rPr>
          <w:i/>
        </w:rPr>
        <w:t xml:space="preserve"> and </w:t>
      </w:r>
      <w:proofErr w:type="spellStart"/>
      <w:r>
        <w:rPr>
          <w:i/>
        </w:rPr>
        <w:t>Mehweb</w:t>
      </w:r>
      <w:proofErr w:type="spellEnd"/>
      <w:r>
        <w:t>. (Handout).</w:t>
      </w:r>
    </w:p>
    <w:p w:rsidR="00B6211E" w:rsidRDefault="001870D9">
      <w:pPr>
        <w:pStyle w:val="aa"/>
      </w:pPr>
      <w:proofErr w:type="spellStart"/>
      <w:r>
        <w:t>Dobrushina</w:t>
      </w:r>
      <w:proofErr w:type="spellEnd"/>
      <w:r>
        <w:t>, N.R. 2011. “</w:t>
      </w:r>
      <w:proofErr w:type="spellStart"/>
      <w:r>
        <w:t>Mnogojazyčie</w:t>
      </w:r>
      <w:proofErr w:type="spellEnd"/>
      <w:r>
        <w:t xml:space="preserve"> V </w:t>
      </w:r>
      <w:proofErr w:type="spellStart"/>
      <w:r>
        <w:t>Dagestane</w:t>
      </w:r>
      <w:proofErr w:type="spellEnd"/>
      <w:r>
        <w:t xml:space="preserve"> </w:t>
      </w:r>
      <w:proofErr w:type="spellStart"/>
      <w:r>
        <w:t>Konca</w:t>
      </w:r>
      <w:proofErr w:type="spellEnd"/>
      <w:r>
        <w:t xml:space="preserve"> Xix-</w:t>
      </w:r>
      <w:proofErr w:type="spellStart"/>
      <w:r>
        <w:t>Načala</w:t>
      </w:r>
      <w:proofErr w:type="spellEnd"/>
      <w:r>
        <w:t xml:space="preserve"> Xxi </w:t>
      </w:r>
      <w:proofErr w:type="spellStart"/>
      <w:r>
        <w:t>Veka</w:t>
      </w:r>
      <w:proofErr w:type="spellEnd"/>
      <w:r>
        <w:t xml:space="preserve">: </w:t>
      </w:r>
      <w:proofErr w:type="spellStart"/>
      <w:r>
        <w:t>Popytka</w:t>
      </w:r>
      <w:proofErr w:type="spellEnd"/>
      <w:r>
        <w:t xml:space="preserve"> </w:t>
      </w:r>
      <w:proofErr w:type="spellStart"/>
      <w:r>
        <w:t>Količestven</w:t>
      </w:r>
      <w:r>
        <w:t>noj</w:t>
      </w:r>
      <w:proofErr w:type="spellEnd"/>
      <w:r>
        <w:t xml:space="preserve"> </w:t>
      </w:r>
      <w:proofErr w:type="spellStart"/>
      <w:r>
        <w:t>Ocenki</w:t>
      </w:r>
      <w:proofErr w:type="spellEnd"/>
      <w:r>
        <w:t xml:space="preserve"> [Multilingualism in </w:t>
      </w:r>
      <w:proofErr w:type="spellStart"/>
      <w:r>
        <w:t>Daghestan</w:t>
      </w:r>
      <w:proofErr w:type="spellEnd"/>
      <w:r>
        <w:t xml:space="preserve"> from the End of the Xix Century - Beginning of the Xxi Century: An Attempt at Quantitative Analysis].” </w:t>
      </w:r>
      <w:proofErr w:type="spellStart"/>
      <w:r>
        <w:rPr>
          <w:i/>
        </w:rPr>
        <w:t>Voprosy</w:t>
      </w:r>
      <w:proofErr w:type="spellEnd"/>
      <w:r>
        <w:rPr>
          <w:i/>
        </w:rPr>
        <w:t xml:space="preserve"> </w:t>
      </w:r>
      <w:proofErr w:type="spellStart"/>
      <w:r>
        <w:rPr>
          <w:i/>
        </w:rPr>
        <w:t>Jazykoznanie</w:t>
      </w:r>
      <w:proofErr w:type="spellEnd"/>
      <w:r>
        <w:t>, no. 4: 61–80.</w:t>
      </w:r>
    </w:p>
    <w:p w:rsidR="00B6211E" w:rsidRDefault="001870D9">
      <w:pPr>
        <w:pStyle w:val="aa"/>
      </w:pPr>
      <w:r>
        <w:t xml:space="preserve">Gamer, Matthias, Jim Lemon, and Ian Fellows </w:t>
      </w:r>
      <w:proofErr w:type="spellStart"/>
      <w:r>
        <w:t>Puspendra</w:t>
      </w:r>
      <w:proofErr w:type="spellEnd"/>
      <w:r>
        <w:t xml:space="preserve"> Singh. 2012. </w:t>
      </w:r>
      <w:proofErr w:type="spellStart"/>
      <w:r>
        <w:rPr>
          <w:i/>
        </w:rPr>
        <w:t>Irr</w:t>
      </w:r>
      <w:proofErr w:type="spellEnd"/>
      <w:r>
        <w:rPr>
          <w:i/>
        </w:rPr>
        <w:t>: Vari</w:t>
      </w:r>
      <w:r>
        <w:rPr>
          <w:i/>
        </w:rPr>
        <w:t xml:space="preserve">ous Coefficients of </w:t>
      </w:r>
      <w:proofErr w:type="spellStart"/>
      <w:r>
        <w:rPr>
          <w:i/>
        </w:rPr>
        <w:t>Interrater</w:t>
      </w:r>
      <w:proofErr w:type="spellEnd"/>
      <w:r>
        <w:rPr>
          <w:i/>
        </w:rPr>
        <w:t xml:space="preserve"> Reliability and Agreement</w:t>
      </w:r>
      <w:r>
        <w:t xml:space="preserve">. </w:t>
      </w:r>
      <w:hyperlink r:id="rId14">
        <w:r>
          <w:rPr>
            <w:rStyle w:val="InternetLink"/>
          </w:rPr>
          <w:t>https://CRAN.R-project.org/package=irr</w:t>
        </w:r>
      </w:hyperlink>
      <w:r>
        <w:t>.</w:t>
      </w:r>
    </w:p>
    <w:p w:rsidR="00B6211E" w:rsidRDefault="001870D9">
      <w:pPr>
        <w:pStyle w:val="aa"/>
      </w:pPr>
      <w:proofErr w:type="spellStart"/>
      <w:r>
        <w:t>Gudava</w:t>
      </w:r>
      <w:proofErr w:type="spellEnd"/>
      <w:r>
        <w:t xml:space="preserve">, T. E. 1962. </w:t>
      </w:r>
      <w:proofErr w:type="spellStart"/>
      <w:r>
        <w:rPr>
          <w:i/>
        </w:rPr>
        <w:t>Botlixuri</w:t>
      </w:r>
      <w:proofErr w:type="spellEnd"/>
      <w:r>
        <w:rPr>
          <w:i/>
        </w:rPr>
        <w:t xml:space="preserve"> </w:t>
      </w:r>
      <w:proofErr w:type="spellStart"/>
      <w:r>
        <w:rPr>
          <w:i/>
        </w:rPr>
        <w:t>Ena</w:t>
      </w:r>
      <w:proofErr w:type="spellEnd"/>
      <w:r>
        <w:rPr>
          <w:i/>
        </w:rPr>
        <w:t xml:space="preserve"> [the </w:t>
      </w:r>
      <w:proofErr w:type="spellStart"/>
      <w:r>
        <w:rPr>
          <w:i/>
        </w:rPr>
        <w:t>Botlikh</w:t>
      </w:r>
      <w:proofErr w:type="spellEnd"/>
      <w:r>
        <w:rPr>
          <w:i/>
        </w:rPr>
        <w:t xml:space="preserve"> Language]</w:t>
      </w:r>
      <w:r>
        <w:t xml:space="preserve">. Tbilisi: </w:t>
      </w:r>
      <w:proofErr w:type="gramStart"/>
      <w:r>
        <w:t>AN</w:t>
      </w:r>
      <w:proofErr w:type="gramEnd"/>
      <w:r>
        <w:t xml:space="preserve"> GSSR.</w:t>
      </w:r>
    </w:p>
    <w:p w:rsidR="00B6211E" w:rsidRDefault="001870D9">
      <w:pPr>
        <w:pStyle w:val="aa"/>
      </w:pPr>
      <w:proofErr w:type="spellStart"/>
      <w:r>
        <w:t>Magomedbekova</w:t>
      </w:r>
      <w:proofErr w:type="spellEnd"/>
      <w:r>
        <w:t>, Z. M. 197</w:t>
      </w:r>
      <w:r>
        <w:t xml:space="preserve">1. </w:t>
      </w:r>
      <w:proofErr w:type="spellStart"/>
      <w:r>
        <w:rPr>
          <w:i/>
        </w:rPr>
        <w:t>Karatinskij</w:t>
      </w:r>
      <w:proofErr w:type="spellEnd"/>
      <w:r>
        <w:rPr>
          <w:i/>
        </w:rPr>
        <w:t xml:space="preserve"> </w:t>
      </w:r>
      <w:proofErr w:type="spellStart"/>
      <w:r>
        <w:rPr>
          <w:i/>
        </w:rPr>
        <w:t>Jazyk</w:t>
      </w:r>
      <w:proofErr w:type="spellEnd"/>
      <w:r>
        <w:rPr>
          <w:i/>
        </w:rPr>
        <w:t xml:space="preserve">: </w:t>
      </w:r>
      <w:proofErr w:type="spellStart"/>
      <w:r>
        <w:rPr>
          <w:i/>
        </w:rPr>
        <w:t>Grammatičeskij</w:t>
      </w:r>
      <w:proofErr w:type="spellEnd"/>
      <w:r>
        <w:rPr>
          <w:i/>
        </w:rPr>
        <w:t xml:space="preserve"> </w:t>
      </w:r>
      <w:proofErr w:type="spellStart"/>
      <w:r>
        <w:rPr>
          <w:i/>
        </w:rPr>
        <w:t>Analiz</w:t>
      </w:r>
      <w:proofErr w:type="spellEnd"/>
      <w:r>
        <w:rPr>
          <w:i/>
        </w:rPr>
        <w:t xml:space="preserve">, </w:t>
      </w:r>
      <w:proofErr w:type="spellStart"/>
      <w:r>
        <w:rPr>
          <w:i/>
        </w:rPr>
        <w:t>Teksty</w:t>
      </w:r>
      <w:proofErr w:type="spellEnd"/>
      <w:r>
        <w:rPr>
          <w:i/>
        </w:rPr>
        <w:t xml:space="preserve">, </w:t>
      </w:r>
      <w:proofErr w:type="spellStart"/>
      <w:proofErr w:type="gramStart"/>
      <w:r>
        <w:rPr>
          <w:i/>
        </w:rPr>
        <w:t>Slovar</w:t>
      </w:r>
      <w:proofErr w:type="spellEnd"/>
      <w:r>
        <w:rPr>
          <w:i/>
        </w:rPr>
        <w:t>’</w:t>
      </w:r>
      <w:proofErr w:type="gramEnd"/>
      <w:r>
        <w:rPr>
          <w:i/>
        </w:rPr>
        <w:t xml:space="preserve"> [the </w:t>
      </w:r>
      <w:proofErr w:type="spellStart"/>
      <w:r>
        <w:rPr>
          <w:i/>
        </w:rPr>
        <w:t>Karata</w:t>
      </w:r>
      <w:proofErr w:type="spellEnd"/>
      <w:r>
        <w:rPr>
          <w:i/>
        </w:rPr>
        <w:t xml:space="preserve"> Language: Grammatical Analysis, Texts, Dictionary]</w:t>
      </w:r>
      <w:r>
        <w:t xml:space="preserve">. Tbilisi: </w:t>
      </w:r>
      <w:proofErr w:type="spellStart"/>
      <w:r>
        <w:t>Metsniereba</w:t>
      </w:r>
      <w:proofErr w:type="spellEnd"/>
      <w:r>
        <w:t>.</w:t>
      </w:r>
    </w:p>
    <w:p w:rsidR="00B6211E" w:rsidRDefault="001870D9">
      <w:pPr>
        <w:pStyle w:val="aa"/>
      </w:pPr>
      <w:proofErr w:type="spellStart"/>
      <w:r>
        <w:t>Moroz</w:t>
      </w:r>
      <w:proofErr w:type="spellEnd"/>
      <w:r>
        <w:t xml:space="preserve">, George. 2017. </w:t>
      </w:r>
      <w:proofErr w:type="spellStart"/>
      <w:r>
        <w:rPr>
          <w:i/>
        </w:rPr>
        <w:t>Lingtypology</w:t>
      </w:r>
      <w:proofErr w:type="spellEnd"/>
      <w:r>
        <w:rPr>
          <w:i/>
        </w:rPr>
        <w:t>: Easy Mapping for Linguistic Typology</w:t>
      </w:r>
      <w:r>
        <w:t xml:space="preserve">. </w:t>
      </w:r>
      <w:hyperlink r:id="rId15">
        <w:r>
          <w:rPr>
            <w:rStyle w:val="InternetLink"/>
          </w:rPr>
          <w:t>https://CRAN.R-project.org/package=lingtypology</w:t>
        </w:r>
      </w:hyperlink>
      <w:r>
        <w:t>.</w:t>
      </w:r>
    </w:p>
    <w:p w:rsidR="00B6211E" w:rsidRDefault="001870D9">
      <w:pPr>
        <w:pStyle w:val="aa"/>
      </w:pPr>
      <w:r>
        <w:t xml:space="preserve">Nichols, J. 1994. “Chechen.” In </w:t>
      </w:r>
      <w:r>
        <w:rPr>
          <w:i/>
        </w:rPr>
        <w:t>The Indigenous Languages of the Caucasus, Vol. 4: The North East Caucasian Languages, Part 2</w:t>
      </w:r>
      <w:r>
        <w:t xml:space="preserve">, edited by R. </w:t>
      </w:r>
      <w:proofErr w:type="spellStart"/>
      <w:r>
        <w:t>Sme</w:t>
      </w:r>
      <w:r>
        <w:t>ets</w:t>
      </w:r>
      <w:proofErr w:type="spellEnd"/>
      <w:r>
        <w:t>, 2–77. Delmar, NY: Caravan Books.</w:t>
      </w:r>
    </w:p>
    <w:p w:rsidR="00B6211E" w:rsidRDefault="001870D9">
      <w:pPr>
        <w:pStyle w:val="aa"/>
      </w:pPr>
      <w:proofErr w:type="spellStart"/>
      <w:r>
        <w:t>Paradis</w:t>
      </w:r>
      <w:proofErr w:type="spellEnd"/>
      <w:r>
        <w:t xml:space="preserve">, E., J. Claude, and K. </w:t>
      </w:r>
      <w:proofErr w:type="spellStart"/>
      <w:r>
        <w:t>Strimmer</w:t>
      </w:r>
      <w:proofErr w:type="spellEnd"/>
      <w:r>
        <w:t xml:space="preserve">. 2004. “APE: Analyses of </w:t>
      </w:r>
      <w:proofErr w:type="spellStart"/>
      <w:r>
        <w:t>Phylogenetics</w:t>
      </w:r>
      <w:proofErr w:type="spellEnd"/>
      <w:r>
        <w:t xml:space="preserve"> and Evolution in R Language.” </w:t>
      </w:r>
      <w:r>
        <w:rPr>
          <w:i/>
        </w:rPr>
        <w:t>Bioinformatics</w:t>
      </w:r>
      <w:r>
        <w:t xml:space="preserve"> 20: 289–90.</w:t>
      </w:r>
    </w:p>
    <w:p w:rsidR="00B6211E" w:rsidRDefault="001870D9">
      <w:pPr>
        <w:pStyle w:val="aa"/>
      </w:pPr>
      <w:r>
        <w:t xml:space="preserve">R Core Team. 2018. </w:t>
      </w:r>
      <w:r>
        <w:rPr>
          <w:i/>
        </w:rPr>
        <w:t>R: A Language and Environment for Statistical Computing</w:t>
      </w:r>
      <w:r>
        <w:t>. Vienna</w:t>
      </w:r>
      <w:r>
        <w:t xml:space="preserve">, Austria: R Foundation for Statistical Computing. </w:t>
      </w:r>
      <w:hyperlink r:id="rId16">
        <w:r>
          <w:rPr>
            <w:rStyle w:val="InternetLink"/>
          </w:rPr>
          <w:t>https://www.R-project.org/</w:t>
        </w:r>
      </w:hyperlink>
      <w:r>
        <w:t>.</w:t>
      </w:r>
    </w:p>
    <w:p w:rsidR="00B6211E" w:rsidRDefault="001870D9">
      <w:pPr>
        <w:pStyle w:val="aa"/>
      </w:pPr>
      <w:proofErr w:type="spellStart"/>
      <w:r>
        <w:t>Salimov</w:t>
      </w:r>
      <w:proofErr w:type="spellEnd"/>
      <w:r>
        <w:t xml:space="preserve">, X. S. 2010 (1968). </w:t>
      </w:r>
      <w:proofErr w:type="spellStart"/>
      <w:r>
        <w:rPr>
          <w:i/>
        </w:rPr>
        <w:t>Gagatlinskij</w:t>
      </w:r>
      <w:proofErr w:type="spellEnd"/>
      <w:r>
        <w:rPr>
          <w:i/>
        </w:rPr>
        <w:t xml:space="preserve"> </w:t>
      </w:r>
      <w:proofErr w:type="spellStart"/>
      <w:r>
        <w:rPr>
          <w:i/>
        </w:rPr>
        <w:t>Govor</w:t>
      </w:r>
      <w:proofErr w:type="spellEnd"/>
      <w:r>
        <w:rPr>
          <w:i/>
        </w:rPr>
        <w:t xml:space="preserve"> </w:t>
      </w:r>
      <w:proofErr w:type="spellStart"/>
      <w:r>
        <w:rPr>
          <w:i/>
        </w:rPr>
        <w:t>Andijskogo</w:t>
      </w:r>
      <w:proofErr w:type="spellEnd"/>
      <w:r>
        <w:rPr>
          <w:i/>
        </w:rPr>
        <w:t xml:space="preserve"> </w:t>
      </w:r>
      <w:proofErr w:type="spellStart"/>
      <w:r>
        <w:rPr>
          <w:i/>
        </w:rPr>
        <w:t>Jazyka</w:t>
      </w:r>
      <w:proofErr w:type="spellEnd"/>
      <w:r>
        <w:rPr>
          <w:i/>
        </w:rPr>
        <w:t xml:space="preserve"> [the </w:t>
      </w:r>
      <w:proofErr w:type="spellStart"/>
      <w:r>
        <w:rPr>
          <w:i/>
        </w:rPr>
        <w:t>Gagatli</w:t>
      </w:r>
      <w:proofErr w:type="spellEnd"/>
      <w:r>
        <w:rPr>
          <w:i/>
        </w:rPr>
        <w:t xml:space="preserve"> Dialect of the </w:t>
      </w:r>
      <w:proofErr w:type="spellStart"/>
      <w:r>
        <w:rPr>
          <w:i/>
        </w:rPr>
        <w:t>Andi</w:t>
      </w:r>
      <w:proofErr w:type="spellEnd"/>
      <w:r>
        <w:rPr>
          <w:i/>
        </w:rPr>
        <w:t xml:space="preserve"> Language]</w:t>
      </w:r>
      <w:r>
        <w:t xml:space="preserve">. Makhachkala: </w:t>
      </w:r>
      <w:proofErr w:type="spellStart"/>
      <w:r>
        <w:t>IJaLI</w:t>
      </w:r>
      <w:proofErr w:type="spellEnd"/>
      <w:r>
        <w:t>.</w:t>
      </w:r>
    </w:p>
    <w:p w:rsidR="00B6211E" w:rsidRDefault="001870D9">
      <w:pPr>
        <w:pStyle w:val="aa"/>
      </w:pPr>
      <w:r>
        <w:t>Sc</w:t>
      </w:r>
      <w:r>
        <w:t xml:space="preserve">hulze, Wolfgang. 2013. “Historical and Areal Aspects of Natural Resource Terminology in East Caucasian Languages.” </w:t>
      </w:r>
      <w:r>
        <w:rPr>
          <w:i/>
        </w:rPr>
        <w:t>IRAN AND THE CAUCASUS</w:t>
      </w:r>
      <w:r>
        <w:t xml:space="preserve"> 17 (3). Brill Academic Publishers, Leiden, Netherlands: 295–320.</w:t>
      </w:r>
    </w:p>
    <w:p w:rsidR="00B6211E" w:rsidRDefault="001870D9">
      <w:pPr>
        <w:pStyle w:val="aa"/>
      </w:pPr>
      <w:proofErr w:type="spellStart"/>
      <w:r>
        <w:t>Suleymanov</w:t>
      </w:r>
      <w:proofErr w:type="spellEnd"/>
      <w:r>
        <w:t>, J. G. 1957. “</w:t>
      </w:r>
      <w:proofErr w:type="spellStart"/>
      <w:r>
        <w:t>Grammatičeskij</w:t>
      </w:r>
      <w:proofErr w:type="spellEnd"/>
      <w:r>
        <w:t xml:space="preserve"> </w:t>
      </w:r>
      <w:proofErr w:type="spellStart"/>
      <w:r>
        <w:t>Očerk</w:t>
      </w:r>
      <w:proofErr w:type="spellEnd"/>
      <w:r>
        <w:t xml:space="preserve"> </w:t>
      </w:r>
      <w:proofErr w:type="spellStart"/>
      <w:r>
        <w:t>Andijsko</w:t>
      </w:r>
      <w:r>
        <w:t>go</w:t>
      </w:r>
      <w:proofErr w:type="spellEnd"/>
      <w:r>
        <w:t xml:space="preserve"> </w:t>
      </w:r>
      <w:proofErr w:type="spellStart"/>
      <w:r>
        <w:t>Jazyka</w:t>
      </w:r>
      <w:proofErr w:type="spellEnd"/>
      <w:r>
        <w:t xml:space="preserve"> (Po </w:t>
      </w:r>
      <w:proofErr w:type="spellStart"/>
      <w:r>
        <w:t>Dannim</w:t>
      </w:r>
      <w:proofErr w:type="spellEnd"/>
      <w:r>
        <w:t xml:space="preserve"> </w:t>
      </w:r>
      <w:proofErr w:type="spellStart"/>
      <w:r>
        <w:t>Govora</w:t>
      </w:r>
      <w:proofErr w:type="spellEnd"/>
      <w:r>
        <w:t xml:space="preserve"> S. </w:t>
      </w:r>
      <w:proofErr w:type="spellStart"/>
      <w:r>
        <w:t>Rikvani</w:t>
      </w:r>
      <w:proofErr w:type="spellEnd"/>
      <w:r>
        <w:t xml:space="preserve">) [Grammar Sketch of the </w:t>
      </w:r>
      <w:proofErr w:type="spellStart"/>
      <w:r>
        <w:t>Andi</w:t>
      </w:r>
      <w:proofErr w:type="spellEnd"/>
      <w:r>
        <w:t xml:space="preserve"> Language (Based on Material from the Dialect of the Village </w:t>
      </w:r>
      <w:proofErr w:type="spellStart"/>
      <w:r>
        <w:t>Rikvani</w:t>
      </w:r>
      <w:proofErr w:type="spellEnd"/>
      <w:r>
        <w:t xml:space="preserve">)].” PhD thesis, </w:t>
      </w:r>
      <w:proofErr w:type="spellStart"/>
      <w:r>
        <w:t>Institut</w:t>
      </w:r>
      <w:proofErr w:type="spellEnd"/>
      <w:r>
        <w:t xml:space="preserve"> </w:t>
      </w:r>
      <w:proofErr w:type="spellStart"/>
      <w:r>
        <w:t>Jazykoznania</w:t>
      </w:r>
      <w:proofErr w:type="spellEnd"/>
      <w:r>
        <w:t xml:space="preserve"> AN SSSR.</w:t>
      </w:r>
    </w:p>
    <w:p w:rsidR="00B6211E" w:rsidRDefault="001870D9">
      <w:pPr>
        <w:pStyle w:val="aa"/>
      </w:pPr>
      <w:proofErr w:type="spellStart"/>
      <w:r>
        <w:t>Tsertsvadze</w:t>
      </w:r>
      <w:proofErr w:type="spellEnd"/>
      <w:r>
        <w:t xml:space="preserve">, I. I. 1965. </w:t>
      </w:r>
      <w:proofErr w:type="spellStart"/>
      <w:r>
        <w:rPr>
          <w:i/>
        </w:rPr>
        <w:t>Andiuri</w:t>
      </w:r>
      <w:proofErr w:type="spellEnd"/>
      <w:r>
        <w:rPr>
          <w:i/>
        </w:rPr>
        <w:t xml:space="preserve"> </w:t>
      </w:r>
      <w:proofErr w:type="spellStart"/>
      <w:r>
        <w:rPr>
          <w:i/>
        </w:rPr>
        <w:t>Ena</w:t>
      </w:r>
      <w:proofErr w:type="spellEnd"/>
      <w:r>
        <w:rPr>
          <w:i/>
        </w:rPr>
        <w:t xml:space="preserve"> [the </w:t>
      </w:r>
      <w:proofErr w:type="spellStart"/>
      <w:r>
        <w:rPr>
          <w:i/>
        </w:rPr>
        <w:t>Andi</w:t>
      </w:r>
      <w:proofErr w:type="spellEnd"/>
      <w:r>
        <w:rPr>
          <w:i/>
        </w:rPr>
        <w:t xml:space="preserve"> Language]</w:t>
      </w:r>
      <w:r>
        <w:t xml:space="preserve">. Tbilisi: </w:t>
      </w:r>
      <w:proofErr w:type="spellStart"/>
      <w:r>
        <w:t>Metsni</w:t>
      </w:r>
      <w:r>
        <w:t>ereba</w:t>
      </w:r>
      <w:proofErr w:type="spellEnd"/>
      <w:r>
        <w:t>.</w:t>
      </w:r>
    </w:p>
    <w:p w:rsidR="00B6211E" w:rsidRDefault="001870D9">
      <w:pPr>
        <w:pStyle w:val="aa"/>
      </w:pPr>
      <w:r>
        <w:t xml:space="preserve">Wickham, Hadley. 2009. </w:t>
      </w:r>
      <w:r>
        <w:rPr>
          <w:i/>
        </w:rPr>
        <w:t>Ggplot2: Elegant Graphics for Data Analysis</w:t>
      </w:r>
      <w:r>
        <w:t>. Springer-</w:t>
      </w:r>
      <w:proofErr w:type="spellStart"/>
      <w:r>
        <w:t>Verlag</w:t>
      </w:r>
      <w:proofErr w:type="spellEnd"/>
      <w:r>
        <w:t xml:space="preserve"> New York. </w:t>
      </w:r>
      <w:hyperlink r:id="rId17">
        <w:r>
          <w:rPr>
            <w:rStyle w:val="InternetLink"/>
          </w:rPr>
          <w:t>http://ggplot2.org</w:t>
        </w:r>
      </w:hyperlink>
      <w:r>
        <w:t>.</w:t>
      </w:r>
    </w:p>
    <w:sectPr w:rsidR="00B6211E">
      <w:pgSz w:w="12240" w:h="15840"/>
      <w:pgMar w:top="1417" w:right="1417" w:bottom="1417" w:left="1417"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0D9" w:rsidRDefault="001870D9">
      <w:r>
        <w:separator/>
      </w:r>
    </w:p>
  </w:endnote>
  <w:endnote w:type="continuationSeparator" w:id="0">
    <w:p w:rsidR="001870D9" w:rsidRDefault="0018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Brill">
    <w:altName w:val="Times New Roman"/>
    <w:charset w:val="01"/>
    <w:family w:val="roman"/>
    <w:pitch w:val="variable"/>
  </w:font>
  <w:font w:name="Consolas">
    <w:panose1 w:val="020B0609020204030204"/>
    <w:charset w:val="CC"/>
    <w:family w:val="modern"/>
    <w:pitch w:val="fixed"/>
    <w:sig w:usb0="E00006FF" w:usb1="0000FCFF" w:usb2="00000001" w:usb3="00000000" w:csb0="0000019F" w:csb1="00000000"/>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0D9" w:rsidRDefault="001870D9">
      <w:r>
        <w:separator/>
      </w:r>
    </w:p>
  </w:footnote>
  <w:footnote w:type="continuationSeparator" w:id="0">
    <w:p w:rsidR="001870D9" w:rsidRDefault="001870D9">
      <w:r>
        <w:continuationSeparator/>
      </w:r>
    </w:p>
  </w:footnote>
  <w:footnote w:id="1">
    <w:p w:rsidR="00B6211E" w:rsidRDefault="001870D9">
      <w:pPr>
        <w:pStyle w:val="ac"/>
      </w:pPr>
      <w:r>
        <w:footnoteRef/>
      </w:r>
      <w:r>
        <w:tab/>
        <w:t xml:space="preserve"> This research </w:t>
      </w:r>
      <w:proofErr w:type="gramStart"/>
      <w:r>
        <w:t xml:space="preserve">was </w:t>
      </w:r>
      <w:r>
        <w:t>conducted</w:t>
      </w:r>
      <w:proofErr w:type="gramEnd"/>
      <w:r>
        <w:t xml:space="preserve"> as part of the project “The </w:t>
      </w:r>
      <w:proofErr w:type="spellStart"/>
      <w:r>
        <w:t>Andi</w:t>
      </w:r>
      <w:proofErr w:type="spellEnd"/>
      <w:r>
        <w:t xml:space="preserve"> </w:t>
      </w:r>
      <w:proofErr w:type="spellStart"/>
      <w:r>
        <w:t>morphosyntax</w:t>
      </w:r>
      <w:proofErr w:type="spellEnd"/>
      <w:r>
        <w:t xml:space="preserve"> in a typological perspective” supported by the Russian Foundation for Basic Research (RFBR), grant No. 18-012-00852a.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630DF"/>
    <w:multiLevelType w:val="multilevel"/>
    <w:tmpl w:val="10D07C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1C603D"/>
    <w:multiLevelType w:val="multilevel"/>
    <w:tmpl w:val="BB16D7B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211E"/>
    <w:rsid w:val="001870D9"/>
    <w:rsid w:val="00B55442"/>
    <w:rsid w:val="00B621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8F975-3113-4128-83DD-6921B417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ascii="Times New Roman" w:hAnsi="Times New Roman"/>
      <w:color w:val="00000A"/>
      <w:sz w:val="24"/>
    </w:rPr>
  </w:style>
  <w:style w:type="paragraph" w:styleId="1">
    <w:name w:val="heading 1"/>
    <w:basedOn w:val="a"/>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Heading"/>
    <w:uiPriority w:val="9"/>
    <w:unhideWhenUsed/>
    <w:qFormat/>
    <w:pPr>
      <w:keepNext/>
      <w:keepLines/>
      <w:spacing w:before="200"/>
      <w:outlineLvl w:val="1"/>
    </w:pPr>
    <w:rPr>
      <w:rFonts w:ascii="Brill" w:eastAsiaTheme="majorEastAsia" w:hAnsi="Brill" w:cstheme="majorBidi"/>
      <w:b/>
      <w:bCs/>
      <w:sz w:val="32"/>
      <w:szCs w:val="32"/>
    </w:rPr>
  </w:style>
  <w:style w:type="paragraph" w:styleId="3">
    <w:name w:val="heading 3"/>
    <w:basedOn w:val="a"/>
    <w:uiPriority w:val="9"/>
    <w:unhideWhenUsed/>
    <w:qFormat/>
    <w:pPr>
      <w:keepNext/>
      <w:keepLines/>
      <w:spacing w:before="200"/>
      <w:outlineLvl w:val="2"/>
    </w:pPr>
    <w:rPr>
      <w:rFonts w:ascii="Brill" w:eastAsiaTheme="majorEastAsia" w:hAnsi="Brill" w:cstheme="majorBidi"/>
      <w:b/>
      <w:bCs/>
      <w:sz w:val="28"/>
      <w:szCs w:val="28"/>
    </w:rPr>
  </w:style>
  <w:style w:type="paragraph" w:styleId="4">
    <w:name w:val="heading 4"/>
    <w:basedOn w:val="a"/>
    <w:uiPriority w:val="9"/>
    <w:unhideWhenUsed/>
    <w:qFormat/>
    <w:pPr>
      <w:keepNext/>
      <w:keepLines/>
      <w:spacing w:before="200"/>
      <w:outlineLvl w:val="3"/>
    </w:pPr>
    <w:rPr>
      <w:rFonts w:ascii="Brill" w:eastAsiaTheme="majorEastAsia" w:hAnsi="Brill" w:cstheme="majorBidi"/>
      <w:b/>
      <w:bCs/>
    </w:rPr>
  </w:style>
  <w:style w:type="paragraph" w:styleId="5">
    <w:name w:val="heading 5"/>
    <w:basedOn w:val="a"/>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объекта Знак"/>
    <w:basedOn w:val="a0"/>
    <w:link w:val="a4"/>
    <w:qFormat/>
  </w:style>
  <w:style w:type="character" w:customStyle="1" w:styleId="VerbatimChar">
    <w:name w:val="Verbatim Char"/>
    <w:basedOn w:val="a3"/>
    <w:link w:val="SourceCode"/>
    <w:qFormat/>
    <w:rPr>
      <w:rFonts w:ascii="Consolas" w:hAnsi="Consolas"/>
      <w:sz w:val="22"/>
    </w:rPr>
  </w:style>
  <w:style w:type="character" w:customStyle="1" w:styleId="FootnoteAnchor">
    <w:name w:val="Footnote Anchor"/>
    <w:basedOn w:val="a3"/>
    <w:rPr>
      <w:vertAlign w:val="superscript"/>
    </w:rPr>
  </w:style>
  <w:style w:type="character" w:customStyle="1" w:styleId="InternetLink">
    <w:name w:val="Internet Link"/>
    <w:basedOn w:val="a3"/>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paragraph" w:customStyle="1" w:styleId="Heading">
    <w:name w:val="Heading"/>
    <w:basedOn w:val="a"/>
    <w:next w:val="a5"/>
    <w:qFormat/>
    <w:pPr>
      <w:keepNext/>
    </w:pPr>
    <w:rPr>
      <w:rFonts w:eastAsia="AR PL SungtiL GB" w:cs="FreeSans"/>
      <w:sz w:val="28"/>
      <w:szCs w:val="28"/>
    </w:rPr>
  </w:style>
  <w:style w:type="paragraph" w:styleId="a5">
    <w:name w:val="Body Text"/>
    <w:basedOn w:val="a"/>
    <w:qFormat/>
    <w:pPr>
      <w:ind w:firstLine="567"/>
    </w:pPr>
    <w:rPr>
      <w:rFonts w:ascii="Brill" w:hAnsi="Brill"/>
    </w:rPr>
  </w:style>
  <w:style w:type="paragraph" w:styleId="a6">
    <w:name w:val="List"/>
    <w:basedOn w:val="a5"/>
    <w:rPr>
      <w:rFonts w:cs="FreeSans"/>
    </w:rPr>
  </w:style>
  <w:style w:type="paragraph" w:styleId="a4">
    <w:name w:val="caption"/>
    <w:basedOn w:val="a"/>
    <w:link w:val="a3"/>
    <w:qFormat/>
    <w:pPr>
      <w:spacing w:after="120"/>
    </w:pPr>
    <w:rPr>
      <w:i/>
    </w:rPr>
  </w:style>
  <w:style w:type="paragraph" w:customStyle="1" w:styleId="Index">
    <w:name w:val="Index"/>
    <w:basedOn w:val="a"/>
    <w:qFormat/>
    <w:pPr>
      <w:suppressLineNumbers/>
    </w:pPr>
    <w:rPr>
      <w:rFonts w:cs="FreeSans"/>
    </w:rPr>
  </w:style>
  <w:style w:type="paragraph" w:customStyle="1" w:styleId="FirstParagraph">
    <w:name w:val="First Paragraph"/>
    <w:basedOn w:val="a5"/>
    <w:qFormat/>
    <w:pPr>
      <w:ind w:firstLine="0"/>
    </w:pPr>
  </w:style>
  <w:style w:type="paragraph" w:customStyle="1" w:styleId="Compact">
    <w:name w:val="Compact"/>
    <w:basedOn w:val="a5"/>
    <w:qFormat/>
    <w:pPr>
      <w:ind w:firstLine="0"/>
      <w:jc w:val="left"/>
    </w:pPr>
  </w:style>
  <w:style w:type="paragraph" w:styleId="a7">
    <w:name w:val="Title"/>
    <w:basedOn w:val="a"/>
    <w:qFormat/>
    <w:rsid w:val="00B55442"/>
    <w:pPr>
      <w:keepNext/>
      <w:keepLines/>
      <w:spacing w:before="480" w:after="240"/>
      <w:jc w:val="center"/>
    </w:pPr>
    <w:rPr>
      <w:rFonts w:eastAsiaTheme="majorEastAsia" w:cstheme="majorBidi"/>
      <w:b/>
      <w:bCs/>
      <w:color w:val="auto"/>
      <w:sz w:val="28"/>
      <w:szCs w:val="36"/>
    </w:rPr>
  </w:style>
  <w:style w:type="paragraph" w:styleId="a8">
    <w:name w:val="Subtitle"/>
    <w:basedOn w:val="a7"/>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a9">
    <w:name w:val="Date"/>
    <w:qFormat/>
    <w:pPr>
      <w:keepNext/>
      <w:keepLines/>
      <w:jc w:val="center"/>
    </w:pPr>
    <w:rPr>
      <w:color w:val="00000A"/>
      <w:sz w:val="24"/>
    </w:rPr>
  </w:style>
  <w:style w:type="paragraph" w:customStyle="1" w:styleId="Abstract">
    <w:name w:val="Abstract"/>
    <w:basedOn w:val="a"/>
    <w:qFormat/>
    <w:pPr>
      <w:keepNext/>
      <w:keepLines/>
      <w:spacing w:before="300" w:after="300"/>
    </w:pPr>
    <w:rPr>
      <w:sz w:val="20"/>
      <w:szCs w:val="20"/>
    </w:rPr>
  </w:style>
  <w:style w:type="paragraph" w:styleId="aa">
    <w:name w:val="Bibliography"/>
    <w:basedOn w:val="a"/>
    <w:qFormat/>
    <w:pPr>
      <w:spacing w:before="283"/>
      <w:ind w:left="283" w:hanging="283"/>
      <w:contextualSpacing/>
    </w:pPr>
    <w:rPr>
      <w:rFonts w:ascii="Brill" w:hAnsi="Brill"/>
      <w:sz w:val="20"/>
    </w:rPr>
  </w:style>
  <w:style w:type="paragraph" w:styleId="ab">
    <w:name w:val="Block Text"/>
    <w:basedOn w:val="a5"/>
    <w:uiPriority w:val="9"/>
    <w:unhideWhenUsed/>
    <w:qFormat/>
    <w:pPr>
      <w:spacing w:before="100" w:after="100"/>
      <w:ind w:firstLine="0"/>
    </w:pPr>
    <w:rPr>
      <w:rFonts w:asciiTheme="majorHAnsi" w:eastAsiaTheme="majorEastAsia" w:hAnsiTheme="majorHAnsi" w:cstheme="majorBidi"/>
      <w:bCs/>
      <w:sz w:val="20"/>
      <w:szCs w:val="20"/>
    </w:rPr>
  </w:style>
  <w:style w:type="paragraph" w:styleId="ac">
    <w:name w:val="footnote text"/>
    <w:basedOn w:val="a"/>
    <w:uiPriority w:val="9"/>
    <w:unhideWhenUsed/>
    <w:qFormat/>
    <w:rPr>
      <w:rFonts w:ascii="Brill" w:hAnsi="Brill"/>
      <w:sz w:val="22"/>
    </w:rPr>
  </w:style>
  <w:style w:type="paragraph" w:customStyle="1" w:styleId="DefinitionTerm">
    <w:name w:val="Definition Term"/>
    <w:basedOn w:val="a"/>
    <w:qFormat/>
    <w:pPr>
      <w:keepNext/>
      <w:keepLines/>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rPr>
      <w:rFonts w:ascii="Brill" w:hAnsi="Brill"/>
    </w:rPr>
  </w:style>
  <w:style w:type="paragraph" w:customStyle="1" w:styleId="Figure">
    <w:name w:val="Figure"/>
    <w:basedOn w:val="a"/>
    <w:qFormat/>
  </w:style>
  <w:style w:type="paragraph" w:customStyle="1" w:styleId="FigurewithCaption">
    <w:name w:val="Figure with Caption"/>
    <w:basedOn w:val="Figure"/>
    <w:qFormat/>
    <w:pPr>
      <w:keepNext/>
    </w:pPr>
  </w:style>
  <w:style w:type="paragraph" w:styleId="ad">
    <w:name w:val="TOC Heading"/>
    <w:basedOn w:val="1"/>
    <w:uiPriority w:val="39"/>
    <w:unhideWhenUsed/>
    <w:qFormat/>
    <w:pPr>
      <w:spacing w:before="240" w:line="259" w:lineRule="auto"/>
    </w:pPr>
    <w:rPr>
      <w:b w:val="0"/>
      <w:bCs w:val="0"/>
      <w:color w:val="365F91" w:themeColor="accent1" w:themeShade="BF"/>
    </w:rPr>
  </w:style>
  <w:style w:type="paragraph" w:customStyle="1" w:styleId="SourceCode">
    <w:name w:val="Source Code"/>
    <w:basedOn w:val="a"/>
    <w:link w:val="VerbatimChar"/>
    <w:qFormat/>
    <w:pPr>
      <w:shd w:val="clear" w:color="auto" w:fill="F8F8F8"/>
      <w:spacing w:before="283"/>
    </w:pPr>
  </w:style>
  <w:style w:type="paragraph" w:customStyle="1" w:styleId="TableContents">
    <w:name w:val="Table Contents"/>
    <w:basedOn w:val="a"/>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h.verhees@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gricolamz@gmail.com" TargetMode="External"/><Relationship Id="rId12" Type="http://schemas.openxmlformats.org/officeDocument/2006/relationships/image" Target="media/image3.png"/><Relationship Id="rId17" Type="http://schemas.openxmlformats.org/officeDocument/2006/relationships/hyperlink" Target="http://ggplot2.org/"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YG8Co9" TargetMode="External"/><Relationship Id="rId5" Type="http://schemas.openxmlformats.org/officeDocument/2006/relationships/footnotes" Target="footnotes.xml"/><Relationship Id="rId15" Type="http://schemas.openxmlformats.org/officeDocument/2006/relationships/hyperlink" Target="https://CRAN.R-project.org/package=lingtypolog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RAN.R-project.org/package=i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3522</Words>
  <Characters>20082</Characters>
  <Application>Microsoft Office Word</Application>
  <DocSecurity>0</DocSecurity>
  <Lines>167</Lines>
  <Paragraphs>47</Paragraphs>
  <ScaleCrop>false</ScaleCrop>
  <Company>Microsoft</Company>
  <LinksUpToDate>false</LinksUpToDate>
  <CharactersWithSpaces>23557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Татьяна Мамонова</cp:lastModifiedBy>
  <cp:revision>2</cp:revision>
  <dcterms:created xsi:type="dcterms:W3CDTF">2018-06-29T14:50:00Z</dcterms:created>
  <dcterms:modified xsi:type="dcterms:W3CDTF">2018-09-01T08:10:00Z</dcterms:modified>
  <dc:language>en-US</dc:language>
</cp:coreProperties>
</file>