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Montserrat-bold.ttf" ContentType="application/x-font-ttf"/>
  <Override PartName="/word/fonts/Montserrat-boldItalic.ttf" ContentType="application/x-font-ttf"/>
  <Override PartName="/word/fonts/Montserrat-italic.ttf" ContentType="application/x-font-ttf"/>
  <Override PartName="/word/fonts/Montserrat-regular.ttf" ContentType="application/x-font-ttf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35"/>
        <w:gridCol w:w="5565"/>
        <w:tblGridChange w:id="0">
          <w:tblGrid>
            <w:gridCol w:w="3435"/>
            <w:gridCol w:w="55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Nome do Projeto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>
              <w:rPr>
                <w:rFonts w:ascii="Arial" w:hAnsi="Arial"/>
                <w:color w:val="333333"/>
                <w:sz w:val="21"/>
              </w:rPr>
              <w:t>Apuração de Sorteio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Montserrat" w:cs="Montserrat" w:eastAsia="Montserrat" w:hAnsi="Montserrat"/>
                <w:i w:val="1"/>
                <w:iCs w:val="1"/>
                <w:color w:val="b7b7b7"/>
              </w:rPr>
            </w:pPr>
            <w:r>
              <w:rPr>
                <w:rFonts w:ascii="Arial" w:hAnsi="Arial"/>
                <w:color w:val="333333"/>
                <w:sz w:val="21"/>
              </w:rPr>
              <w:t>Uso interno — operação de sorteios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IDs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>
              <w:rPr>
                <w:rFonts w:ascii="Arial" w:hAnsi="Arial"/>
                <w:color w:val="333333"/>
                <w:sz w:val="21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Responsável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>
              <w:rPr>
                <w:rFonts w:ascii="Arial" w:hAnsi="Arial"/>
                <w:color w:val="333333"/>
                <w:sz w:val="21"/>
              </w:rPr>
              <w:t>Tatiana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Montserrat" w:cs="Montserrat" w:eastAsia="Montserrat" w:hAnsi="Montserrat"/>
                <w:i w:val="1"/>
                <w:iCs w:val="1"/>
                <w:color w:val="b7b7b7"/>
              </w:rPr>
            </w:pPr>
            <w:r>
              <w:rPr>
                <w:rFonts w:ascii="Arial" w:hAnsi="Arial"/>
                <w:color w:val="333333"/>
                <w:sz w:val="21"/>
              </w:rPr>
              <w:t>23/07/2026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>
      <w:pPr>
        <w:spacing w:after="120" w:line="300" w:lineRule="auto"/>
      </w:pPr>
      <w:r>
        <w:rPr>
          <w:rFonts w:ascii="Arial" w:hAnsi="Arial"/>
          <w:b w:val="0"/>
          <w:color w:val="333333"/>
          <w:sz w:val="21"/>
        </w:rPr>
        <w:t xml:space="preserve">O aplicativo </w:t>
      </w:r>
      <w:r>
        <w:rPr>
          <w:rFonts w:ascii="Arial" w:hAnsi="Arial"/>
          <w:b/>
          <w:color w:val="333333"/>
          <w:sz w:val="21"/>
        </w:rPr>
        <w:t>Apuração de Sorteio</w:t>
      </w:r>
      <w:r>
        <w:rPr>
          <w:rFonts w:ascii="Arial" w:hAnsi="Arial"/>
          <w:b w:val="0"/>
          <w:color w:val="333333"/>
          <w:sz w:val="21"/>
        </w:rPr>
        <w:t xml:space="preserve"> identifica, a partir das dezenas sorteadas de cada prêmio (arquivo Ata de Sorteio), quais cartelas do arquivo de Comercializados foram contempladas — prêmio por prêmio — e confere o resultado contra o gabarito da própria Ata. Ele roda 100% no computador do usuário (localhost), não precisa de internet e não envia dados para fora.</w:t>
      </w:r>
    </w:p>
    <w:p>
      <w:pPr>
        <w:spacing w:before="320" w:after="120"/>
      </w:pPr>
      <w:r>
        <w:rPr>
          <w:rFonts w:ascii="Roboto" w:hAnsi="Roboto"/>
          <w:b/>
          <w:color w:val="619FB2"/>
          <w:sz w:val="26"/>
        </w:rPr>
        <w:t>1. Instalação</w:t>
      </w:r>
    </w:p>
    <w:p>
      <w:pPr>
        <w:spacing w:after="120" w:line="300" w:lineRule="auto"/>
      </w:pPr>
      <w:r>
        <w:rPr>
          <w:rFonts w:ascii="Arial" w:hAnsi="Arial"/>
          <w:b w:val="0"/>
          <w:color w:val="333333"/>
          <w:sz w:val="21"/>
        </w:rPr>
        <w:t>O pacote é autocontido: não é preciso instalar o Python, nem ter internet, nem direitos de administrador.</w:t>
      </w:r>
    </w:p>
    <w:p>
      <w:pPr>
        <w:spacing w:after="120" w:line="300" w:lineRule="auto"/>
        <w:ind w:left="340" w:hanging="170"/>
      </w:pPr>
      <w:r>
        <w:rPr>
          <w:rFonts w:ascii="Arial" w:hAnsi="Arial"/>
          <w:color w:val="619FB2"/>
          <w:sz w:val="21"/>
        </w:rPr>
        <w:t xml:space="preserve">•  </w:t>
      </w:r>
      <w:r>
        <w:rPr>
          <w:rFonts w:ascii="Arial" w:hAnsi="Arial"/>
          <w:b/>
          <w:color w:val="333333"/>
          <w:sz w:val="21"/>
        </w:rPr>
        <w:t xml:space="preserve">Passo 1 — Copiar a pasta. </w:t>
      </w:r>
      <w:r>
        <w:rPr>
          <w:rFonts w:ascii="Arial" w:hAnsi="Arial"/>
          <w:b w:val="0"/>
          <w:color w:val="333333"/>
          <w:sz w:val="21"/>
        </w:rPr>
        <w:t>Descompacte o ApuracaoSorteio.zip e mova a pasta para um local de caminho curto e sem acentos, por exemplo C:\ApuracaoSorteio.</w:t>
      </w:r>
    </w:p>
    <w:p>
      <w:pPr>
        <w:spacing w:after="120" w:line="300" w:lineRule="auto"/>
        <w:ind w:left="340" w:hanging="170"/>
      </w:pPr>
      <w:r>
        <w:rPr>
          <w:rFonts w:ascii="Arial" w:hAnsi="Arial"/>
          <w:color w:val="619FB2"/>
          <w:sz w:val="21"/>
        </w:rPr>
        <w:t xml:space="preserve">•  </w:t>
      </w:r>
      <w:r>
        <w:rPr>
          <w:rFonts w:ascii="Arial" w:hAnsi="Arial"/>
          <w:b/>
          <w:color w:val="333333"/>
          <w:sz w:val="21"/>
        </w:rPr>
        <w:t xml:space="preserve">Passo 2 — Iniciar. </w:t>
      </w:r>
      <w:r>
        <w:rPr>
          <w:rFonts w:ascii="Arial" w:hAnsi="Arial"/>
          <w:b w:val="0"/>
          <w:color w:val="333333"/>
          <w:sz w:val="21"/>
        </w:rPr>
        <w:t>Dê um duplo clique em “Iniciar Apuracao.bat”. Na primeira vez, aparece uma janela instalando os componentes (cerca de 1 minuto) — depois ela fecha sozinha. Se aparecer o aviso azul “O Windows protegeu o computador”, clique em “Mais informações” e depois “Executar assim mesmo”.</w:t>
      </w:r>
    </w:p>
    <w:p>
      <w:pPr>
        <w:spacing w:after="120" w:line="300" w:lineRule="auto"/>
        <w:ind w:left="340" w:hanging="170"/>
      </w:pPr>
      <w:r>
        <w:rPr>
          <w:rFonts w:ascii="Arial" w:hAnsi="Arial"/>
          <w:color w:val="619FB2"/>
          <w:sz w:val="21"/>
        </w:rPr>
        <w:t xml:space="preserve">•  </w:t>
      </w:r>
      <w:r>
        <w:rPr>
          <w:rFonts w:ascii="Arial" w:hAnsi="Arial"/>
          <w:b/>
          <w:color w:val="333333"/>
          <w:sz w:val="21"/>
        </w:rPr>
        <w:t xml:space="preserve">Passo 3 — Usar. </w:t>
      </w:r>
      <w:r>
        <w:rPr>
          <w:rFonts w:ascii="Arial" w:hAnsi="Arial"/>
          <w:b w:val="0"/>
          <w:color w:val="333333"/>
          <w:sz w:val="21"/>
        </w:rPr>
        <w:t>O navegador abre sozinho em http://localhost:8510 e o app fica rodando em segundo plano, sem manter nenhuma janela aberta. Se o navegador não abrir, digite esse endereço — ou dê outro duplo clique no “Iniciar Apuracao.bat”, que apenas reabre a página quando o app já está ativo.</w:t>
      </w:r>
    </w:p>
    <w:p>
      <w:pPr>
        <w:spacing w:after="120" w:line="300" w:lineRule="auto"/>
        <w:ind w:left="340" w:hanging="170"/>
      </w:pPr>
      <w:r>
        <w:rPr>
          <w:rFonts w:ascii="Arial" w:hAnsi="Arial"/>
          <w:color w:val="619FB2"/>
          <w:sz w:val="21"/>
        </w:rPr>
        <w:t xml:space="preserve">•  </w:t>
      </w:r>
      <w:r>
        <w:rPr>
          <w:rFonts w:ascii="Arial" w:hAnsi="Arial"/>
          <w:b/>
          <w:color w:val="333333"/>
          <w:sz w:val="21"/>
        </w:rPr>
        <w:t xml:space="preserve">Passo 4 — Encerrar. </w:t>
      </w:r>
      <w:r>
        <w:rPr>
          <w:rFonts w:ascii="Arial" w:hAnsi="Arial"/>
          <w:b w:val="0"/>
          <w:color w:val="333333"/>
          <w:sz w:val="21"/>
        </w:rPr>
        <w:t>Basta fechar todas as abas/janelas do navegador com o app aberto — ele se desliga sozinho cerca de 20-25 segundos depois. Para encerrar na hora, sem esperar, dê um duplo clique em “Encerrar Apuracao.bat”.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fill="EAF4F8"/>
            <w:tcBorders>
              <w:top w:val="single" w:sz="8" w:color="B6D4E3"/>
              <w:left w:val="single" w:sz="8" w:color="B6D4E3"/>
              <w:bottom w:val="single" w:sz="8" w:color="B6D4E3"/>
              <w:right w:val="single" w:sz="8" w:color="B6D4E3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33333"/>
                <w:sz w:val="20"/>
              </w:rPr>
              <w:t>Nas próximas vezes, basta dar duplo clique no “Iniciar Apuracao.bat” de novo — a instalação acontece uma única vez.</w:t>
            </w:r>
          </w:p>
        </w:tc>
      </w:tr>
    </w:tbl>
    <w:p>
      <w:pPr>
        <w:spacing w:after="160"/>
      </w:pPr>
    </w:p>
    <w:p>
      <w:pPr>
        <w:spacing w:before="320" w:after="120"/>
      </w:pPr>
      <w:r>
        <w:rPr>
          <w:rFonts w:ascii="Roboto" w:hAnsi="Roboto"/>
          <w:b/>
          <w:color w:val="619FB2"/>
          <w:sz w:val="26"/>
        </w:rPr>
        <w:t>2. Como apurar um sorteio</w:t>
      </w:r>
    </w:p>
    <w:p>
      <w:pPr>
        <w:spacing w:before="200" w:after="80"/>
      </w:pPr>
      <w:r>
        <w:rPr>
          <w:rFonts w:ascii="Arial" w:hAnsi="Arial"/>
          <w:b/>
          <w:color w:val="1E3A8A"/>
          <w:sz w:val="22"/>
        </w:rPr>
        <w:t>Passo 1 — Indicar os dois arquivos</w:t>
      </w:r>
    </w:p>
    <w:p>
      <w:pPr>
        <w:spacing w:after="120" w:line="300" w:lineRule="auto"/>
      </w:pPr>
      <w:r>
        <w:rPr>
          <w:rFonts w:ascii="Arial" w:hAnsi="Arial"/>
          <w:b w:val="0"/>
          <w:color w:val="333333"/>
          <w:sz w:val="21"/>
        </w:rPr>
        <w:t>Na seção “1. Arquivos de entrada”, escolha como indicar os arquivos. Em “Apontar pasta”, informe o caminho da pasta — o app lista sozinho a Ata de Sorteio e o arquivo de Comercializados encontrados, e você seleciona o par nos menus. Como alternativa, use “Upload manual”. O app reconhece automaticamente os dois layouts de arquivo; você não precisa informar a versão.</w:t>
      </w:r>
    </w:p>
    <w:p>
      <w:pPr>
        <w:spacing w:before="160" w:after="40"/>
        <w:jc w:val="center"/>
      </w:pPr>
      <w:r>
        <w:drawing>
          <wp:inline>
            <wp:extent cx="5616000" cy="28697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ntrada_web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869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666666"/>
          <w:sz w:val="18"/>
        </w:rPr>
        <w:t>Tela inicial: escolha da pasta e dos arquivos de entrada.</w:t>
      </w:r>
    </w:p>
    <w:p>
      <w:pPr>
        <w:spacing w:before="200" w:after="80"/>
      </w:pPr>
      <w:r>
        <w:rPr>
          <w:rFonts w:ascii="Arial" w:hAnsi="Arial"/>
          <w:b/>
          <w:color w:val="1E3A8A"/>
          <w:sz w:val="22"/>
        </w:rPr>
        <w:t>Passo 2 — Processar</w:t>
      </w:r>
    </w:p>
    <w:p>
      <w:pPr>
        <w:spacing w:after="120" w:line="300" w:lineRule="auto"/>
      </w:pPr>
      <w:r>
        <w:rPr>
          <w:rFonts w:ascii="Arial" w:hAnsi="Arial"/>
          <w:b w:val="0"/>
          <w:color w:val="333333"/>
          <w:sz w:val="21"/>
        </w:rPr>
        <w:t>Clique em “Processar apuração”. O app lê os arquivos (o de Comercializados pode ser grande) e apura todos os prêmios principais em sequência. Os resultados só aparecem depois do clique; se trocar o arquivo, processe novamente.</w:t>
      </w:r>
    </w:p>
    <w:p>
      <w:pPr>
        <w:spacing w:before="200" w:after="80"/>
      </w:pPr>
      <w:r>
        <w:rPr>
          <w:rFonts w:ascii="Arial" w:hAnsi="Arial"/>
          <w:b/>
          <w:color w:val="1E3A8A"/>
          <w:sz w:val="22"/>
        </w:rPr>
        <w:t>Passo 3 — Ler o resumo do sorteio</w:t>
      </w:r>
    </w:p>
    <w:p>
      <w:pPr>
        <w:spacing w:after="120" w:line="300" w:lineRule="auto"/>
      </w:pPr>
      <w:r>
        <w:rPr>
          <w:rFonts w:ascii="Arial" w:hAnsi="Arial"/>
          <w:b w:val="0"/>
          <w:color w:val="333333"/>
          <w:sz w:val="21"/>
        </w:rPr>
        <w:t>No topo do resultado, os cartões trazem a identificação do sorteio (Edição, Empresa, Data, Versão do layout) e os totais lidos dos arquivos (Títulos comercializados e Cartelas lidas).</w:t>
      </w:r>
    </w:p>
    <w:p>
      <w:pPr>
        <w:spacing w:before="160" w:after="40"/>
        <w:jc w:val="center"/>
      </w:pPr>
      <w:r>
        <w:drawing>
          <wp:inline>
            <wp:extent cx="5616000" cy="13366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ards_we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336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666666"/>
          <w:sz w:val="18"/>
        </w:rPr>
        <w:t>Resumo com edição, empresa, data, versão do layout e totais.</w:t>
      </w:r>
    </w:p>
    <w:p>
      <w:pPr>
        <w:spacing w:before="200" w:after="80"/>
      </w:pPr>
      <w:r>
        <w:rPr>
          <w:rFonts w:ascii="Arial" w:hAnsi="Arial"/>
          <w:b/>
          <w:color w:val="1E3A8A"/>
          <w:sz w:val="22"/>
        </w:rPr>
        <w:t>Passo 4 — Ver os contemplados de cada prêmio</w:t>
      </w:r>
    </w:p>
    <w:p>
      <w:pPr>
        <w:spacing w:after="120" w:line="300" w:lineRule="auto"/>
      </w:pPr>
      <w:r>
        <w:rPr>
          <w:rFonts w:ascii="Arial" w:hAnsi="Arial"/>
          <w:b w:val="0"/>
          <w:color w:val="333333"/>
          <w:sz w:val="21"/>
        </w:rPr>
        <w:t>Para cada prêmio há um bloco com as dezenas sorteadas, quantas cartelas venceram e a tabela dos contemplados — número do certificado, número da sorte do giro vencedor e as 20 dezenas de cada cartela.</w:t>
      </w:r>
    </w:p>
    <w:p>
      <w:pPr>
        <w:spacing w:before="160" w:after="40"/>
        <w:jc w:val="center"/>
      </w:pPr>
      <w:r>
        <w:drawing>
          <wp:inline>
            <wp:extent cx="5616000" cy="19992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remio_ok_we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999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666666"/>
          <w:sz w:val="18"/>
        </w:rPr>
        <w:t>Bloco de um prêmio: métricas, certificados contemplados e validação.</w:t>
      </w:r>
    </w:p>
    <w:p>
      <w:pPr>
        <w:spacing w:before="200" w:after="80"/>
      </w:pPr>
      <w:r>
        <w:rPr>
          <w:rFonts w:ascii="Arial" w:hAnsi="Arial"/>
          <w:b/>
          <w:color w:val="1E3A8A"/>
          <w:sz w:val="22"/>
        </w:rPr>
        <w:t>Exportar o relatório</w:t>
      </w:r>
    </w:p>
    <w:p>
      <w:pPr>
        <w:spacing w:after="120" w:line="300" w:lineRule="auto"/>
      </w:pPr>
      <w:r>
        <w:rPr>
          <w:rFonts w:ascii="Arial" w:hAnsi="Arial"/>
          <w:b w:val="0"/>
          <w:color w:val="333333"/>
          <w:sz w:val="21"/>
        </w:rPr>
        <w:t>Na seção “3. Exportar”, baixe um relatório em Excel já formatado, com todos os dados e os certificados contemplados de cada prêmio. O arquivo é salvo como apuracao_&lt;edição&gt;.xlsx.</w:t>
      </w:r>
    </w:p>
    <w:p>
      <w:pPr>
        <w:spacing w:before="160" w:after="40"/>
        <w:jc w:val="center"/>
      </w:pPr>
      <w:r>
        <w:drawing>
          <wp:inline>
            <wp:extent cx="4320000" cy="5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exportar_we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666666"/>
          <w:sz w:val="18"/>
        </w:rPr>
        <w:t>Seção de exportação do relatório em Excel.</w:t>
      </w:r>
    </w:p>
    <w:p>
      <w:pPr>
        <w:spacing w:before="320" w:after="120"/>
      </w:pPr>
      <w:r>
        <w:rPr>
          <w:rFonts w:ascii="Roboto" w:hAnsi="Roboto"/>
          <w:b/>
          <w:color w:val="619FB2"/>
          <w:sz w:val="26"/>
        </w:rPr>
        <w:t>3. Entendendo a validação</w:t>
      </w:r>
    </w:p>
    <w:p>
      <w:pPr>
        <w:spacing w:after="120" w:line="300" w:lineRule="auto"/>
      </w:pPr>
      <w:r>
        <w:rPr>
          <w:rFonts w:ascii="Arial" w:hAnsi="Arial"/>
          <w:b w:val="0"/>
          <w:color w:val="333333"/>
          <w:sz w:val="21"/>
        </w:rPr>
        <w:t>Para cada prêmio, o app compara os certificados que ele calculou com os que constam oficialmente na Ata de Sorteio (o número da sorte é apenas informativo, não entra na validação):</w:t>
      </w:r>
    </w:p>
    <w:p>
      <w:pPr>
        <w:spacing w:after="120" w:line="300" w:lineRule="auto"/>
        <w:ind w:left="340" w:hanging="170"/>
      </w:pPr>
      <w:r>
        <w:rPr>
          <w:rFonts w:ascii="Arial" w:hAnsi="Arial"/>
          <w:color w:val="619FB2"/>
          <w:sz w:val="21"/>
        </w:rPr>
        <w:t xml:space="preserve">•  </w:t>
      </w:r>
      <w:r>
        <w:rPr>
          <w:rFonts w:ascii="Arial" w:hAnsi="Arial"/>
          <w:b/>
          <w:color w:val="333333"/>
          <w:sz w:val="21"/>
        </w:rPr>
        <w:t xml:space="preserve">Verde — “bate com o gabarito”: </w:t>
      </w:r>
      <w:r>
        <w:rPr>
          <w:rFonts w:ascii="Arial" w:hAnsi="Arial"/>
          <w:b w:val="0"/>
          <w:color w:val="333333"/>
          <w:sz w:val="21"/>
        </w:rPr>
        <w:t>o cálculo do programa coincide exatamente com a Ata. Resultado confiável.</w:t>
      </w:r>
    </w:p>
    <w:p>
      <w:pPr>
        <w:spacing w:after="120" w:line="300" w:lineRule="auto"/>
        <w:ind w:left="340" w:hanging="170"/>
      </w:pPr>
      <w:r>
        <w:rPr>
          <w:rFonts w:ascii="Arial" w:hAnsi="Arial"/>
          <w:color w:val="619FB2"/>
          <w:sz w:val="21"/>
        </w:rPr>
        <w:t xml:space="preserve">•  </w:t>
      </w:r>
      <w:r>
        <w:rPr>
          <w:rFonts w:ascii="Arial" w:hAnsi="Arial"/>
          <w:b/>
          <w:color w:val="333333"/>
          <w:sz w:val="21"/>
        </w:rPr>
        <w:t xml:space="preserve">Amarelo — “Divergência”: </w:t>
      </w:r>
      <w:r>
        <w:rPr>
          <w:rFonts w:ascii="Arial" w:hAnsi="Arial"/>
          <w:b w:val="0"/>
          <w:color w:val="333333"/>
          <w:sz w:val="21"/>
        </w:rPr>
        <w:t>o cálculo não coincide com a Ata. O app lista os certificados esperados que não foram encontrados e os que foram encontrados mas não constam na Ata.</w:t>
      </w:r>
    </w:p>
    <w:p>
      <w:pPr>
        <w:spacing w:before="160" w:after="40"/>
        <w:jc w:val="center"/>
      </w:pPr>
      <w:r>
        <w:drawing>
          <wp:inline>
            <wp:extent cx="5616000" cy="25047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ivergencia_we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04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666666"/>
          <w:sz w:val="18"/>
        </w:rPr>
        <w:t>Exemplo de divergência sinalizada pelo app.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fill="FBF3DE"/>
            <w:tcBorders>
              <w:top w:val="single" w:sz="8" w:color="F0DCAE"/>
              <w:left w:val="single" w:sz="8" w:color="F0DCAE"/>
              <w:bottom w:val="single" w:sz="8" w:color="F0DCAE"/>
              <w:right w:val="single" w:sz="8" w:color="F0DCA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3333"/>
                <w:sz w:val="20"/>
              </w:rPr>
              <w:t xml:space="preserve">Atenção: </w:t>
            </w:r>
            <w:r>
              <w:rPr>
                <w:rFonts w:ascii="Arial" w:hAnsi="Arial"/>
                <w:b w:val="0"/>
                <w:color w:val="333333"/>
                <w:sz w:val="20"/>
              </w:rPr>
              <w:t>uma divergência não significa necessariamente erro do programa — ela serve para chamar a atenção. Causas comuns: diferença de digitação entre o certificado da Ata e o de Comercializados, arquivos de edições diferentes, ou arquivo incompleto. Sempre que aparecer o aviso amarelo, confira os dois arquivos.</w:t>
            </w:r>
          </w:p>
        </w:tc>
      </w:tr>
    </w:tbl>
    <w:p>
      <w:pPr>
        <w:spacing w:after="160"/>
      </w:pPr>
    </w:p>
    <w:p>
      <w:pPr>
        <w:spacing w:before="320" w:after="120"/>
      </w:pPr>
      <w:r>
        <w:rPr>
          <w:rFonts w:ascii="Roboto" w:hAnsi="Roboto"/>
          <w:b/>
          <w:color w:val="619FB2"/>
          <w:sz w:val="26"/>
        </w:rPr>
        <w:t>4. Problemas comuns</w:t>
      </w:r>
    </w:p>
    <w:p>
      <w:pPr>
        <w:spacing w:after="80" w:line="300" w:lineRule="auto"/>
        <w:ind w:left="340" w:hanging="170"/>
      </w:pPr>
      <w:r>
        <w:rPr>
          <w:rFonts w:ascii="Arial" w:hAnsi="Arial"/>
          <w:color w:val="619FB2"/>
          <w:sz w:val="21"/>
        </w:rPr>
        <w:t xml:space="preserve">•  </w:t>
      </w:r>
      <w:r>
        <w:rPr>
          <w:rFonts w:ascii="Arial" w:hAnsi="Arial"/>
          <w:b/>
          <w:color w:val="333333"/>
          <w:sz w:val="21"/>
        </w:rPr>
        <w:t xml:space="preserve">Aviso azul do SmartScreen ao abrir o .bat — </w:t>
      </w:r>
      <w:r>
        <w:rPr>
          <w:rFonts w:ascii="Arial" w:hAnsi="Arial"/>
          <w:b w:val="0"/>
          <w:color w:val="333333"/>
          <w:sz w:val="21"/>
        </w:rPr>
        <w:t>Clique em “Mais informações” → “Executar assim mesmo”. O arquivo é seguro.</w:t>
      </w:r>
    </w:p>
    <w:p>
      <w:pPr>
        <w:spacing w:after="80" w:line="300" w:lineRule="auto"/>
        <w:ind w:left="340" w:hanging="170"/>
      </w:pPr>
      <w:r>
        <w:rPr>
          <w:rFonts w:ascii="Arial" w:hAnsi="Arial"/>
          <w:color w:val="619FB2"/>
          <w:sz w:val="21"/>
        </w:rPr>
        <w:t xml:space="preserve">•  </w:t>
      </w:r>
      <w:r>
        <w:rPr>
          <w:rFonts w:ascii="Arial" w:hAnsi="Arial"/>
          <w:b/>
          <w:color w:val="333333"/>
          <w:sz w:val="21"/>
        </w:rPr>
        <w:t xml:space="preserve">O navegador não abriu sozinho — </w:t>
      </w:r>
      <w:r>
        <w:rPr>
          <w:rFonts w:ascii="Arial" w:hAnsi="Arial"/>
          <w:b w:val="0"/>
          <w:color w:val="333333"/>
          <w:sz w:val="21"/>
        </w:rPr>
        <w:t>Abra o navegador e acesse http://localhost:8510.</w:t>
      </w:r>
    </w:p>
    <w:p>
      <w:pPr>
        <w:spacing w:after="80" w:line="300" w:lineRule="auto"/>
        <w:ind w:left="340" w:hanging="170"/>
      </w:pPr>
      <w:r>
        <w:rPr>
          <w:rFonts w:ascii="Arial" w:hAnsi="Arial"/>
          <w:color w:val="619FB2"/>
          <w:sz w:val="21"/>
        </w:rPr>
        <w:t xml:space="preserve">•  </w:t>
      </w:r>
      <w:r>
        <w:rPr>
          <w:rFonts w:ascii="Arial" w:hAnsi="Arial"/>
          <w:b/>
          <w:color w:val="333333"/>
          <w:sz w:val="21"/>
        </w:rPr>
        <w:t xml:space="preserve">“A porta 8510 já está em uso” — </w:t>
      </w:r>
      <w:r>
        <w:rPr>
          <w:rFonts w:ascii="Arial" w:hAnsi="Arial"/>
          <w:b w:val="0"/>
          <w:color w:val="333333"/>
          <w:sz w:val="21"/>
        </w:rPr>
        <w:t>Feche outras janelas do app, ou edite a linha “set PORTA=8510” no .bat para outra porta (ex.: 8511).</w:t>
      </w:r>
    </w:p>
    <w:p>
      <w:pPr>
        <w:spacing w:after="80" w:line="300" w:lineRule="auto"/>
        <w:ind w:left="340" w:hanging="170"/>
      </w:pPr>
      <w:r>
        <w:rPr>
          <w:rFonts w:ascii="Arial" w:hAnsi="Arial"/>
          <w:color w:val="619FB2"/>
          <w:sz w:val="21"/>
        </w:rPr>
        <w:t xml:space="preserve">•  </w:t>
      </w:r>
      <w:r>
        <w:rPr>
          <w:rFonts w:ascii="Arial" w:hAnsi="Arial"/>
          <w:b/>
          <w:color w:val="333333"/>
          <w:sz w:val="21"/>
        </w:rPr>
        <w:t xml:space="preserve">Nenhum arquivo aparece nos menus — </w:t>
      </w:r>
      <w:r>
        <w:rPr>
          <w:rFonts w:ascii="Arial" w:hAnsi="Arial"/>
          <w:b w:val="0"/>
          <w:color w:val="333333"/>
          <w:sz w:val="21"/>
        </w:rPr>
        <w:t>Confirme o caminho da pasta e que os arquivos terminam em .txt, com “sorteio” / “comercializad” no nome.</w:t>
      </w:r>
    </w:p>
    <w:p>
      <w:pPr>
        <w:spacing w:after="80" w:line="300" w:lineRule="auto"/>
        <w:ind w:left="340" w:hanging="170"/>
      </w:pPr>
      <w:r>
        <w:rPr>
          <w:rFonts w:ascii="Arial" w:hAnsi="Arial"/>
          <w:color w:val="619FB2"/>
          <w:sz w:val="21"/>
        </w:rPr>
        <w:t xml:space="preserve">•  </w:t>
      </w:r>
      <w:r>
        <w:rPr>
          <w:rFonts w:ascii="Arial" w:hAnsi="Arial"/>
          <w:b/>
          <w:color w:val="333333"/>
          <w:sz w:val="21"/>
        </w:rPr>
        <w:t xml:space="preserve">A instalação falhou na primeira execução — </w:t>
      </w:r>
      <w:r>
        <w:rPr>
          <w:rFonts w:ascii="Arial" w:hAnsi="Arial"/>
          <w:b w:val="0"/>
          <w:color w:val="333333"/>
          <w:sz w:val="21"/>
        </w:rPr>
        <w:t>Use o pacote autocontido (não depende da internet). Se persistir, envie o texto da janela preta ao suporte.</w:t>
      </w:r>
    </w:p>
    <w:p>
      <w:pPr>
        <w:spacing w:after="80" w:line="300" w:lineRule="auto"/>
        <w:ind w:left="340" w:hanging="170"/>
      </w:pPr>
      <w:r>
        <w:rPr>
          <w:rFonts w:ascii="Arial" w:hAnsi="Arial"/>
          <w:color w:val="619FB2"/>
          <w:sz w:val="21"/>
        </w:rPr>
        <w:t xml:space="preserve">•  </w:t>
      </w:r>
      <w:r>
        <w:rPr>
          <w:rFonts w:ascii="Arial" w:hAnsi="Arial"/>
          <w:b/>
          <w:color w:val="333333"/>
          <w:sz w:val="21"/>
        </w:rPr>
        <w:t xml:space="preserve">Fechei o navegador mas o app parece continuar rodando — </w:t>
      </w:r>
      <w:r>
        <w:rPr>
          <w:rFonts w:ascii="Arial" w:hAnsi="Arial"/>
          <w:b w:val="0"/>
          <w:color w:val="333333"/>
          <w:sz w:val="21"/>
        </w:rPr>
        <w:t>O encerramento automático leva ~20-25 segundos — aguarde um pouco. Se persistir, use o Encerrar Apuracao.bat para desligar na hora.</w:t>
      </w:r>
    </w:p>
    <w:p>
      <w:pPr>
        <w:spacing w:after="120"/>
      </w:pPr>
    </w:p>
    <w:p>
      <w:pPr>
        <w:spacing w:after="120" w:line="300" w:lineRule="auto"/>
      </w:pPr>
      <w:r>
        <w:rPr>
          <w:rFonts w:ascii="Arial" w:hAnsi="Arial"/>
          <w:b/>
          <w:color w:val="333333"/>
          <w:sz w:val="21"/>
        </w:rPr>
        <w:t xml:space="preserve">Privacidade: </w:t>
      </w:r>
      <w:r>
        <w:rPr>
          <w:rFonts w:ascii="Arial" w:hAnsi="Arial"/>
          <w:b w:val="0"/>
          <w:color w:val="333333"/>
          <w:sz w:val="21"/>
        </w:rPr>
        <w:t>este app processa dados que podem conter informações pessoais (CPF, nome). Ele não exibe esses dados na tela nem os inclui no relatório Excel, e não envia nada para fora do computador.</w:t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jc w:val="center"/>
      <w:rPr/>
    </w:pPr>
    <w:r w:rsidDel="00000000" w:rsidR="00000000" w:rsidRPr="00000000">
      <w:rPr>
        <w:rFonts w:ascii="Roboto" w:cs="Roboto" w:eastAsia="Roboto" w:hAnsi="Roboto"/>
        <w:b w:val="1"/>
        <w:bCs w:val="1"/>
        <w:color w:val="619fb2"/>
        <w:rtl w:val="0"/>
      </w:rPr>
      <w:t>Manual do Usuário — Apuração de Sorteio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-895349</wp:posOffset>
          </wp:positionH>
          <wp:positionV relativeFrom="paragraph">
            <wp:posOffset>-342899</wp:posOffset>
          </wp:positionV>
          <wp:extent cx="7600950" cy="1069181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00950" cy="1069181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