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5565"/>
        <w:tblGridChange w:id="0">
          <w:tblGrid>
            <w:gridCol w:w="3435"/>
            <w:gridCol w:w="55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Nome do Projeto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>
                <w:rFonts w:ascii="Montserrat" w:cs="Montserrat" w:eastAsia="Montserrat" w:hAnsi="Montserrat"/>
                <w:b w:val="1"/>
                <w:bCs w:val="1"/>
              </w:rPr>
            </w:pPr>
            <w:r>
              <w:rPr>
                <w:rFonts w:ascii="Arial" w:hAnsi="Arial"/>
                <w:color w:val="333333"/>
                <w:sz w:val="21"/>
              </w:rPr>
              <w:t>Apuração de Sorteio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Montserrat" w:cs="Montserrat" w:eastAsia="Montserrat" w:hAnsi="Montserrat"/>
                <w:i w:val="1"/>
                <w:iCs w:val="1"/>
                <w:color w:val="b7b7b7"/>
              </w:rPr>
            </w:pPr>
            <w:r>
              <w:rPr>
                <w:rFonts w:ascii="Arial" w:hAnsi="Arial"/>
                <w:color w:val="333333"/>
                <w:sz w:val="21"/>
              </w:rPr>
              <w:t>Uso interno — operação de sorteios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Montserrat" w:cs="Montserrat" w:eastAsia="Montserrat" w:hAnsi="Montserrat"/>
                <w:b w:val="1"/>
                <w:bCs w:val="1"/>
              </w:rPr>
            </w:pPr>
            <w:r>
              <w:rPr>
                <w:rFonts w:ascii="Arial" w:hAnsi="Arial"/>
                <w:color w:val="333333"/>
                <w:sz w:val="21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Responsável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</w:rPr>
            </w:pPr>
            <w:r>
              <w:rPr>
                <w:rFonts w:ascii="Arial" w:hAnsi="Arial"/>
                <w:color w:val="333333"/>
                <w:sz w:val="21"/>
              </w:rPr>
              <w:t>Tatiana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Montserrat" w:cs="Montserrat" w:eastAsia="Montserrat" w:hAnsi="Montserrat"/>
                <w:i w:val="1"/>
                <w:iCs w:val="1"/>
                <w:color w:val="b7b7b7"/>
              </w:rPr>
            </w:pPr>
            <w:r>
              <w:rPr>
                <w:rFonts w:ascii="Arial" w:hAnsi="Arial"/>
                <w:color w:val="333333"/>
                <w:sz w:val="21"/>
              </w:rPr>
              <w:t>23/07/2026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 xml:space="preserve">O aplicativo </w:t>
      </w:r>
      <w:r>
        <w:rPr>
          <w:rFonts w:ascii="Arial" w:hAnsi="Arial"/>
          <w:b/>
          <w:color w:val="333333"/>
          <w:sz w:val="21"/>
        </w:rPr>
        <w:t>Apuração de Sorteio</w:t>
      </w:r>
      <w:r>
        <w:rPr>
          <w:rFonts w:ascii="Arial" w:hAnsi="Arial"/>
          <w:b w:val="0"/>
          <w:color w:val="333333"/>
          <w:sz w:val="21"/>
        </w:rPr>
        <w:t xml:space="preserve"> identifica, a partir das dezenas sorteadas de cada prêmio (arquivo Ata de Sorteio), quais cartelas do arquivo de Comercializados foram contempladas — prêmio por prêmio — e confere o resultado contra o gabarito da própria Ata. Ele roda 100% no computador do usuário (localhost), não precisa de internet e não envia dados para fora.</w:t>
      </w: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1. Instalação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O pacote é autocontido: não é preciso instalar o Python, nem ter internet, nem direitos de administrador.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Passo 1 — Copiar a pasta. </w:t>
      </w:r>
      <w:r>
        <w:rPr>
          <w:rFonts w:ascii="Arial" w:hAnsi="Arial"/>
          <w:b w:val="0"/>
          <w:color w:val="333333"/>
          <w:sz w:val="21"/>
        </w:rPr>
        <w:t>Descompacte o ApuracaoSorteio.zip e mova a pasta para um local de caminho curto e sem acentos, por exemplo C:\ApuracaoSorteio.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Passo 2 — Iniciar. </w:t>
      </w:r>
      <w:r>
        <w:rPr>
          <w:rFonts w:ascii="Arial" w:hAnsi="Arial"/>
          <w:b w:val="0"/>
          <w:color w:val="333333"/>
          <w:sz w:val="21"/>
        </w:rPr>
        <w:t>Dê um duplo clique em “Iniciar Apuracao.bat”. Na primeira vez, o app instala seus componentes automaticamente (cerca de 1 minuto). Se aparecer o aviso azul “O Windows protegeu o computador”, clique em “Mais informações” e depois “Executar assim mesmo”.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Passo 3 — Usar. </w:t>
      </w:r>
      <w:r>
        <w:rPr>
          <w:rFonts w:ascii="Arial" w:hAnsi="Arial"/>
          <w:b w:val="0"/>
          <w:color w:val="333333"/>
          <w:sz w:val="21"/>
        </w:rPr>
        <w:t>O navegador abre sozinho em http://localhost:8510. Se não abrir, digite esse endereço no navegador. Para encerrar o app, feche a janela preta (prompt de comando).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val="clear" w:fill="EAF4F8"/>
            <w:tcBorders>
              <w:top w:val="single" w:sz="8" w:color="B6D4E3"/>
              <w:left w:val="single" w:sz="8" w:color="B6D4E3"/>
              <w:bottom w:val="single" w:sz="8" w:color="B6D4E3"/>
              <w:right w:val="single" w:sz="8" w:color="B6D4E3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333333"/>
                <w:sz w:val="20"/>
              </w:rPr>
              <w:t>Nas próximas vezes, basta dar duplo clique de novo — a instalação acontece uma única vez.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2. Como apurar um sorteio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1 — Indicar os dois arquivos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Na seção “1. Arquivos de entrada”, escolha como indicar os arquivos. Em “Apontar pasta”, informe o caminho da pasta — o app lista sozinho a Ata de Sorteio e o arquivo de Comercializados encontrados, e você seleciona o par nos menus. Como alternativa, use “Upload manual”. O app reconhece automaticamente os dois layouts de arquivo; você não precisa informar a versão.</w:t>
      </w:r>
    </w:p>
    <w:p>
      <w:pPr>
        <w:spacing w:before="160" w:after="40"/>
        <w:jc w:val="center"/>
      </w:pPr>
      <w:r>
        <w:drawing>
          <wp:inline>
            <wp:extent cx="5616000" cy="286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trada_we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6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Tela inicial: escolha da pasta e dos arquivos de entrada.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2 — Processar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Clique em “Processar apuração”. O app lê os arquivos (o de Comercializados pode ser grande) e apura todos os prêmios principais em sequência. Os resultados só aparecem depois do clique; se trocar o arquivo, processe novamente.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3 — Ler o resumo do sorteio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No topo do resultado, os cartões trazem a identificação do sorteio (Edição, Empresa, Data, Versão do layout) e os totais lidos dos arquivos (Títulos comercializados e Cartelas lidas).</w:t>
      </w:r>
    </w:p>
    <w:p>
      <w:pPr>
        <w:spacing w:before="160" w:after="40"/>
        <w:jc w:val="center"/>
      </w:pPr>
      <w:r>
        <w:drawing>
          <wp:inline>
            <wp:extent cx="5616000" cy="1448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rds_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44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Resumo com edição, empresa, data, versão do layout e totais.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4 — Ver os contemplados de cada prêmio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Para cada prêmio há um bloco com as dezenas sorteadas, quantas cartelas venceram e a tabela dos certificados contemplados — número do certificado e as 20 dezenas de cada cartela.</w:t>
      </w:r>
    </w:p>
    <w:p>
      <w:pPr>
        <w:spacing w:before="160" w:after="40"/>
        <w:jc w:val="center"/>
      </w:pPr>
      <w:r>
        <w:drawing>
          <wp:inline>
            <wp:extent cx="5616000" cy="1881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emio_ok_we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88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Bloco de um prêmio: métricas, certificados contemplados e validação.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Exportar o relatório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Na seção “3. Exportar”, baixe um relatório em Excel já formatado, com todos os dados e os certificados contemplados de cada prêmio. O arquivo é salvo como apuracao_&lt;edição&gt;.xlsx.</w:t>
      </w:r>
    </w:p>
    <w:p>
      <w:pPr>
        <w:spacing w:before="160" w:after="40"/>
        <w:jc w:val="center"/>
      </w:pPr>
      <w:r>
        <w:drawing>
          <wp:inline>
            <wp:extent cx="4320000" cy="613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xportar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Seção de exportação do relatório em Excel.</w:t>
      </w: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3. Entendendo a validação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Para cada prêmio, o app compara os certificados que ele calculou com os que constam oficialmente na Ata de Sorteio: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Verde — “bate com o gabarito”: </w:t>
      </w:r>
      <w:r>
        <w:rPr>
          <w:rFonts w:ascii="Arial" w:hAnsi="Arial"/>
          <w:b w:val="0"/>
          <w:color w:val="333333"/>
          <w:sz w:val="21"/>
        </w:rPr>
        <w:t>o cálculo do programa coincide exatamente com a Ata. Resultado confiável.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Amarelo — “Divergência”: </w:t>
      </w:r>
      <w:r>
        <w:rPr>
          <w:rFonts w:ascii="Arial" w:hAnsi="Arial"/>
          <w:b w:val="0"/>
          <w:color w:val="333333"/>
          <w:sz w:val="21"/>
        </w:rPr>
        <w:t>o cálculo não coincide com a Ata. O app lista os certificados esperados que não foram encontrados e os que foram encontrados mas não constam na Ata.</w:t>
      </w:r>
    </w:p>
    <w:p>
      <w:pPr>
        <w:spacing w:before="160" w:after="40"/>
        <w:jc w:val="center"/>
      </w:pPr>
      <w:r>
        <w:drawing>
          <wp:inline>
            <wp:extent cx="5616000" cy="21003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ivergencia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0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Exemplo de divergência sinalizada pelo app.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val="clear" w:fill="FBF3DE"/>
            <w:tcBorders>
              <w:top w:val="single" w:sz="8" w:color="F0DCAE"/>
              <w:left w:val="single" w:sz="8" w:color="F0DCAE"/>
              <w:bottom w:val="single" w:sz="8" w:color="F0DCAE"/>
              <w:right w:val="single" w:sz="8" w:color="F0DCAE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333333"/>
                <w:sz w:val="20"/>
              </w:rPr>
              <w:t xml:space="preserve">Atenção: </w:t>
            </w:r>
            <w:r>
              <w:rPr>
                <w:rFonts w:ascii="Arial" w:hAnsi="Arial"/>
                <w:b w:val="0"/>
                <w:color w:val="333333"/>
                <w:sz w:val="20"/>
              </w:rPr>
              <w:t>uma divergência não significa necessariamente erro do programa — ela serve para chamar a atenção. Causas comuns: diferença de digitação entre o certificado da Ata e o de Comercializados, arquivos de edições diferentes, ou arquivo incompleto. Sempre que aparecer o aviso amarelo, confira os dois arquivos.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4. Problemas comuns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Aviso azul do SmartScreen ao abrir o .bat — </w:t>
      </w:r>
      <w:r>
        <w:rPr>
          <w:rFonts w:ascii="Arial" w:hAnsi="Arial"/>
          <w:b w:val="0"/>
          <w:color w:val="333333"/>
          <w:sz w:val="21"/>
        </w:rPr>
        <w:t>Clique em “Mais informações” → “Executar assim mesmo”. O arquivo é seguro.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O navegador não abriu sozinho — </w:t>
      </w:r>
      <w:r>
        <w:rPr>
          <w:rFonts w:ascii="Arial" w:hAnsi="Arial"/>
          <w:b w:val="0"/>
          <w:color w:val="333333"/>
          <w:sz w:val="21"/>
        </w:rPr>
        <w:t>Abra o navegador e acesse http://localhost:8510.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“A porta 8510 já está em uso” — </w:t>
      </w:r>
      <w:r>
        <w:rPr>
          <w:rFonts w:ascii="Arial" w:hAnsi="Arial"/>
          <w:b w:val="0"/>
          <w:color w:val="333333"/>
          <w:sz w:val="21"/>
        </w:rPr>
        <w:t>Feche outras janelas do app, ou edite a linha “set PORTA=8510” no .bat para outra porta (ex.: 8511).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Nenhum arquivo aparece nos menus — </w:t>
      </w:r>
      <w:r>
        <w:rPr>
          <w:rFonts w:ascii="Arial" w:hAnsi="Arial"/>
          <w:b w:val="0"/>
          <w:color w:val="333333"/>
          <w:sz w:val="21"/>
        </w:rPr>
        <w:t>Confirme o caminho da pasta e que os arquivos terminam em .txt, com “sorteio” / “comercializad” no nome.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A instalação falhou na primeira execução — </w:t>
      </w:r>
      <w:r>
        <w:rPr>
          <w:rFonts w:ascii="Arial" w:hAnsi="Arial"/>
          <w:b w:val="0"/>
          <w:color w:val="333333"/>
          <w:sz w:val="21"/>
        </w:rPr>
        <w:t>Use o pacote autocontido (não depende da internet). Se persistir, envie o texto da janela preta ao suporte.</w:t>
      </w:r>
    </w:p>
    <w:p>
      <w:pPr>
        <w:spacing w:after="120"/>
      </w:pPr>
    </w:p>
    <w:p>
      <w:pPr>
        <w:spacing w:after="120" w:line="300" w:lineRule="auto"/>
      </w:pPr>
      <w:r>
        <w:rPr>
          <w:rFonts w:ascii="Arial" w:hAnsi="Arial"/>
          <w:b/>
          <w:color w:val="333333"/>
          <w:sz w:val="21"/>
        </w:rPr>
        <w:t xml:space="preserve">Privacidade: </w:t>
      </w:r>
      <w:r>
        <w:rPr>
          <w:rFonts w:ascii="Arial" w:hAnsi="Arial"/>
          <w:b w:val="0"/>
          <w:color w:val="333333"/>
          <w:sz w:val="21"/>
        </w:rPr>
        <w:t>este app processa dados que podem conter informações pessoais (CPF, nome). Ele não exibe esses dados na tela nem os inclui no relatório Excel, e não envia nada para fora do computador.</w:t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center"/>
      <w:rPr/>
    </w:pPr>
    <w:r w:rsidDel="00000000" w:rsidR="00000000" w:rsidRPr="00000000">
      <w:rPr>
        <w:rFonts w:ascii="Roboto" w:cs="Roboto" w:eastAsia="Roboto" w:hAnsi="Roboto"/>
        <w:b w:val="1"/>
        <w:bCs w:val="1"/>
        <w:color w:val="619fb2"/>
        <w:rtl w:val="0"/>
      </w:rPr>
      <w:t>Manual do Usuário — Apuração de Sorteio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-895349</wp:posOffset>
          </wp:positionH>
          <wp:positionV relativeFrom="paragraph">
            <wp:posOffset>-342899</wp:posOffset>
          </wp:positionV>
          <wp:extent cx="7600950" cy="1069181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00950" cy="106918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