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122437"/>
          <w:sz w:val="44"/>
        </w:rPr>
        <w:t>BUFETE JMC Y ASOCIADOS</w:t>
      </w:r>
    </w:p>
    <w:p>
      <w:pPr>
        <w:jc w:val="center"/>
      </w:pPr>
      <w:r>
        <w:rPr>
          <w:rFonts w:ascii="Georgia" w:hAnsi="Georgia"/>
          <w:b/>
          <w:color w:val="AC7E37"/>
          <w:sz w:val="30"/>
        </w:rPr>
        <w:t>HONORARIOS PROFESIONALES</w:t>
      </w:r>
    </w:p>
    <w:p>
      <w:pPr>
        <w:jc w:val="center"/>
      </w:pPr>
      <w:r>
        <w:rPr>
          <w:rFonts w:ascii="Georgia" w:hAnsi="Georgia"/>
          <w:i/>
          <w:sz w:val="22"/>
        </w:rPr>
        <w:t>Especificación de página y calculadora de honorarios</w:t>
      </w:r>
    </w:p>
    <w:p>
      <w:r>
        <w:rPr>
          <w:rFonts w:ascii="Georgia" w:hAnsi="Georgia"/>
          <w:b/>
          <w:color w:val="122437"/>
          <w:sz w:val="32"/>
        </w:rPr>
        <w:t>1. Objetivo de la página</w:t>
      </w:r>
    </w:p>
    <w:p>
      <w:r>
        <w:t>La página de Honorarios debe ofrecer transparencia al visitante y permitirle obtener un ESTIMADO de honorarios profesionales sin abandonar la experiencia visual de Bufete JMC y Asociados.</w:t>
      </w:r>
    </w:p>
    <w:p>
      <w:r>
        <w:rPr>
          <w:b/>
          <w:color w:val="AC7E37"/>
          <w:sz w:val="24"/>
        </w:rPr>
        <w:t>Mensaje principal</w:t>
      </w:r>
    </w:p>
    <w:p>
      <w:r>
        <w:t>Claridad desde el inicio.</w:t>
      </w:r>
    </w:p>
    <w:p>
      <w:r>
        <w:t>Conozca un estimado de los honorarios profesionales según el Arancel del Colegio de Abogados y Abogadas de Costa Rica, sin salir de nuestra página.</w:t>
      </w:r>
    </w:p>
    <w:p>
      <w:r>
        <w:rPr>
          <w:rFonts w:ascii="Georgia" w:hAnsi="Georgia"/>
          <w:b/>
          <w:color w:val="122437"/>
          <w:sz w:val="32"/>
        </w:rPr>
        <w:t>2. Calculadora de Honorarios</w:t>
      </w:r>
    </w:p>
    <w:p>
      <w:r>
        <w:t>La pieza principal de la página será una calculadora integrada. No se deben copiar manualmente las tablas o tarifas del Colegio. La integración debe utilizar el mecanismo oficial autorizado para el cálculo de honorarios.</w:t>
      </w:r>
    </w:p>
    <w:p>
      <w:r>
        <w:rPr>
          <w:b/>
          <w:color w:val="AC7E37"/>
          <w:sz w:val="24"/>
        </w:rPr>
        <w:t>Flujo visual</w:t>
      </w:r>
    </w:p>
    <w:p>
      <w:pPr>
        <w:pStyle w:val="ListBullet"/>
        <w:spacing w:after="40"/>
      </w:pPr>
      <w:r>
        <w:t>1. Seleccione el tipo de servicio.</w:t>
      </w:r>
    </w:p>
    <w:p>
      <w:pPr>
        <w:pStyle w:val="ListBullet"/>
        <w:spacing w:after="40"/>
      </w:pPr>
      <w:r>
        <w:t>2. Seleccione el procedimiento.</w:t>
      </w:r>
    </w:p>
    <w:p>
      <w:pPr>
        <w:pStyle w:val="ListBullet"/>
        <w:spacing w:after="40"/>
      </w:pPr>
      <w:r>
        <w:t>3. Complete los datos que solicite el cálculo.</w:t>
      </w:r>
    </w:p>
    <w:p>
      <w:pPr>
        <w:pStyle w:val="ListBullet"/>
        <w:spacing w:after="40"/>
      </w:pPr>
      <w:r>
        <w:t>4. Obtenga un ESTIMADO de honorarios.</w:t>
      </w:r>
    </w:p>
    <w:p>
      <w:r>
        <w:rPr>
          <w:b/>
          <w:color w:val="AC7E37"/>
          <w:sz w:val="24"/>
        </w:rPr>
        <w:t>Resultado</w:t>
      </w:r>
    </w:p>
    <w:p>
      <w:r>
        <w:t>El resultado debe mostrarse claramente como ESTIMADO DE HONORARIOS. Nunca presentarlo como una cotización definitiva, precio fijo o compromiso de honorarios.</w:t>
      </w:r>
    </w:p>
    <w:p>
      <w:r>
        <w:rPr>
          <w:rFonts w:ascii="Georgia" w:hAnsi="Georgia"/>
          <w:b/>
          <w:color w:val="122437"/>
          <w:sz w:val="32"/>
        </w:rPr>
        <w:t>3. Aviso obligatorio sobre el resultado</w:t>
      </w:r>
    </w:p>
    <w:p>
      <w:r>
        <w:rPr>
          <w:b/>
        </w:rPr>
        <w:t>Este monto es únicamente un estimado basado en la información proporcionada y en los parámetros aplicables del Arancel de Honorarios. El monto definitivo puede variar según las características, complejidad y alcance del asunto, y será confirmado por el profesional antes de la contratación del servicio.</w:t>
      </w:r>
    </w:p>
    <w:p>
      <w:r>
        <w:rPr>
          <w:rFonts w:ascii="Georgia" w:hAnsi="Georgia"/>
          <w:b/>
          <w:color w:val="122437"/>
          <w:sz w:val="32"/>
        </w:rPr>
        <w:t>4. Integración con el Colegio de Abogados y Abogadas de Costa Rica</w:t>
      </w:r>
    </w:p>
    <w:p>
      <w:r>
        <w:t>Para esta demo se asume que Bufete JMC y Asociados cuenta con la autorización correspondiente para utilizar la herramienta/API del Colegio. La implementación debe consumir el sistema oficial en lugar de mantener una tabla propia de tarifas.</w:t>
      </w:r>
    </w:p>
    <w:p>
      <w:r>
        <w:rPr>
          <w:b/>
          <w:color w:val="AC7E37"/>
          <w:sz w:val="24"/>
        </w:rPr>
        <w:t>Fuente oficial confirmada</w:t>
      </w:r>
    </w:p>
    <w:p>
      <w:r>
        <w:t>El Colegio anunció en noviembre de 2025 su Módulo de Cálculo de Honorarios, una herramienta gratuita para calcular aranceles y honorarios profesionales en diversas áreas del Derecho.</w:t>
      </w:r>
    </w:p>
    <w:p>
      <w:r>
        <w:t>Página oficial del módulo:</w:t>
      </w:r>
    </w:p>
    <w:p>
      <w:r>
        <w:t>https://www.abogados.or.cr/nuevos-modulos-digitales-carne-digital-y-calculo-de-honorarios/</w:t>
      </w:r>
    </w:p>
    <w:p>
      <w:r>
        <w:rPr>
          <w:b/>
          <w:color w:val="AC7E37"/>
          <w:sz w:val="24"/>
        </w:rPr>
        <w:t>Dónde encontrar la herramienta</w:t>
      </w:r>
    </w:p>
    <w:p>
      <w:r>
        <w:t>La información oficial del Colegio indica que el módulo de cálculo está disponible dentro de la aplicación móvil institucional CAAB_CR. También existe una plataforma web del Colegio para determinados servicios. Para la integración técnica de JMC, se debe utilizar el acceso/API autorizado por el Colegio, no intentar extraer ni copiar manualmente la herramienta.</w:t>
      </w:r>
    </w:p>
    <w:p>
      <w:r>
        <w:rPr>
          <w:b/>
          <w:color w:val="AC7E37"/>
          <w:sz w:val="24"/>
        </w:rPr>
        <w:t>API oficial</w:t>
      </w:r>
    </w:p>
    <w:p>
      <w:r>
        <w:t>El acta de Junta Directiva del Colegio de fecha 27 de mayo de 2025 registra la aprobación del convenio para el acceso al API denominado “Cálculo de Honorarios Profesionales de Abogacía y Notariado”.</w:t>
      </w:r>
    </w:p>
    <w:p>
      <w:r>
        <w:t>Referencia oficial del acuerdo:</w:t>
      </w:r>
    </w:p>
    <w:p>
      <w:r>
        <w:t>https://www.abogados.or.cr/uploads/CMS/actas/documentos/actas2025/ACTA_N_21-25.pdf</w:t>
      </w:r>
    </w:p>
    <w:p>
      <w:r>
        <w:rPr>
          <w:b/>
          <w:color w:val="AC7E37"/>
          <w:sz w:val="24"/>
        </w:rPr>
        <w:t>Instrucción para Cloud / implementación técnica</w:t>
      </w:r>
    </w:p>
    <w:p>
      <w:r>
        <w:rPr>
          <w:b/>
        </w:rPr>
        <w:t>Cloud: para localizar la herramienta oficial, revisar primero la página del Colegio sobre el Módulo de Cálculo de Honorarios y, para la integración, utilizar el convenio/API oficial de “Cálculo de Honorarios Profesionales de Abogacía y Notariado”. No crear una tabla propia de honorarios ni copiar los valores del Colegio. La página de JMC debe consumir la fuente oficial.</w:t>
      </w:r>
    </w:p>
    <w:p>
      <w:r>
        <w:rPr>
          <w:rFonts w:ascii="Georgia" w:hAnsi="Georgia"/>
          <w:b/>
          <w:color w:val="122437"/>
          <w:sz w:val="32"/>
        </w:rPr>
        <w:t>5. Diseño de la página</w:t>
      </w:r>
    </w:p>
    <w:p>
      <w:pPr>
        <w:pStyle w:val="ListBullet"/>
        <w:spacing w:after="40"/>
      </w:pPr>
      <w:r>
        <w:t>Hero: “Honorarios Profesionales”.</w:t>
      </w:r>
    </w:p>
    <w:p>
      <w:pPr>
        <w:pStyle w:val="ListBullet"/>
        <w:spacing w:after="40"/>
      </w:pPr>
      <w:r>
        <w:t>Submensaje: “Claridad desde el inicio.”</w:t>
      </w:r>
    </w:p>
    <w:p>
      <w:pPr>
        <w:pStyle w:val="ListBullet"/>
        <w:spacing w:after="40"/>
      </w:pPr>
      <w:r>
        <w:t>Imagen de fondo sobria con biblioteca jurídica y figura de la Justicia.</w:t>
      </w:r>
    </w:p>
    <w:p>
      <w:pPr>
        <w:pStyle w:val="ListBullet"/>
        <w:spacing w:after="40"/>
      </w:pPr>
      <w:r>
        <w:t>Calculadora central en un panel claro, elegante y fácil de usar.</w:t>
      </w:r>
    </w:p>
    <w:p>
      <w:pPr>
        <w:pStyle w:val="ListBullet"/>
        <w:spacing w:after="40"/>
      </w:pPr>
      <w:r>
        <w:t>Panel separado para mostrar el estimado.</w:t>
      </w:r>
    </w:p>
    <w:p>
      <w:pPr>
        <w:pStyle w:val="ListBullet"/>
        <w:spacing w:after="40"/>
      </w:pPr>
      <w:r>
        <w:t>Franja de beneficios: Información oficial · Sin salir de nuestra página · Ahorre tiempo · Acompañamiento profesional.</w:t>
      </w:r>
    </w:p>
    <w:p>
      <w:pPr>
        <w:pStyle w:val="ListBullet"/>
        <w:spacing w:after="40"/>
      </w:pPr>
      <w:r>
        <w:t>CTA: “¿Necesita una orientación sobre su caso? — Agendar una consulta”.</w:t>
      </w:r>
    </w:p>
    <w:p>
      <w:r>
        <w:rPr>
          <w:rFonts w:ascii="Georgia" w:hAnsi="Georgia"/>
          <w:b/>
          <w:color w:val="122437"/>
          <w:sz w:val="32"/>
        </w:rPr>
        <w:t>6. Identidad visual</w:t>
      </w:r>
    </w:p>
    <w:p>
      <w:r>
        <w:t>Mantener el lenguaje visual de todo el sitio: azul marino profundo, crema/ivory, dorado champagne, tipografía serif elegante combinada con sans serif moderna y abundante espacio visual.</w:t>
      </w:r>
    </w:p>
    <w:p>
      <w:r>
        <w:rPr>
          <w:b/>
          <w:color w:val="AC7E37"/>
          <w:sz w:val="24"/>
        </w:rPr>
        <w:t>Footer permanente del sitio</w:t>
      </w:r>
    </w:p>
    <w:p>
      <w:r>
        <w:t>Todas las páginas deben cerrar con una franja de footer completamente NEGRA, con textos, números e iconos en BLANCO y detalles dorados sutiles. Esta regla se mantiene en todo el sitio JMC.</w:t>
      </w:r>
    </w:p>
    <w:p>
      <w:r>
        <w:rPr>
          <w:rFonts w:ascii="Georgia" w:hAnsi="Georgia"/>
          <w:b/>
          <w:color w:val="122437"/>
          <w:sz w:val="32"/>
        </w:rPr>
        <w:t>7. CTA final</w:t>
      </w:r>
    </w:p>
    <w:p>
      <w:r>
        <w:t>¿Necesita una orientación sobre su caso?</w:t>
      </w:r>
    </w:p>
    <w:p>
      <w:r>
        <w:t>Nuestro equipo está listo para asesorarle.</w:t>
      </w:r>
    </w:p>
    <w:p>
      <w:r>
        <w:t>Botón: Agendar una consulta</w:t>
      </w:r>
    </w:p>
    <w:p>
      <w:r>
        <w:rPr>
          <w:rFonts w:ascii="Georgia" w:hAnsi="Georgia"/>
          <w:b/>
          <w:color w:val="122437"/>
          <w:sz w:val="32"/>
        </w:rPr>
        <w:t>8. Nota para Juris</w:t>
      </w:r>
    </w:p>
    <w:p>
      <w:r>
        <w:t>Juris puede explicar que la calculadora proporciona un estimado y dirigir al visitante a la sección de Honorarios. Si la persona tiene una consulta jurídica concreta que requiere análisis, debe derivarla al profesional correspondiente. Si Juris no logra identificar el área o no sabe a quién dirigirla, debe enviarla por defecto al Lic. Ramiro Cárdenas.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Bufete JMC y Asociados · Honorarios Profesionales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