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60"/>
        </w:rPr>
        <w:t>SALUD INTEGRAL</w:t>
      </w:r>
    </w:p>
    <w:p>
      <w:pPr>
        <w:jc w:val="center"/>
      </w:pPr>
      <w:r>
        <w:rPr>
          <w:b/>
          <w:sz w:val="30"/>
        </w:rPr>
        <w:t>DOCUMENTO MAESTRO — WEB V2</w:t>
      </w:r>
    </w:p>
    <w:p>
      <w:pPr>
        <w:jc w:val="center"/>
      </w:pPr>
      <w:r>
        <w:rPr>
          <w:i/>
        </w:rPr>
        <w:t>Home + Alimentación consciente + contenidos editoriales</w:t>
        <w:br/>
        <w:t>Versión de trabajo para diseño, copy y desarrollo</w:t>
      </w:r>
    </w:p>
    <w:p>
      <w:r>
        <w:rPr>
          <w:b/>
        </w:rPr>
        <w:t xml:space="preserve">FUENTE DE VERDAD DEL PROYECTO. </w:t>
      </w:r>
      <w:r>
        <w:t>Consolida las decisiones aprobadas hasta ahora. No cambiar nombres, estructura, precios, enlaces, enfoque o funcionalidades sin consultarlo.</w:t>
      </w:r>
    </w:p>
    <w:p>
      <w:pPr>
        <w:pStyle w:val="Heading1"/>
      </w:pPr>
      <w:r>
        <w:t>1. Objetivo general del sitio</w:t>
      </w:r>
    </w:p>
    <w:p>
      <w:r>
        <w:t>Salud Integral debe funcionar como un sitio comercial de recursos de bienestar: claro, cálido, profesional y capaz de llevar a una visitante desde un tema de interés hasta un recurso, producto o acompañamiento, sin depender de una conversación previa.</w:t>
      </w:r>
    </w:p>
    <w:p>
      <w:pPr>
        <w:pStyle w:val="ListBullet"/>
      </w:pPr>
      <w:r>
        <w:t>Priorizar productos y recursos autónomos.</w:t>
      </w:r>
    </w:p>
    <w:p>
      <w:pPr>
        <w:pStyle w:val="ListBullet"/>
      </w:pPr>
      <w:r>
        <w:t>Usar el blog como biblioteca y puerta de entrada.</w:t>
      </w:r>
    </w:p>
    <w:p>
      <w:pPr>
        <w:pStyle w:val="ListBullet"/>
      </w:pPr>
      <w:r>
        <w:t>Presentar alimentación, hábitos y prácticas de regulación como herramientas de bienestar.</w:t>
      </w:r>
    </w:p>
    <w:p>
      <w:pPr>
        <w:pStyle w:val="ListBullet"/>
      </w:pPr>
      <w:r>
        <w:t>Evitar diagnóstico, tratamiento, curación y promesas de resultados clínicos.</w:t>
      </w:r>
    </w:p>
    <w:p>
      <w:pPr>
        <w:pStyle w:val="ListBullet"/>
      </w:pPr>
      <w:r>
        <w:t>No presentar a Tatiana como psicóloga, psicoterapeuta ni como profesional clínica habilitada en Costa Rica.</w:t>
      </w:r>
    </w:p>
    <w:p>
      <w:pPr>
        <w:pStyle w:val="Heading1"/>
      </w:pPr>
      <w:r>
        <w:t>2. Navegación principal</w:t>
      </w:r>
    </w:p>
    <w:p>
      <w:pPr>
        <w:pStyle w:val="ListBullet"/>
      </w:pPr>
      <w:r>
        <w:t>Inicio</w:t>
      </w:r>
    </w:p>
    <w:p>
      <w:pPr>
        <w:pStyle w:val="ListBullet"/>
      </w:pPr>
      <w:r>
        <w:t>Alimentación</w:t>
      </w:r>
    </w:p>
    <w:p>
      <w:pPr>
        <w:pStyle w:val="ListBullet"/>
      </w:pPr>
      <w:r>
        <w:t>Hábitos y bienestar</w:t>
      </w:r>
    </w:p>
    <w:p>
      <w:pPr>
        <w:pStyle w:val="ListBullet"/>
      </w:pPr>
      <w:r>
        <w:t>Mente tranquila / Rumiación</w:t>
      </w:r>
    </w:p>
    <w:p>
      <w:pPr>
        <w:pStyle w:val="ListBullet"/>
      </w:pPr>
      <w:r>
        <w:t>Recursos</w:t>
      </w:r>
    </w:p>
    <w:p>
      <w:pPr>
        <w:pStyle w:val="ListBullet"/>
      </w:pPr>
      <w:r>
        <w:t>Sobre mí</w:t>
      </w:r>
    </w:p>
    <w:p>
      <w:pPr>
        <w:pStyle w:val="ListBullet"/>
      </w:pPr>
      <w:r>
        <w:t>Blog</w:t>
      </w:r>
    </w:p>
    <w:p>
      <w:pPr>
        <w:pStyle w:val="ListBullet"/>
      </w:pPr>
      <w:r>
        <w:t>Contacto</w:t>
      </w:r>
    </w:p>
    <w:p>
      <w:r>
        <w:t>CTA principal del Home: «Explora nuestras soluciones».</w:t>
      </w:r>
    </w:p>
    <w:p>
      <w:pPr>
        <w:pStyle w:val="Heading1"/>
      </w:pPr>
      <w:r>
        <w:t>3. HOME — contenido de trabajo</w:t>
      </w:r>
    </w:p>
    <w:p>
      <w:pPr>
        <w:pStyle w:val="Heading2"/>
      </w:pPr>
      <w:r>
        <w:t>Hero</w:t>
      </w:r>
    </w:p>
    <w:p>
      <w:r>
        <w:t>H1: «Tu bienestar, en tus manos»</w:t>
      </w:r>
    </w:p>
    <w:p>
      <w:r>
        <w:t>Subtítulo: «Herramientas prácticas para tu vida cotidiana. Explora, aprende y crea cambios reales a tu ritmo.»</w:t>
      </w:r>
    </w:p>
    <w:p>
      <w:r>
        <w:t>CTA: «Explora nuestras soluciones →»</w:t>
      </w:r>
    </w:p>
    <w:p>
      <w:pPr>
        <w:pStyle w:val="ListBullet"/>
      </w:pPr>
      <w:r>
        <w:t>Conocimiento en un solo lugar</w:t>
      </w:r>
    </w:p>
    <w:p>
      <w:pPr>
        <w:pStyle w:val="ListBullet"/>
      </w:pPr>
      <w:r>
        <w:t>Recursos prácticos</w:t>
      </w:r>
    </w:p>
    <w:p>
      <w:pPr>
        <w:pStyle w:val="ListBullet"/>
      </w:pPr>
      <w:r>
        <w:t>100% online desde cualquier lugar</w:t>
      </w:r>
    </w:p>
    <w:p>
      <w:pPr>
        <w:pStyle w:val="ListBullet"/>
      </w:pPr>
      <w:r>
        <w:t>Para tu vida real</w:t>
      </w:r>
    </w:p>
    <w:p>
      <w:pPr>
        <w:pStyle w:val="Heading2"/>
      </w:pPr>
      <w:r>
        <w:t>Tres áreas principales</w:t>
      </w:r>
    </w:p>
    <w:p>
      <w:r>
        <w:rPr>
          <w:b/>
        </w:rPr>
        <w:t>Alimentación / Salud digestiva</w:t>
        <w:br/>
      </w:r>
      <w:r>
        <w:t>Ideas, recursos y herramientas relacionados con alimentación y bienestar digestivo.</w:t>
        <w:br/>
      </w:r>
      <w:r>
        <w:rPr>
          <w:i/>
        </w:rPr>
        <w:t>CTA: Explorar alimentación →</w:t>
      </w:r>
    </w:p>
    <w:p>
      <w:r>
        <w:rPr>
          <w:b/>
        </w:rPr>
        <w:t>Hábitos y bienestar</w:t>
        <w:br/>
      </w:r>
      <w:r>
        <w:t>Recursos prácticos para construir rutinas y realizar cambios sostenibles en la vida cotidiana.</w:t>
        <w:br/>
      </w:r>
      <w:r>
        <w:rPr>
          <w:i/>
        </w:rPr>
        <w:t>CTA: Explorar hábitos →</w:t>
      </w:r>
    </w:p>
    <w:p>
      <w:r>
        <w:rPr>
          <w:b/>
        </w:rPr>
        <w:t>Mente tranquila / Rumiación</w:t>
        <w:br/>
      </w:r>
      <w:r>
        <w:t>Recursos para trabajar el pensamiento repetitivo y desarrollar prácticas de mayor presencia y pausa.</w:t>
        <w:br/>
      </w:r>
      <w:r>
        <w:rPr>
          <w:i/>
        </w:rPr>
        <w:t>CTA: Explorar mente tranquila →</w:t>
      </w:r>
    </w:p>
    <w:p>
      <w:pPr>
        <w:pStyle w:val="Heading2"/>
      </w:pPr>
      <w:r>
        <w:t>Herramientas / enfoque</w:t>
      </w:r>
    </w:p>
    <w:p>
      <w:pPr>
        <w:pStyle w:val="ListBullet"/>
      </w:pPr>
      <w:r>
        <w:t>Alimentación consciente</w:t>
      </w:r>
    </w:p>
    <w:p>
      <w:pPr>
        <w:pStyle w:val="ListBullet"/>
      </w:pPr>
      <w:r>
        <w:t>Movimiento y vitalidad</w:t>
      </w:r>
    </w:p>
    <w:p>
      <w:pPr>
        <w:pStyle w:val="ListBullet"/>
      </w:pPr>
      <w:r>
        <w:t>Respiración y relajación</w:t>
      </w:r>
    </w:p>
    <w:p>
      <w:pPr>
        <w:pStyle w:val="ListBullet"/>
      </w:pPr>
      <w:r>
        <w:t>Manejo del estrés cotidiano</w:t>
      </w:r>
    </w:p>
    <w:p>
      <w:pPr>
        <w:pStyle w:val="ListBullet"/>
      </w:pPr>
      <w:r>
        <w:t>Hábitos sostenibles</w:t>
      </w:r>
    </w:p>
    <w:p>
      <w:pPr>
        <w:pStyle w:val="ListBullet"/>
      </w:pPr>
      <w:r>
        <w:t>Toma de decisiones y bienestar personal</w:t>
      </w:r>
    </w:p>
    <w:p>
      <w:r>
        <w:t>Estas se presentan como herramientas y prácticas, no como tratamientos médicos ni promesas de resultados clínicos.</w:t>
      </w:r>
    </w:p>
    <w:p>
      <w:pPr>
        <w:pStyle w:val="Heading2"/>
      </w:pPr>
      <w:r>
        <w:t>Recursos</w:t>
      </w:r>
    </w:p>
    <w:p>
      <w:pPr>
        <w:pStyle w:val="ListBullet"/>
      </w:pPr>
      <w:r>
        <w:t>Libros</w:t>
      </w:r>
    </w:p>
    <w:p>
      <w:pPr>
        <w:pStyle w:val="ListBullet"/>
      </w:pPr>
      <w:r>
        <w:t>Curso online «Cuando tu cabeza no para»</w:t>
      </w:r>
    </w:p>
    <w:p>
      <w:pPr>
        <w:pStyle w:val="ListBullet"/>
      </w:pPr>
      <w:r>
        <w:t>Guías y descargables</w:t>
      </w:r>
    </w:p>
    <w:p>
      <w:pPr>
        <w:pStyle w:val="ListBullet"/>
      </w:pPr>
      <w:r>
        <w:t>Recursos de alimentación y hábitos</w:t>
      </w:r>
    </w:p>
    <w:p>
      <w:r>
        <w:t>CTA: «Explora todos los recursos →»</w:t>
      </w:r>
    </w:p>
    <w:p>
      <w:pPr>
        <w:pStyle w:val="Heading2"/>
      </w:pPr>
      <w:r>
        <w:t>Arquitectura comercial</w:t>
      </w:r>
    </w:p>
    <w:p>
      <w:r>
        <w:t>HOME → área de interés → contenido/recurso gratuito → producto digital o informe → acompañamiento individual cuando corresponda.</w:t>
      </w:r>
    </w:p>
    <w:p>
      <w:r>
        <w:t>La visitante debe poder entender, explorar y comprar un recurso sin tener que hablar directamente con Tatiana.</w:t>
      </w:r>
    </w:p>
    <w:p>
      <w:pPr>
        <w:pStyle w:val="Heading1"/>
      </w:pPr>
      <w:r>
        <w:t>4. PÁGINA — ALIMENTACIÓN CONSCIENTE</w:t>
      </w:r>
    </w:p>
    <w:p>
      <w:r>
        <w:t>Esta página funciona como HUB. No reemplaza las landings existentes: las organiza y les da contexto.</w:t>
      </w:r>
    </w:p>
    <w:p>
      <w:pPr>
        <w:pStyle w:val="Heading2"/>
      </w:pPr>
      <w:r>
        <w:t>Hero</w:t>
      </w:r>
    </w:p>
    <w:p>
      <w:r>
        <w:t>Eyebrow: «ALIMENTACIÓN CONSCIENTE»</w:t>
      </w:r>
    </w:p>
    <w:p>
      <w:r>
        <w:t>H1: «Alimentación consciente»</w:t>
      </w:r>
    </w:p>
    <w:p>
      <w:r>
        <w:t>Texto: «Explora herramientas y recursos para observar tus hábitos de alimentación y construir cambios que puedan integrarse en tu vida cotidiana.»</w:t>
      </w:r>
    </w:p>
    <w:p>
      <w:r>
        <w:t>CTA: «Explorar recursos →»</w:t>
      </w:r>
    </w:p>
    <w:p>
      <w:r>
        <w:t>Apoyos: «Hábitos reales · Ideas prácticas · Más bienestar · A tu propio ritmo»</w:t>
      </w:r>
    </w:p>
    <w:p>
      <w:pPr>
        <w:pStyle w:val="Heading2"/>
      </w:pPr>
      <w:r>
        <w:t>¿Qué te trae por aquí?</w:t>
      </w:r>
    </w:p>
    <w:p>
      <w:r>
        <w:t>«Explora los temas que más te interesan. Puedes leer artículos, acceder a recursos o conocer nuestras opciones de acompañamiento.»</w:t>
      </w:r>
    </w:p>
    <w:p>
      <w:r>
        <w:rPr>
          <w:b/>
        </w:rPr>
        <w:t>Bajar de peso</w:t>
        <w:br/>
      </w:r>
      <w:r>
        <w:t>Recursos para explorar tus hábitos, alimentación y comportamiento alrededor del peso.</w:t>
        <w:br/>
      </w:r>
      <w:r>
        <w:rPr>
          <w:i/>
        </w:rPr>
        <w:t>CTA: Ver recursos →</w:t>
        <w:br/>
      </w:r>
      <w:r>
        <w:t>Imagen: Bodegón de alimentos, cuaderno, agua y romero; sin balanza ni cinta.</w:t>
      </w:r>
    </w:p>
    <w:p>
      <w:r>
        <w:rPr>
          <w:b/>
        </w:rPr>
        <w:t>Salud digestiva</w:t>
        <w:br/>
      </w:r>
      <w:r>
        <w:t>Información y recursos relacionados con el bienestar digestivo a través de la alimentación.</w:t>
        <w:br/>
      </w:r>
      <w:r>
        <w:rPr>
          <w:i/>
        </w:rPr>
        <w:t>CTA: Explorar →</w:t>
        <w:br/>
      </w:r>
      <w:r>
        <w:t>Imagen: Mujer en cocina luminosa; verduras, hierbas, fermentos y kéfir.</w:t>
      </w:r>
    </w:p>
    <w:p>
      <w:r>
        <w:rPr>
          <w:b/>
        </w:rPr>
        <w:t>Alimentación y emociones</w:t>
        <w:br/>
      </w:r>
      <w:r>
        <w:t>Explora cómo emociones, pensamientos y situaciones cotidianas pueden relacionarse con tu forma de comer.</w:t>
        <w:br/>
      </w:r>
      <w:r>
        <w:rPr>
          <w:i/>
        </w:rPr>
        <w:t>CTA: Explorar →</w:t>
        <w:br/>
      </w:r>
      <w:r>
        <w:t>Imagen: Mujer tranquila ante una mesa, comida sencilla, taza y cuaderno.</w:t>
      </w:r>
    </w:p>
    <w:p>
      <w:r>
        <w:rPr>
          <w:b/>
        </w:rPr>
        <w:t>Informe personalizado</w:t>
        <w:br/>
      </w:r>
      <w:r>
        <w:t>Completa un cuestionario sobre tus hábitos y recibe un análisis personalizado con observaciones y recomendaciones prácticas.</w:t>
        <w:br/>
      </w:r>
      <w:r>
        <w:rPr>
          <w:i/>
        </w:rPr>
        <w:t>CTA: Ver detalles →</w:t>
        <w:br/>
      </w:r>
      <w:r>
        <w:t>Imagen: Escritorio cálido con laptop, cuestionario, bolígrafo, té y planta.</w:t>
      </w:r>
    </w:p>
    <w:p>
      <w:pPr>
        <w:pStyle w:val="Heading2"/>
      </w:pPr>
      <w:r>
        <w:t>Tu enfoque</w:t>
      </w:r>
    </w:p>
    <w:p>
      <w:r>
        <w:t>No presentar la alimentación como una lista perfecta de reglas. El enfoque verbal y visual gira alrededor de observación, hábitos, contexto, curiosidad y herramientas prácticas.</w:t>
      </w:r>
    </w:p>
    <w:p>
      <w:pPr>
        <w:pStyle w:val="Heading2"/>
      </w:pPr>
      <w:r>
        <w:t>Oferta destacada — Informe personalizado de alimentación</w:t>
      </w:r>
    </w:p>
    <w:p>
      <w:r>
        <w:t>Precio actual: USD 15</w:t>
      </w:r>
    </w:p>
    <w:p>
      <w:pPr>
        <w:pStyle w:val="ListBullet"/>
      </w:pPr>
      <w:r>
        <w:t>Cuestionario previo.</w:t>
      </w:r>
    </w:p>
    <w:p>
      <w:pPr>
        <w:pStyle w:val="ListBullet"/>
      </w:pPr>
      <w:r>
        <w:t>Análisis personalizado.</w:t>
      </w:r>
    </w:p>
    <w:p>
      <w:pPr>
        <w:pStyle w:val="ListBullet"/>
      </w:pPr>
      <w:r>
        <w:t>Observaciones y recomendaciones prácticas.</w:t>
      </w:r>
    </w:p>
    <w:p>
      <w:pPr>
        <w:pStyle w:val="ListBullet"/>
      </w:pPr>
      <w:r>
        <w:t>Entrega indicada actualmente: hasta 48 horas.</w:t>
      </w:r>
    </w:p>
    <w:p>
      <w:pPr>
        <w:pStyle w:val="ListBullet"/>
      </w:pPr>
      <w:r>
        <w:t>Finalidad educativa y de acompañamiento personal.</w:t>
      </w:r>
    </w:p>
    <w:p>
      <w:r>
        <w:t>CTA: «Quiero mi informe →»</w:t>
      </w:r>
    </w:p>
    <w:p>
      <w:pPr>
        <w:pStyle w:val="Heading2"/>
      </w:pPr>
      <w:r>
        <w:t>Acompañamiento individual</w:t>
      </w:r>
    </w:p>
    <w:p>
      <w:r>
        <w:t>Sesión online · 60 minutos · USD 50</w:t>
      </w:r>
    </w:p>
    <w:p>
      <w:r>
        <w:t>«Si prefieres un acompañamiento más personalizado, puedes conocer la opción de sesión individual online.»</w:t>
      </w:r>
    </w:p>
    <w:p>
      <w:r>
        <w:t>CTA: «Conocer el acompañamiento →»</w:t>
      </w:r>
    </w:p>
    <w:p>
      <w:pPr>
        <w:pStyle w:val="Heading2"/>
      </w:pPr>
      <w:r>
        <w:t>Puente hacia Mente tranquila / Rumiación</w:t>
      </w:r>
    </w:p>
    <w:p>
      <w:r>
        <w:t>Título: «Cuando comer no es solamente comer»</w:t>
      </w:r>
    </w:p>
    <w:p>
      <w:r>
        <w:t>«A veces nuestros hábitos están relacionados con pensamientos repetitivos, emociones y situaciones que vivimos diariamente.»</w:t>
      </w:r>
    </w:p>
    <w:p>
      <w:r>
        <w:t>CTA: «Conoce el curso “Cuando tu cabeza no para” →»</w:t>
      </w:r>
    </w:p>
    <w:p>
      <w:pPr>
        <w:pStyle w:val="Heading2"/>
      </w:pPr>
      <w:r>
        <w:t>Romero — chatbot</w:t>
      </w:r>
    </w:p>
    <w:p>
      <w:r>
        <w:t>Widget flotante de orientación. No diagnostica ni interpreta síntomas.</w:t>
      </w:r>
    </w:p>
    <w:p>
      <w:pPr>
        <w:pStyle w:val="ListBullet"/>
      </w:pPr>
      <w:r>
        <w:t>Alimentación / salud digestiva</w:t>
      </w:r>
    </w:p>
    <w:p>
      <w:pPr>
        <w:pStyle w:val="ListBullet"/>
      </w:pPr>
      <w:r>
        <w:t>Hábitos y bienestar</w:t>
      </w:r>
    </w:p>
    <w:p>
      <w:pPr>
        <w:pStyle w:val="ListBullet"/>
      </w:pPr>
      <w:r>
        <w:t>Mente tranquila / rumiación</w:t>
      </w:r>
    </w:p>
    <w:p>
      <w:pPr>
        <w:pStyle w:val="ListBullet"/>
      </w:pPr>
      <w:r>
        <w:t>Cursos, libros y recursos</w:t>
      </w:r>
    </w:p>
    <w:p>
      <w:pPr>
        <w:pStyle w:val="ListBullet"/>
      </w:pPr>
      <w:r>
        <w:t>Conocer a Tatiana</w:t>
      </w:r>
    </w:p>
    <w:p>
      <w:pPr>
        <w:pStyle w:val="ListBullet"/>
      </w:pPr>
      <w:r>
        <w:t>Tengo una pregunta</w:t>
      </w:r>
    </w:p>
    <w:p>
      <w:pPr>
        <w:pStyle w:val="Heading1"/>
      </w:pPr>
      <w:r>
        <w:t>5. LANDING EXISTENTE — BAJAR DE PESO</w:t>
      </w:r>
    </w:p>
    <w:p>
      <w:r>
        <w:t>La landing existente se conserva como página comercial específica y queda enlazada desde el HUB.</w:t>
      </w:r>
    </w:p>
    <w:p>
      <w:r>
        <w:rPr>
          <w:b/>
        </w:rPr>
        <w:t xml:space="preserve">Landing actual: </w:t>
      </w:r>
      <w:r>
        <w:t>https://www.saludintegral.site/p/bajar-de-peso_050709513.html</w:t>
      </w:r>
    </w:p>
    <w:p>
      <w:r>
        <w:t>La página actual contiene opciones de USD 15 y USD 50. Antes de republicarla dentro del nuevo sitio hay que revisar expresiones que sugieran tratamiento clínico, psicología clínica, fitoterapia clínica, activación del metabolismo o promesas de pérdida de peso/resultados.</w:t>
      </w:r>
    </w:p>
    <w:p>
      <w:r>
        <w:t>No borrar la landing: limpiarla y reposicionarla.</w:t>
      </w:r>
    </w:p>
    <w:p>
      <w:pPr>
        <w:pStyle w:val="Heading1"/>
      </w:pPr>
      <w:r>
        <w:t>6. ARTÍCULOS Y RECURSOS GRATUITOS</w:t>
      </w:r>
    </w:p>
    <w:p>
      <w:r>
        <w:t>Los seis artículos proporcionados se integran como contenido real. Las imágenes deben ser editoriales y específicas de cada tema; no deben introducir claims médicos nuevos.</w:t>
      </w:r>
    </w:p>
    <w:p>
      <w:r>
        <w:rPr>
          <w:b/>
        </w:rPr>
        <w:t>1. Por qué tu dieta restrictiva te mantiene inflamada? El camino de vuelta a la calma digestiva</w:t>
      </w:r>
    </w:p>
    <w:p>
      <w:r>
        <w:rPr>
          <w:b/>
        </w:rPr>
        <w:t xml:space="preserve">URL: </w:t>
      </w:r>
      <w:r>
        <w:t>https://www.saludintegral.site/2026/07/por-que-tu-dieta-restrictiva-te.html</w:t>
      </w:r>
    </w:p>
    <w:p>
      <w:r>
        <w:t>Imagen: Alimentos reales, verduras, pan/ingredientes, fermento o kéfir, cuaderno y cocina. Sensación de pasar de la restricción a una relación más curiosa y flexible con la comida.</w:t>
      </w:r>
    </w:p>
    <w:p>
      <w:r>
        <w:rPr>
          <w:b/>
        </w:rPr>
        <w:t>2. El Segundo Cerebro y la Menopausia: Cómo el Kéfir de Leche Alivia los Cambios de Humor</w:t>
      </w:r>
    </w:p>
    <w:p>
      <w:r>
        <w:rPr>
          <w:b/>
        </w:rPr>
        <w:t xml:space="preserve">URL: </w:t>
      </w:r>
      <w:r>
        <w:t>https://www.saludintegral.site/2026/06/el-segundo-cerebro-y-la-menopausia-como.html</w:t>
      </w:r>
    </w:p>
    <w:p>
      <w:r>
        <w:t>Imagen: Frasco de kéfir, granos de kéfir, leche, frutas/semillas y luz cálida. Estética adulta y editorial; sin cerebro anatómico ni gráficos médicos.</w:t>
      </w:r>
    </w:p>
    <w:p>
      <w:r>
        <w:rPr>
          <w:b/>
        </w:rPr>
        <w:t>3. ¿Y si el problema está en tu microbiota?</w:t>
      </w:r>
    </w:p>
    <w:p>
      <w:r>
        <w:rPr>
          <w:b/>
        </w:rPr>
        <w:t xml:space="preserve">URL: </w:t>
      </w:r>
      <w:r>
        <w:t>https://www.saludintegral.site/2026/06/y-si-el-problema-esta-en-tu-microbiota.html</w:t>
      </w:r>
    </w:p>
    <w:p>
      <w:r>
        <w:t>Imagen: Fermentados, kéfir, chucrut/vegetales fermentados, semillas y verduras. Sin dibujos de intestinos ni imágenes clínicas.</w:t>
      </w:r>
    </w:p>
    <w:p>
      <w:r>
        <w:rPr>
          <w:b/>
        </w:rPr>
        <w:t>4. El Impacto de la Creatina en la Transición Menopáusica: Masa Muscular, Densidad Ósea y Energía Cerebral</w:t>
      </w:r>
    </w:p>
    <w:p>
      <w:r>
        <w:rPr>
          <w:b/>
        </w:rPr>
        <w:t xml:space="preserve">URL: </w:t>
      </w:r>
      <w:r>
        <w:t>https://www.saludintegral.site/2026/05/el-impacto-de-la-creatina-en-la.html</w:t>
      </w:r>
    </w:p>
    <w:p>
      <w:r>
        <w:t>Imagen: Recipiente sencillo de creatina, agua, alimentos/semillas y cuaderno. Adulto, limpio y natural; sin estética de gimnasio.</w:t>
      </w:r>
    </w:p>
    <w:p>
      <w:r>
        <w:rPr>
          <w:b/>
        </w:rPr>
        <w:t>5. ¿Tu «dieta saludable» está alimentando a tu Candida? (Lo que nadie te cuenta sobre el pan y la fruta)</w:t>
      </w:r>
    </w:p>
    <w:p>
      <w:r>
        <w:rPr>
          <w:b/>
        </w:rPr>
        <w:t xml:space="preserve">URL: </w:t>
      </w:r>
      <w:r>
        <w:t>https://www.saludintegral.site/2026/01/tu-dieta-saludable-esta-alimentando-tu.html</w:t>
      </w:r>
    </w:p>
    <w:p>
      <w:r>
        <w:t>Imagen: Fruta, pan/masa madre, ingredientes cotidianos y cuaderno. Editorial y no alarmista; sin hongos, infecciones ni cuerpos enfermos.</w:t>
      </w:r>
    </w:p>
    <w:p>
      <w:r>
        <w:rPr>
          <w:b/>
        </w:rPr>
        <w:t>6. El poder de una cucharada: beneficios de…</w:t>
      </w:r>
    </w:p>
    <w:p>
      <w:r>
        <w:rPr>
          <w:b/>
        </w:rPr>
        <w:t xml:space="preserve">URL: </w:t>
      </w:r>
      <w:r>
        <w:t>https://www.saludintegral.site/2026/01/el-poder-de-una-cucharada-beneficios-de.html</w:t>
      </w:r>
    </w:p>
    <w:p>
      <w:r>
        <w:t>Imagen: PENDIENTE: confirmar el contenido exacto antes de generar la imagen. No inventar ingrediente ni beneficio.</w:t>
      </w:r>
    </w:p>
    <w:p>
      <w:pPr>
        <w:pStyle w:val="Heading1"/>
      </w:pPr>
      <w:r>
        <w:t>7. CRITERIO VISUAL</w:t>
      </w:r>
    </w:p>
    <w:p>
      <w:pPr>
        <w:pStyle w:val="ListBullet"/>
      </w:pPr>
      <w:r>
        <w:t>Paleta: crema, marfil, verde oliva, salvia, madera y terracota suave.</w:t>
      </w:r>
    </w:p>
    <w:p>
      <w:pPr>
        <w:pStyle w:val="ListBullet"/>
      </w:pPr>
      <w:r>
        <w:t>Fotografía editorial natural, cálida y luminosa; evitar estética de stock.</w:t>
      </w:r>
    </w:p>
    <w:p>
      <w:pPr>
        <w:pStyle w:val="ListBullet"/>
      </w:pPr>
      <w:r>
        <w:t>Las tres tarjetas principales pueden usar la misma mujer de referencia cuando corresponda.</w:t>
      </w:r>
    </w:p>
    <w:p>
      <w:pPr>
        <w:pStyle w:val="ListBullet"/>
      </w:pPr>
      <w:r>
        <w:t>Los artículos usan bodegones editoriales específicos.</w:t>
      </w:r>
    </w:p>
    <w:p>
      <w:pPr>
        <w:pStyle w:val="ListBullet"/>
      </w:pPr>
      <w:r>
        <w:t>No depender de texto generado dentro de las imágenes: títulos y botones van en HTML.</w:t>
      </w:r>
    </w:p>
    <w:p>
      <w:pPr>
        <w:pStyle w:val="ListBullet"/>
      </w:pPr>
      <w:r>
        <w:t>Evitar símbolos médicos, batas, anatomía clínica, balanzas o cintas métricas cuando no sean necesarios.</w:t>
      </w:r>
    </w:p>
    <w:p>
      <w:pPr>
        <w:pStyle w:val="ListBullet"/>
      </w:pPr>
      <w:r>
        <w:t>Romero es un chatbot flotante, no el protagonista.</w:t>
      </w:r>
    </w:p>
    <w:p>
      <w:pPr>
        <w:pStyle w:val="Heading1"/>
      </w:pPr>
      <w:r>
        <w:t>8. COPY — REGLAS DE POSICIONAMIENTO</w:t>
      </w:r>
    </w:p>
    <w:p>
      <w:pPr>
        <w:pStyle w:val="ListBullet"/>
      </w:pPr>
      <w:r>
        <w:t>Usar: herramientas, recursos, prácticas, hábitos, observación, acompañamiento, bienestar, vida cotidiana, a tu ritmo.</w:t>
      </w:r>
    </w:p>
    <w:p>
      <w:pPr>
        <w:pStyle w:val="ListBullet"/>
      </w:pPr>
      <w:r>
        <w:t>Evitar: diagnóstico, tratamiento, curación, sanar enfermedades y resultados garantizados.</w:t>
      </w:r>
    </w:p>
    <w:p>
      <w:pPr>
        <w:pStyle w:val="ListBullet"/>
      </w:pPr>
      <w:r>
        <w:t>No llamar a Tatiana «psicóloga» ni «psicoterapeuta» en Costa Rica.</w:t>
      </w:r>
    </w:p>
    <w:p>
      <w:pPr>
        <w:pStyle w:val="ListBullet"/>
      </w:pPr>
      <w:r>
        <w:t>No convertir afirmaciones biomédicas de los artículos en promesas comerciales.</w:t>
      </w:r>
    </w:p>
    <w:p>
      <w:pPr>
        <w:pStyle w:val="ListBullet"/>
      </w:pPr>
      <w:r>
        <w:t>Tono profesional, cálido, claro, práctico y poco espiritualizado.</w:t>
      </w:r>
    </w:p>
    <w:p>
      <w:pPr>
        <w:pStyle w:val="ListBullet"/>
      </w:pPr>
      <w:r>
        <w:t>Priorizar rutas de compra autónomas.</w:t>
      </w:r>
    </w:p>
    <w:p>
      <w:pPr>
        <w:pStyle w:val="Heading1"/>
      </w:pPr>
      <w:r>
        <w:t>9. ENLACES COMERCIALES</w:t>
      </w:r>
    </w:p>
    <w:p>
      <w:r>
        <w:rPr>
          <w:b/>
        </w:rPr>
        <w:t xml:space="preserve">Sitio: </w:t>
      </w:r>
      <w:r>
        <w:t>https://www.saludintegral.site/</w:t>
      </w:r>
    </w:p>
    <w:p>
      <w:r>
        <w:rPr>
          <w:b/>
        </w:rPr>
        <w:t xml:space="preserve">Amazon — autora: </w:t>
      </w:r>
      <w:r>
        <w:t>https://www.amazon.com/stores/Tatiana-Fait-Shaw/author/B0H18V8TXG</w:t>
      </w:r>
    </w:p>
    <w:p>
      <w:r>
        <w:rPr>
          <w:b/>
        </w:rPr>
        <w:t xml:space="preserve">Curso Payhip — Cuando tu cabeza no para: </w:t>
      </w:r>
      <w:r>
        <w:t>https://payhip.com/b/KpXIH</w:t>
      </w:r>
    </w:p>
    <w:p>
      <w:r>
        <w:rPr>
          <w:b/>
        </w:rPr>
        <w:t xml:space="preserve">Email: </w:t>
      </w:r>
      <w:r>
        <w:t>terapiaholisticacr@gmail.com</w:t>
      </w:r>
    </w:p>
    <w:p>
      <w:pPr>
        <w:pStyle w:val="Heading1"/>
      </w:pPr>
      <w:r>
        <w:t>10. CHECKLIST DE IMPLEMENTACIÓN</w:t>
      </w:r>
    </w:p>
    <w:p>
      <w:pPr>
        <w:pStyle w:val="ListBullet"/>
      </w:pPr>
      <w:r>
        <w:t>Construir Home con la arquitectura definida.</w:t>
      </w:r>
    </w:p>
    <w:p>
      <w:pPr>
        <w:pStyle w:val="ListBullet"/>
      </w:pPr>
      <w:r>
        <w:t>Crear HUB «Alimentación consciente».</w:t>
      </w:r>
    </w:p>
    <w:p>
      <w:pPr>
        <w:pStyle w:val="ListBullet"/>
      </w:pPr>
      <w:r>
        <w:t>Enlazar desde el HUB a la landing existente de Bajar de Peso.</w:t>
      </w:r>
    </w:p>
    <w:p>
      <w:pPr>
        <w:pStyle w:val="ListBullet"/>
      </w:pPr>
      <w:r>
        <w:t>Integrar los seis artículos reales.</w:t>
      </w:r>
    </w:p>
    <w:p>
      <w:pPr>
        <w:pStyle w:val="ListBullet"/>
      </w:pPr>
      <w:r>
        <w:t>Generar las cinco imágenes editoriales confirmadas y dejar la sexta pendiente hasta verificar el artículo.</w:t>
      </w:r>
    </w:p>
    <w:p>
      <w:pPr>
        <w:pStyle w:val="ListBullet"/>
      </w:pPr>
      <w:r>
        <w:t>Revisar copy de la landing Bajar de Peso antes de reutilizarlo.</w:t>
      </w:r>
    </w:p>
    <w:p>
      <w:pPr>
        <w:pStyle w:val="ListBullet"/>
      </w:pPr>
      <w:r>
        <w:t>Implementar informe personalizado de USD 15.</w:t>
      </w:r>
    </w:p>
    <w:p>
      <w:pPr>
        <w:pStyle w:val="ListBullet"/>
      </w:pPr>
      <w:r>
        <w:t>Implementar acompañamiento individual de USD 50.</w:t>
      </w:r>
    </w:p>
    <w:p>
      <w:pPr>
        <w:pStyle w:val="ListBullet"/>
      </w:pPr>
      <w:r>
        <w:t>Agregar puente al curso «Cuando tu cabeza no para».</w:t>
      </w:r>
    </w:p>
    <w:p>
      <w:pPr>
        <w:pStyle w:val="ListBullet"/>
      </w:pPr>
      <w:r>
        <w:t>Agregar Romero como chatbot flotante.</w:t>
      </w:r>
    </w:p>
    <w:p>
      <w:pPr>
        <w:pStyle w:val="ListBullet"/>
      </w:pPr>
      <w:r>
        <w:t>Probar todos los botones y enlaces reales en desktop y móvil.</w:t>
      </w:r>
    </w:p>
    <w:p>
      <w:pPr>
        <w:pStyle w:val="Heading1"/>
      </w:pPr>
      <w:r>
        <w:t>11. NOTA DE FUENTES</w:t>
      </w:r>
    </w:p>
    <w:p>
      <w:r>
        <w:t>La arquitectura Home parte del documento de trabajo anterior del proyecto. La página Bajar de Peso parte de la landing HTML existente. Los artículos fueron proporcionados como fuentes del proyecto; cinco fueron revisados directamente y el sexto quedó pendiente de recuperación completa, por lo que no se inventa su contenido.</w:t>
      </w:r>
    </w:p>
    <w:p>
      <w:pPr>
        <w:jc w:val="center"/>
      </w:pPr>
      <w:r>
        <w:rPr>
          <w:b/>
        </w:rPr>
        <w:t>SALUD INTEGRAL · Documento maestro de trabajo · 2026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