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83E" w:rsidRPr="002A183E" w:rsidRDefault="002A183E">
      <w:pPr>
        <w:rPr>
          <w:b/>
          <w:i/>
        </w:rPr>
      </w:pPr>
      <w:r w:rsidRPr="002A183E">
        <w:rPr>
          <w:b/>
          <w:i/>
        </w:rPr>
        <w:t>Feasts at Stonehenge and other monumental complexes drew people and animals from across Neolithic Britain</w:t>
      </w:r>
    </w:p>
    <w:p w:rsidR="00F1083C" w:rsidRDefault="00F1083C">
      <w:r>
        <w:t xml:space="preserve">Monumental complexes such as Stonehenge and Avebury represent some of the most famous prehistoric archaeological sites in the world. They often comprise sites of different character and function, with </w:t>
      </w:r>
      <w:r w:rsidR="00340DC3">
        <w:t>the</w:t>
      </w:r>
      <w:r>
        <w:t xml:space="preserve"> Stonehenge </w:t>
      </w:r>
      <w:r w:rsidR="00340DC3">
        <w:t xml:space="preserve">complex having the stone circle of Stonehenge, a focus for funerary ritual, the wooden circle of </w:t>
      </w:r>
      <w:proofErr w:type="spellStart"/>
      <w:r w:rsidR="00340DC3">
        <w:t>Woodhenge</w:t>
      </w:r>
      <w:proofErr w:type="spellEnd"/>
      <w:r w:rsidR="00340DC3">
        <w:t xml:space="preserve"> and the </w:t>
      </w:r>
      <w:proofErr w:type="spellStart"/>
      <w:r w:rsidR="00340DC3">
        <w:t>henge</w:t>
      </w:r>
      <w:proofErr w:type="spellEnd"/>
      <w:r w:rsidR="00340DC3">
        <w:t xml:space="preserve"> enclosure of </w:t>
      </w:r>
      <w:proofErr w:type="spellStart"/>
      <w:r w:rsidR="00340DC3">
        <w:t>Durrington</w:t>
      </w:r>
      <w:proofErr w:type="spellEnd"/>
      <w:r w:rsidR="00340DC3">
        <w:t xml:space="preserve"> Walls, a centre for feasting and settlement. </w:t>
      </w:r>
    </w:p>
    <w:p w:rsidR="00AE344E" w:rsidRDefault="00340DC3">
      <w:r>
        <w:t xml:space="preserve">These monumental complexes have been a focus </w:t>
      </w:r>
      <w:r w:rsidR="00F11EC9">
        <w:t>f</w:t>
      </w:r>
      <w:r>
        <w:t xml:space="preserve">or archaeological and antiquarian research for centuries. </w:t>
      </w:r>
      <w:r w:rsidR="0085484A">
        <w:t xml:space="preserve">The origins of the people </w:t>
      </w:r>
      <w:r w:rsidR="0085484A" w:rsidRPr="0085484A">
        <w:t xml:space="preserve">who engaged in ceremonies at (and very likely built) Stonehenge and other great </w:t>
      </w:r>
      <w:r w:rsidR="001D624E">
        <w:t xml:space="preserve">Late </w:t>
      </w:r>
      <w:r w:rsidR="0085484A" w:rsidRPr="0085484A">
        <w:t>N</w:t>
      </w:r>
      <w:bookmarkStart w:id="0" w:name="_GoBack"/>
      <w:bookmarkEnd w:id="0"/>
      <w:r w:rsidR="0085484A" w:rsidRPr="0085484A">
        <w:t>eolithic</w:t>
      </w:r>
      <w:r w:rsidR="001D624E">
        <w:t xml:space="preserve"> (c. 2800-2400BC)</w:t>
      </w:r>
      <w:r w:rsidR="0085484A" w:rsidRPr="0085484A">
        <w:t xml:space="preserve"> monumental complexes</w:t>
      </w:r>
      <w:r w:rsidR="0085484A">
        <w:t xml:space="preserve"> represents a long-standing enigma in research on British prehistory. Isotope analysis provides a suite of methods for identifying non-local individuals and exploring origins through sampling bone and teeth. However, human remains at these sites are almost all cremated and therefore unsuitable for some forms of isotope analysis.</w:t>
      </w:r>
      <w:r w:rsidR="00AE344E">
        <w:t xml:space="preserve"> Consequently, other proxies for human movement must be utilised.</w:t>
      </w:r>
    </w:p>
    <w:p w:rsidR="0085484A" w:rsidRPr="001D624E" w:rsidRDefault="00AE344E">
      <w:pPr>
        <w:rPr>
          <w:rFonts w:cstheme="minorHAnsi"/>
        </w:rPr>
      </w:pPr>
      <w:r>
        <w:t xml:space="preserve">This </w:t>
      </w:r>
      <w:r w:rsidR="00FD12B4">
        <w:t xml:space="preserve">study uses the bones and teeth of pigs, the prime feasting animal at these complexes. Tens of thousands have been recovered from </w:t>
      </w:r>
      <w:proofErr w:type="spellStart"/>
      <w:r w:rsidR="00FD12B4">
        <w:t>Durrington</w:t>
      </w:r>
      <w:proofErr w:type="spellEnd"/>
      <w:r w:rsidR="00FD12B4">
        <w:t xml:space="preserve"> Wa</w:t>
      </w:r>
      <w:r w:rsidR="001D624E">
        <w:t>lls, providing a vital resource</w:t>
      </w:r>
      <w:r w:rsidR="00FD12B4">
        <w:t xml:space="preserve"> for reconstructing prehistoric lifeways. These are domestic pigs and therefore must have been brought </w:t>
      </w:r>
      <w:r w:rsidR="00FD12B4" w:rsidRPr="001D624E">
        <w:rPr>
          <w:rFonts w:cstheme="minorHAnsi"/>
        </w:rPr>
        <w:t xml:space="preserve">by humans, thus potentially providing a good proxy for human movement. However, pigs are not considered well-suited to movement over distance and </w:t>
      </w:r>
      <w:r w:rsidR="00D946B3" w:rsidRPr="001D624E">
        <w:rPr>
          <w:rFonts w:cstheme="minorHAnsi"/>
        </w:rPr>
        <w:t xml:space="preserve">are commonplace in Late Neolithic Britain. </w:t>
      </w:r>
      <w:r w:rsidR="00F11EC9" w:rsidRPr="001D624E">
        <w:rPr>
          <w:rFonts w:cstheme="minorHAnsi"/>
        </w:rPr>
        <w:t>Therefore,</w:t>
      </w:r>
      <w:r w:rsidR="00D946B3" w:rsidRPr="001D624E">
        <w:rPr>
          <w:rFonts w:cstheme="minorHAnsi"/>
        </w:rPr>
        <w:t xml:space="preserve"> even if people came from far and wide, they might procure a pig in the vicinity of the </w:t>
      </w:r>
      <w:proofErr w:type="spellStart"/>
      <w:r w:rsidR="00D946B3" w:rsidRPr="001D624E">
        <w:rPr>
          <w:rFonts w:cstheme="minorHAnsi"/>
        </w:rPr>
        <w:t>henges</w:t>
      </w:r>
      <w:proofErr w:type="spellEnd"/>
      <w:r w:rsidR="00D946B3" w:rsidRPr="001D624E">
        <w:rPr>
          <w:rFonts w:cstheme="minorHAnsi"/>
        </w:rPr>
        <w:t xml:space="preserve"> to contribute to the feast, rather than going to the effort </w:t>
      </w:r>
      <w:r w:rsidR="00F11EC9">
        <w:rPr>
          <w:rFonts w:cstheme="minorHAnsi"/>
        </w:rPr>
        <w:t>of bringing</w:t>
      </w:r>
      <w:r w:rsidR="00D946B3" w:rsidRPr="001D624E">
        <w:rPr>
          <w:rFonts w:cstheme="minorHAnsi"/>
        </w:rPr>
        <w:t xml:space="preserve"> one t</w:t>
      </w:r>
      <w:r w:rsidR="00F11EC9">
        <w:rPr>
          <w:rFonts w:cstheme="minorHAnsi"/>
        </w:rPr>
        <w:t>hat they themselves had raised. Pigs may therefore</w:t>
      </w:r>
      <w:r w:rsidR="00D946B3" w:rsidRPr="001D624E">
        <w:rPr>
          <w:rFonts w:cstheme="minorHAnsi"/>
        </w:rPr>
        <w:t xml:space="preserve"> provide a weak proxy for human movement. </w:t>
      </w:r>
      <w:r w:rsidR="00FD12B4" w:rsidRPr="001D624E">
        <w:rPr>
          <w:rFonts w:cstheme="minorHAnsi"/>
        </w:rPr>
        <w:t xml:space="preserve">  </w:t>
      </w:r>
    </w:p>
    <w:p w:rsidR="0001646F" w:rsidRPr="001D624E" w:rsidRDefault="00D946B3">
      <w:pPr>
        <w:rPr>
          <w:rFonts w:eastAsia="Times New Roman" w:cstheme="minorHAnsi"/>
          <w:bCs/>
          <w:iCs/>
          <w:lang w:eastAsia="en-GB"/>
        </w:rPr>
      </w:pPr>
      <w:r w:rsidRPr="001D624E">
        <w:rPr>
          <w:rFonts w:cstheme="minorHAnsi"/>
        </w:rPr>
        <w:t xml:space="preserve">The research analyses the </w:t>
      </w:r>
      <w:r w:rsidR="00F1083C" w:rsidRPr="001D624E">
        <w:rPr>
          <w:rFonts w:cstheme="minorHAnsi"/>
        </w:rPr>
        <w:t xml:space="preserve">largest five-isotope system </w:t>
      </w:r>
      <w:r w:rsidRPr="001D624E">
        <w:rPr>
          <w:rFonts w:cstheme="minorHAnsi"/>
        </w:rPr>
        <w:t>faunal dataset</w:t>
      </w:r>
      <w:r w:rsidR="00001918" w:rsidRPr="001D624E">
        <w:rPr>
          <w:rFonts w:cstheme="minorHAnsi"/>
        </w:rPr>
        <w:t xml:space="preserve"> </w:t>
      </w:r>
      <w:r w:rsidR="00F1083C" w:rsidRPr="001D624E">
        <w:rPr>
          <w:rFonts w:cstheme="minorHAnsi"/>
        </w:rPr>
        <w:t>yet published</w:t>
      </w:r>
      <w:r w:rsidRPr="001D624E">
        <w:rPr>
          <w:rFonts w:cstheme="minorHAnsi"/>
        </w:rPr>
        <w:t xml:space="preserve"> in archaeology</w:t>
      </w:r>
      <w:r w:rsidR="00F1083C" w:rsidRPr="001D624E">
        <w:rPr>
          <w:rFonts w:cstheme="minorHAnsi"/>
        </w:rPr>
        <w:t>.</w:t>
      </w:r>
      <w:r w:rsidRPr="001D624E">
        <w:rPr>
          <w:rFonts w:cstheme="minorHAnsi"/>
        </w:rPr>
        <w:t xml:space="preserve"> </w:t>
      </w:r>
      <w:r w:rsidR="00001918" w:rsidRPr="001D624E">
        <w:rPr>
          <w:rFonts w:cstheme="minorHAnsi"/>
        </w:rPr>
        <w:t xml:space="preserve">A total of 131 animals were analysed from four Late Neolithic complexes in </w:t>
      </w:r>
      <w:r w:rsidR="00B80F93" w:rsidRPr="001D624E">
        <w:rPr>
          <w:rFonts w:cstheme="minorHAnsi"/>
        </w:rPr>
        <w:t>Wessex</w:t>
      </w:r>
      <w:r w:rsidR="00001918" w:rsidRPr="001D624E">
        <w:rPr>
          <w:rFonts w:cstheme="minorHAnsi"/>
        </w:rPr>
        <w:t xml:space="preserve">: </w:t>
      </w:r>
      <w:proofErr w:type="spellStart"/>
      <w:r w:rsidR="00001918" w:rsidRPr="001D624E">
        <w:rPr>
          <w:rFonts w:cstheme="minorHAnsi"/>
        </w:rPr>
        <w:t>Durrington</w:t>
      </w:r>
      <w:proofErr w:type="spellEnd"/>
      <w:r w:rsidR="00001918" w:rsidRPr="001D624E">
        <w:rPr>
          <w:rFonts w:cstheme="minorHAnsi"/>
        </w:rPr>
        <w:t xml:space="preserve"> Walls, West Kennet Palisade Enclosures, Mount Pleasant and </w:t>
      </w:r>
      <w:proofErr w:type="spellStart"/>
      <w:r w:rsidR="00001918" w:rsidRPr="001D624E">
        <w:rPr>
          <w:rFonts w:cstheme="minorHAnsi"/>
        </w:rPr>
        <w:t>Marden</w:t>
      </w:r>
      <w:proofErr w:type="spellEnd"/>
      <w:r w:rsidR="00001918" w:rsidRPr="001D624E">
        <w:rPr>
          <w:rFonts w:cstheme="minorHAnsi"/>
        </w:rPr>
        <w:t>.</w:t>
      </w:r>
      <w:r w:rsidR="00B80F93" w:rsidRPr="001D624E">
        <w:rPr>
          <w:rFonts w:cstheme="minorHAnsi"/>
        </w:rPr>
        <w:t xml:space="preserve"> </w:t>
      </w:r>
      <w:r w:rsidRPr="001D624E">
        <w:rPr>
          <w:rFonts w:cstheme="minorHAnsi"/>
        </w:rPr>
        <w:t xml:space="preserve">Each isotope system </w:t>
      </w:r>
      <w:r w:rsidR="0001646F" w:rsidRPr="001D624E">
        <w:rPr>
          <w:rFonts w:cstheme="minorHAnsi"/>
        </w:rPr>
        <w:t>provides different information about the origins of the animals.</w:t>
      </w:r>
      <w:r w:rsidR="0001646F" w:rsidRPr="001D624E">
        <w:rPr>
          <w:rFonts w:eastAsia="Times New Roman" w:cstheme="minorHAnsi"/>
          <w:bCs/>
          <w:iCs/>
          <w:lang w:eastAsia="en-GB"/>
        </w:rPr>
        <w:t xml:space="preserve"> Strontium (</w:t>
      </w:r>
      <w:r w:rsidR="0001646F" w:rsidRPr="001D624E">
        <w:rPr>
          <w:rFonts w:eastAsia="Times New Roman" w:cstheme="minorHAnsi"/>
          <w:bCs/>
          <w:vertAlign w:val="superscript"/>
          <w:lang w:eastAsia="en-GB"/>
        </w:rPr>
        <w:t>87</w:t>
      </w:r>
      <w:r w:rsidR="0001646F" w:rsidRPr="001D624E">
        <w:rPr>
          <w:rFonts w:eastAsia="Times New Roman" w:cstheme="minorHAnsi"/>
          <w:bCs/>
          <w:iCs/>
          <w:lang w:eastAsia="en-GB"/>
        </w:rPr>
        <w:t>Sr/</w:t>
      </w:r>
      <w:r w:rsidR="0001646F" w:rsidRPr="001D624E">
        <w:rPr>
          <w:rFonts w:eastAsia="Times New Roman" w:cstheme="minorHAnsi"/>
          <w:bCs/>
          <w:vertAlign w:val="superscript"/>
          <w:lang w:eastAsia="en-GB"/>
        </w:rPr>
        <w:t>86</w:t>
      </w:r>
      <w:r w:rsidR="0001646F" w:rsidRPr="001D624E">
        <w:rPr>
          <w:rFonts w:eastAsia="Times New Roman" w:cstheme="minorHAnsi"/>
          <w:bCs/>
          <w:iCs/>
          <w:lang w:eastAsia="en-GB"/>
        </w:rPr>
        <w:t>Sr) provides a geological signal, oxygen (</w:t>
      </w:r>
      <w:r w:rsidR="0001646F" w:rsidRPr="001D624E">
        <w:rPr>
          <w:rFonts w:eastAsia="Times New Roman" w:cstheme="minorHAnsi"/>
          <w:lang w:eastAsia="en-GB"/>
        </w:rPr>
        <w:sym w:font="Symbol" w:char="F064"/>
      </w:r>
      <w:r w:rsidR="0001646F" w:rsidRPr="001D624E">
        <w:rPr>
          <w:rFonts w:eastAsia="Times New Roman" w:cstheme="minorHAnsi"/>
          <w:bCs/>
          <w:vertAlign w:val="superscript"/>
          <w:lang w:eastAsia="en-GB"/>
        </w:rPr>
        <w:t>18</w:t>
      </w:r>
      <w:r w:rsidR="0001646F" w:rsidRPr="001D624E">
        <w:rPr>
          <w:rFonts w:eastAsia="Times New Roman" w:cstheme="minorHAnsi"/>
          <w:bCs/>
          <w:iCs/>
          <w:lang w:eastAsia="en-GB"/>
        </w:rPr>
        <w:t>O) a climatic signal and sulphur (</w:t>
      </w:r>
      <w:r w:rsidR="0001646F" w:rsidRPr="001D624E">
        <w:rPr>
          <w:rFonts w:eastAsia="Times New Roman" w:cstheme="minorHAnsi"/>
          <w:lang w:eastAsia="en-GB"/>
        </w:rPr>
        <w:sym w:font="Symbol" w:char="F064"/>
      </w:r>
      <w:r w:rsidR="0001646F" w:rsidRPr="001D624E">
        <w:rPr>
          <w:rFonts w:eastAsia="Times New Roman" w:cstheme="minorHAnsi"/>
          <w:bCs/>
          <w:vertAlign w:val="superscript"/>
          <w:lang w:eastAsia="en-GB"/>
        </w:rPr>
        <w:t>34</w:t>
      </w:r>
      <w:r w:rsidR="0001646F" w:rsidRPr="001D624E">
        <w:rPr>
          <w:rFonts w:eastAsia="Times New Roman" w:cstheme="minorHAnsi"/>
          <w:bCs/>
          <w:iCs/>
          <w:lang w:eastAsia="en-GB"/>
        </w:rPr>
        <w:t>S) an indication of coastal proximity. Carbon (</w:t>
      </w:r>
      <w:r w:rsidR="0001646F" w:rsidRPr="001D624E">
        <w:rPr>
          <w:rFonts w:eastAsia="Times New Roman" w:cstheme="minorHAnsi"/>
          <w:lang w:eastAsia="en-GB"/>
        </w:rPr>
        <w:sym w:font="Symbol" w:char="F064"/>
      </w:r>
      <w:r w:rsidR="0001646F" w:rsidRPr="001D624E">
        <w:rPr>
          <w:rFonts w:eastAsia="Times New Roman" w:cstheme="minorHAnsi"/>
          <w:bCs/>
          <w:vertAlign w:val="superscript"/>
          <w:lang w:eastAsia="en-GB"/>
        </w:rPr>
        <w:t>13</w:t>
      </w:r>
      <w:r w:rsidR="0001646F" w:rsidRPr="001D624E">
        <w:rPr>
          <w:rFonts w:eastAsia="Times New Roman" w:cstheme="minorHAnsi"/>
          <w:bCs/>
          <w:iCs/>
          <w:lang w:eastAsia="en-GB"/>
        </w:rPr>
        <w:t>C) and nitrogen (</w:t>
      </w:r>
      <w:r w:rsidR="0001646F" w:rsidRPr="001D624E">
        <w:rPr>
          <w:rFonts w:eastAsia="Times New Roman" w:cstheme="minorHAnsi"/>
          <w:lang w:eastAsia="en-GB"/>
        </w:rPr>
        <w:sym w:font="Symbol" w:char="F064"/>
      </w:r>
      <w:r w:rsidR="0001646F" w:rsidRPr="001D624E">
        <w:rPr>
          <w:rFonts w:eastAsia="Times New Roman" w:cstheme="minorHAnsi"/>
          <w:bCs/>
          <w:vertAlign w:val="superscript"/>
          <w:lang w:eastAsia="en-GB"/>
        </w:rPr>
        <w:t>15</w:t>
      </w:r>
      <w:r w:rsidR="0001646F" w:rsidRPr="001D624E">
        <w:rPr>
          <w:rFonts w:eastAsia="Times New Roman" w:cstheme="minorHAnsi"/>
          <w:bCs/>
          <w:iCs/>
          <w:lang w:eastAsia="en-GB"/>
        </w:rPr>
        <w:t>N</w:t>
      </w:r>
      <w:r w:rsidR="00F11EC9">
        <w:rPr>
          <w:rFonts w:eastAsia="Times New Roman" w:cstheme="minorHAnsi"/>
          <w:bCs/>
          <w:iCs/>
          <w:lang w:eastAsia="en-GB"/>
        </w:rPr>
        <w:t>) isotope analysis provides</w:t>
      </w:r>
      <w:r w:rsidR="0001646F" w:rsidRPr="001D624E">
        <w:rPr>
          <w:rFonts w:eastAsia="Times New Roman" w:cstheme="minorHAnsi"/>
          <w:bCs/>
          <w:iCs/>
          <w:lang w:eastAsia="en-GB"/>
        </w:rPr>
        <w:t xml:space="preserve"> dietary in</w:t>
      </w:r>
      <w:r w:rsidR="00001918" w:rsidRPr="001D624E">
        <w:rPr>
          <w:rFonts w:eastAsia="Times New Roman" w:cstheme="minorHAnsi"/>
          <w:bCs/>
          <w:iCs/>
          <w:lang w:eastAsia="en-GB"/>
        </w:rPr>
        <w:t>formation and</w:t>
      </w:r>
      <w:r w:rsidR="0001646F" w:rsidRPr="001D624E">
        <w:rPr>
          <w:rFonts w:eastAsia="Times New Roman" w:cstheme="minorHAnsi"/>
          <w:bCs/>
          <w:iCs/>
          <w:lang w:eastAsia="en-GB"/>
        </w:rPr>
        <w:t xml:space="preserve"> </w:t>
      </w:r>
      <w:r w:rsidR="00001918" w:rsidRPr="001D624E">
        <w:rPr>
          <w:rFonts w:eastAsia="Times New Roman" w:cstheme="minorHAnsi"/>
          <w:bCs/>
          <w:iCs/>
          <w:lang w:eastAsia="en-GB"/>
        </w:rPr>
        <w:t xml:space="preserve">represents an </w:t>
      </w:r>
      <w:r w:rsidR="0001646F" w:rsidRPr="001D624E">
        <w:rPr>
          <w:rFonts w:eastAsia="Times New Roman" w:cstheme="minorHAnsi"/>
          <w:bCs/>
          <w:iCs/>
          <w:lang w:eastAsia="en-GB"/>
        </w:rPr>
        <w:t xml:space="preserve">important baseline from which to interpret the other proxies. </w:t>
      </w:r>
      <w:r w:rsidR="00001918" w:rsidRPr="001D624E">
        <w:rPr>
          <w:rFonts w:eastAsia="Times New Roman" w:cstheme="minorHAnsi"/>
          <w:bCs/>
          <w:iCs/>
          <w:lang w:eastAsia="en-GB"/>
        </w:rPr>
        <w:t xml:space="preserve">The combination of these isotope systems means that non-local animals can be identified with greater confidence and likely origins can in some instances be posited. </w:t>
      </w:r>
    </w:p>
    <w:p w:rsidR="00E36EB2" w:rsidRPr="00830E0F" w:rsidRDefault="00A175FD" w:rsidP="00686D12">
      <w:pPr>
        <w:rPr>
          <w:rFonts w:eastAsia="Times New Roman" w:cstheme="minorHAnsi"/>
          <w:bCs/>
          <w:iCs/>
          <w:lang w:eastAsia="en-GB"/>
        </w:rPr>
      </w:pPr>
      <w:r w:rsidRPr="001D624E">
        <w:rPr>
          <w:rFonts w:eastAsia="Times New Roman" w:cstheme="minorHAnsi"/>
          <w:bCs/>
          <w:iCs/>
          <w:lang w:eastAsia="en-GB"/>
        </w:rPr>
        <w:t xml:space="preserve">Results were exceptionally wide-ranging in all of the </w:t>
      </w:r>
      <w:proofErr w:type="spellStart"/>
      <w:r w:rsidRPr="001D624E">
        <w:rPr>
          <w:rFonts w:eastAsia="Times New Roman" w:cstheme="minorHAnsi"/>
          <w:bCs/>
          <w:iCs/>
          <w:lang w:eastAsia="en-GB"/>
        </w:rPr>
        <w:t>provenancing</w:t>
      </w:r>
      <w:proofErr w:type="spellEnd"/>
      <w:r w:rsidRPr="001D624E">
        <w:rPr>
          <w:rFonts w:eastAsia="Times New Roman" w:cstheme="minorHAnsi"/>
          <w:bCs/>
          <w:iCs/>
          <w:lang w:eastAsia="en-GB"/>
        </w:rPr>
        <w:t xml:space="preserve"> isotope proxies. </w:t>
      </w:r>
      <w:r w:rsidR="001D624E">
        <w:rPr>
          <w:rFonts w:eastAsia="Times New Roman" w:cstheme="minorHAnsi"/>
          <w:bCs/>
          <w:iCs/>
          <w:lang w:eastAsia="en-GB"/>
        </w:rPr>
        <w:t>They are considered in the context of British origins, as there is n</w:t>
      </w:r>
      <w:r w:rsidR="00F11EC9">
        <w:rPr>
          <w:rFonts w:eastAsia="Times New Roman" w:cstheme="minorHAnsi"/>
          <w:bCs/>
          <w:iCs/>
          <w:lang w:eastAsia="en-GB"/>
        </w:rPr>
        <w:t xml:space="preserve">o evidence for contact with continental Europe at this time. </w:t>
      </w:r>
      <w:r w:rsidRPr="001D624E">
        <w:rPr>
          <w:rFonts w:eastAsia="Times New Roman" w:cstheme="minorHAnsi"/>
          <w:bCs/>
          <w:iCs/>
          <w:lang w:eastAsia="en-GB"/>
        </w:rPr>
        <w:t xml:space="preserve">The strontium values </w:t>
      </w:r>
      <w:r w:rsidR="00E36EB2" w:rsidRPr="001D624E">
        <w:rPr>
          <w:rFonts w:eastAsia="Times New Roman" w:cstheme="minorHAnsi"/>
          <w:bCs/>
          <w:iCs/>
          <w:lang w:eastAsia="en-GB"/>
        </w:rPr>
        <w:t>encompassed</w:t>
      </w:r>
      <w:r w:rsidR="0093498C" w:rsidRPr="001D624E">
        <w:rPr>
          <w:rFonts w:eastAsia="Times New Roman" w:cstheme="minorHAnsi"/>
          <w:bCs/>
          <w:iCs/>
          <w:lang w:eastAsia="en-GB"/>
        </w:rPr>
        <w:t xml:space="preserve"> the vast majority of biosphere variation </w:t>
      </w:r>
      <w:r w:rsidR="00EE5599" w:rsidRPr="001D624E">
        <w:rPr>
          <w:rFonts w:eastAsia="Times New Roman" w:cstheme="minorHAnsi"/>
          <w:bCs/>
          <w:iCs/>
          <w:lang w:eastAsia="en-GB"/>
        </w:rPr>
        <w:t xml:space="preserve">that can be found in Britain from the youngest to oldest lithological zones. Oxygen values were suggestive of origins from the coastal west to the highland east and sulphur results indicated many animals were raised near the coast, with others having inland origins. </w:t>
      </w:r>
      <w:r w:rsidR="00510F74" w:rsidRPr="001D624E">
        <w:rPr>
          <w:rFonts w:eastAsia="Times New Roman" w:cstheme="minorHAnsi"/>
          <w:bCs/>
          <w:iCs/>
          <w:lang w:eastAsia="en-GB"/>
        </w:rPr>
        <w:t>No other British site of any period provide</w:t>
      </w:r>
      <w:r w:rsidR="00E36EB2" w:rsidRPr="001D624E">
        <w:rPr>
          <w:rFonts w:eastAsia="Times New Roman" w:cstheme="minorHAnsi"/>
          <w:bCs/>
          <w:iCs/>
          <w:lang w:eastAsia="en-GB"/>
        </w:rPr>
        <w:t>s</w:t>
      </w:r>
      <w:r w:rsidR="00510F74" w:rsidRPr="001D624E">
        <w:rPr>
          <w:rFonts w:eastAsia="Times New Roman" w:cstheme="minorHAnsi"/>
          <w:bCs/>
          <w:iCs/>
          <w:lang w:eastAsia="en-GB"/>
        </w:rPr>
        <w:t xml:space="preserve"> data as wide-ranging as for these Late Neolithic sites</w:t>
      </w:r>
      <w:r w:rsidR="00E36EB2" w:rsidRPr="001D624E">
        <w:rPr>
          <w:rFonts w:eastAsia="Times New Roman" w:cstheme="minorHAnsi"/>
          <w:bCs/>
          <w:iCs/>
          <w:lang w:eastAsia="en-GB"/>
        </w:rPr>
        <w:t>.</w:t>
      </w:r>
      <w:r w:rsidR="00F11EC9" w:rsidRPr="00F11EC9">
        <w:rPr>
          <w:rFonts w:eastAsia="Times New Roman" w:cstheme="minorHAnsi"/>
          <w:bCs/>
          <w:iCs/>
          <w:lang w:eastAsia="en-GB"/>
        </w:rPr>
        <w:t xml:space="preserve"> </w:t>
      </w:r>
      <w:r w:rsidR="00F11EC9" w:rsidRPr="00F11EC9">
        <w:rPr>
          <w:rFonts w:eastAsia="Times New Roman" w:cstheme="minorHAnsi"/>
          <w:bCs/>
          <w:iCs/>
          <w:lang w:eastAsia="en-GB"/>
        </w:rPr>
        <w:t>On the basis of current mapping data, it is not possible to define</w:t>
      </w:r>
      <w:r w:rsidR="00F11EC9">
        <w:rPr>
          <w:rFonts w:eastAsia="Times New Roman" w:cstheme="minorHAnsi"/>
          <w:bCs/>
          <w:iCs/>
          <w:lang w:eastAsia="en-GB"/>
        </w:rPr>
        <w:t xml:space="preserve"> </w:t>
      </w:r>
      <w:r w:rsidR="00F11EC9" w:rsidRPr="00F11EC9">
        <w:rPr>
          <w:rFonts w:eastAsia="Times New Roman" w:cstheme="minorHAnsi"/>
          <w:bCs/>
          <w:iCs/>
          <w:lang w:eastAsia="en-GB"/>
        </w:rPr>
        <w:t xml:space="preserve">origins with confidence, even when using multi-isotope proxies. </w:t>
      </w:r>
      <w:proofErr w:type="spellStart"/>
      <w:r w:rsidR="00F11EC9" w:rsidRPr="00F11EC9">
        <w:rPr>
          <w:rFonts w:eastAsia="Times New Roman" w:cstheme="minorHAnsi"/>
          <w:bCs/>
          <w:iCs/>
          <w:lang w:eastAsia="en-GB"/>
        </w:rPr>
        <w:t>Equifinality</w:t>
      </w:r>
      <w:proofErr w:type="spellEnd"/>
      <w:r w:rsidR="00F11EC9" w:rsidRPr="00F11EC9">
        <w:rPr>
          <w:rFonts w:eastAsia="Times New Roman" w:cstheme="minorHAnsi"/>
          <w:bCs/>
          <w:iCs/>
          <w:lang w:eastAsia="en-GB"/>
        </w:rPr>
        <w:t xml:space="preserve"> remains a hurdle to interpretation, as some areas may </w:t>
      </w:r>
      <w:r w:rsidR="00F11EC9">
        <w:rPr>
          <w:rFonts w:eastAsia="Times New Roman" w:cstheme="minorHAnsi"/>
          <w:bCs/>
          <w:iCs/>
          <w:lang w:eastAsia="en-GB"/>
        </w:rPr>
        <w:t>not be distinguishable</w:t>
      </w:r>
      <w:r w:rsidR="00F11EC9" w:rsidRPr="00F11EC9">
        <w:rPr>
          <w:rFonts w:eastAsia="Times New Roman" w:cstheme="minorHAnsi"/>
          <w:bCs/>
          <w:iCs/>
          <w:lang w:eastAsia="en-GB"/>
        </w:rPr>
        <w:t xml:space="preserve">. However, the scale of variation in all </w:t>
      </w:r>
      <w:proofErr w:type="spellStart"/>
      <w:r w:rsidR="00F11EC9" w:rsidRPr="00F11EC9">
        <w:rPr>
          <w:rFonts w:eastAsia="Times New Roman" w:cstheme="minorHAnsi"/>
          <w:bCs/>
          <w:iCs/>
          <w:lang w:eastAsia="en-GB"/>
        </w:rPr>
        <w:t>provenancing</w:t>
      </w:r>
      <w:proofErr w:type="spellEnd"/>
      <w:r w:rsidR="00F11EC9" w:rsidRPr="00F11EC9">
        <w:rPr>
          <w:rFonts w:eastAsia="Times New Roman" w:cstheme="minorHAnsi"/>
          <w:bCs/>
          <w:iCs/>
          <w:lang w:eastAsia="en-GB"/>
        </w:rPr>
        <w:t xml:space="preserve"> proxies provides convincing ev</w:t>
      </w:r>
      <w:r w:rsidR="00F11EC9">
        <w:rPr>
          <w:rFonts w:eastAsia="Times New Roman" w:cstheme="minorHAnsi"/>
          <w:bCs/>
          <w:iCs/>
          <w:lang w:eastAsia="en-GB"/>
        </w:rPr>
        <w:t>idence for wide-ranging origins, with some perhaps coming</w:t>
      </w:r>
      <w:r w:rsidR="00F11EC9" w:rsidRPr="00830E0F">
        <w:rPr>
          <w:rFonts w:eastAsia="Times New Roman" w:cstheme="minorHAnsi"/>
          <w:bCs/>
          <w:iCs/>
          <w:lang w:eastAsia="en-GB"/>
        </w:rPr>
        <w:t xml:space="preserve"> from as far as Scotland</w:t>
      </w:r>
      <w:r w:rsidR="00F11EC9">
        <w:rPr>
          <w:rFonts w:eastAsia="Times New Roman" w:cstheme="minorHAnsi"/>
          <w:bCs/>
          <w:iCs/>
          <w:lang w:eastAsia="en-GB"/>
        </w:rPr>
        <w:t>.</w:t>
      </w:r>
      <w:r w:rsidR="00E36EB2" w:rsidRPr="001D624E">
        <w:rPr>
          <w:rFonts w:eastAsia="Times New Roman" w:cstheme="minorHAnsi"/>
          <w:bCs/>
          <w:iCs/>
          <w:lang w:eastAsia="en-GB"/>
        </w:rPr>
        <w:t xml:space="preserve"> </w:t>
      </w:r>
      <w:r w:rsidR="00830E0F">
        <w:rPr>
          <w:rFonts w:eastAsia="Times New Roman" w:cstheme="minorHAnsi"/>
          <w:bCs/>
          <w:iCs/>
          <w:lang w:eastAsia="en-GB"/>
        </w:rPr>
        <w:t>I</w:t>
      </w:r>
      <w:r w:rsidR="00686D12" w:rsidRPr="00F11EC9">
        <w:rPr>
          <w:rFonts w:eastAsia="Times New Roman"/>
          <w:bCs/>
          <w:iCs/>
          <w:lang w:eastAsia="en-GB"/>
        </w:rPr>
        <w:t xml:space="preserve">t is not only the famous megalithic </w:t>
      </w:r>
      <w:r w:rsidR="00830E0F" w:rsidRPr="00F11EC9">
        <w:rPr>
          <w:rFonts w:eastAsia="Times New Roman"/>
          <w:bCs/>
          <w:iCs/>
          <w:lang w:eastAsia="en-GB"/>
        </w:rPr>
        <w:t>centres</w:t>
      </w:r>
      <w:r w:rsidR="00686D12" w:rsidRPr="00F11EC9">
        <w:rPr>
          <w:rFonts w:eastAsia="Times New Roman"/>
          <w:bCs/>
          <w:iCs/>
          <w:lang w:eastAsia="en-GB"/>
        </w:rPr>
        <w:t xml:space="preserve"> </w:t>
      </w:r>
      <w:r w:rsidR="00F11EC9">
        <w:rPr>
          <w:rFonts w:eastAsia="Times New Roman"/>
          <w:bCs/>
          <w:iCs/>
          <w:lang w:eastAsia="en-GB"/>
        </w:rPr>
        <w:t>like</w:t>
      </w:r>
      <w:r w:rsidR="00686D12" w:rsidRPr="00F11EC9">
        <w:rPr>
          <w:rFonts w:eastAsia="Times New Roman"/>
          <w:bCs/>
          <w:iCs/>
          <w:lang w:eastAsia="en-GB"/>
        </w:rPr>
        <w:t xml:space="preserve"> Stonehenge that were major foci. All four sites show long-</w:t>
      </w:r>
      <w:r w:rsidR="00686D12" w:rsidRPr="00830E0F">
        <w:rPr>
          <w:rStyle w:val="fontstyle01"/>
          <w:rFonts w:asciiTheme="minorHAnsi" w:hAnsiTheme="minorHAnsi" w:cstheme="minorHAnsi"/>
          <w:sz w:val="22"/>
          <w:szCs w:val="22"/>
        </w:rPr>
        <w:t>distance connectivity, and there is no indication that they served different networks; all drew people and</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animals from across Britain</w:t>
      </w:r>
      <w:r w:rsidR="00F11EC9">
        <w:rPr>
          <w:rStyle w:val="fontstyle01"/>
          <w:rFonts w:asciiTheme="minorHAnsi" w:hAnsiTheme="minorHAnsi" w:cstheme="minorHAnsi"/>
          <w:sz w:val="22"/>
          <w:szCs w:val="22"/>
        </w:rPr>
        <w:t xml:space="preserve"> for this feasting events</w:t>
      </w:r>
      <w:r w:rsidR="00686D12" w:rsidRPr="00830E0F">
        <w:rPr>
          <w:rStyle w:val="fontstyle01"/>
          <w:rFonts w:asciiTheme="minorHAnsi" w:hAnsiTheme="minorHAnsi" w:cstheme="minorHAnsi"/>
          <w:sz w:val="22"/>
          <w:szCs w:val="22"/>
        </w:rPr>
        <w:t>.</w:t>
      </w:r>
    </w:p>
    <w:p w:rsidR="00686D12" w:rsidRPr="00830E0F" w:rsidRDefault="001D624E" w:rsidP="00686D12">
      <w:pPr>
        <w:rPr>
          <w:rStyle w:val="fontstyle01"/>
          <w:rFonts w:asciiTheme="minorHAnsi" w:hAnsiTheme="minorHAnsi" w:cstheme="minorHAnsi"/>
          <w:sz w:val="22"/>
          <w:szCs w:val="22"/>
        </w:rPr>
      </w:pPr>
      <w:r w:rsidRPr="00830E0F">
        <w:rPr>
          <w:rFonts w:eastAsia="Times New Roman" w:cstheme="minorHAnsi"/>
          <w:bCs/>
          <w:iCs/>
          <w:lang w:eastAsia="en-GB"/>
        </w:rPr>
        <w:lastRenderedPageBreak/>
        <w:t xml:space="preserve">These findings have major ramifications for how we understand Late Neolithic Britain. </w:t>
      </w:r>
      <w:r w:rsidR="00686D12" w:rsidRPr="00830E0F">
        <w:rPr>
          <w:rFonts w:eastAsia="Times New Roman" w:cstheme="minorHAnsi"/>
          <w:bCs/>
          <w:iCs/>
          <w:lang w:eastAsia="en-GB"/>
        </w:rPr>
        <w:t xml:space="preserve">The monumental complexes of Wessex were not just </w:t>
      </w:r>
      <w:r w:rsidR="00686D12" w:rsidRPr="00830E0F">
        <w:rPr>
          <w:rStyle w:val="fontstyle01"/>
          <w:rFonts w:asciiTheme="minorHAnsi" w:hAnsiTheme="minorHAnsi" w:cstheme="minorHAnsi"/>
          <w:sz w:val="22"/>
          <w:szCs w:val="22"/>
        </w:rPr>
        <w:t>power bases in the heartland of regional groups, at which feasting events acted to unify a disparate, yet broadly local populace, nor</w:t>
      </w:r>
      <w:r w:rsidR="00686D12" w:rsidRPr="00830E0F">
        <w:rPr>
          <w:rStyle w:val="fontstyle01"/>
          <w:rFonts w:asciiTheme="minorHAnsi" w:hAnsiTheme="minorHAnsi" w:cstheme="minorHAnsi"/>
          <w:sz w:val="22"/>
          <w:szCs w:val="22"/>
        </w:rPr>
        <w:t xml:space="preserve"> were they sites </w:t>
      </w:r>
      <w:r w:rsidR="00686D12" w:rsidRPr="00830E0F">
        <w:rPr>
          <w:rStyle w:val="fontstyle01"/>
          <w:rFonts w:asciiTheme="minorHAnsi" w:hAnsiTheme="minorHAnsi" w:cstheme="minorHAnsi"/>
          <w:sz w:val="22"/>
          <w:szCs w:val="22"/>
        </w:rPr>
        <w:t>of reciprocal feasting, where alliances between</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neighbo</w:t>
      </w:r>
      <w:r w:rsidR="00686D12" w:rsidRPr="00830E0F">
        <w:rPr>
          <w:rStyle w:val="fontstyle01"/>
          <w:rFonts w:asciiTheme="minorHAnsi" w:hAnsiTheme="minorHAnsi" w:cstheme="minorHAnsi"/>
          <w:sz w:val="22"/>
          <w:szCs w:val="22"/>
        </w:rPr>
        <w:t>u</w:t>
      </w:r>
      <w:r w:rsidR="00686D12" w:rsidRPr="00830E0F">
        <w:rPr>
          <w:rStyle w:val="fontstyle01"/>
          <w:rFonts w:asciiTheme="minorHAnsi" w:hAnsiTheme="minorHAnsi" w:cstheme="minorHAnsi"/>
          <w:sz w:val="22"/>
          <w:szCs w:val="22"/>
        </w:rPr>
        <w:t>ring groups were forged and consolidated</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 xml:space="preserve">These </w:t>
      </w:r>
      <w:r w:rsidR="00686D12" w:rsidRPr="00830E0F">
        <w:rPr>
          <w:rStyle w:val="fontstyle01"/>
          <w:rFonts w:asciiTheme="minorHAnsi" w:hAnsiTheme="minorHAnsi" w:cstheme="minorHAnsi"/>
          <w:sz w:val="22"/>
          <w:szCs w:val="22"/>
        </w:rPr>
        <w:t xml:space="preserve">centres </w:t>
      </w:r>
      <w:r w:rsidR="00686D12" w:rsidRPr="00830E0F">
        <w:rPr>
          <w:rStyle w:val="fontstyle01"/>
          <w:rFonts w:asciiTheme="minorHAnsi" w:hAnsiTheme="minorHAnsi" w:cstheme="minorHAnsi"/>
          <w:sz w:val="22"/>
          <w:szCs w:val="22"/>
        </w:rPr>
        <w:t>were lynchpins for a much greater scale of connectivity, involving</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dispa</w:t>
      </w:r>
      <w:r w:rsidR="00686D12" w:rsidRPr="00830E0F">
        <w:rPr>
          <w:rStyle w:val="fontstyle01"/>
          <w:rFonts w:asciiTheme="minorHAnsi" w:hAnsiTheme="minorHAnsi" w:cstheme="minorHAnsi"/>
          <w:sz w:val="22"/>
          <w:szCs w:val="22"/>
        </w:rPr>
        <w:t xml:space="preserve">rate groups from across Britain. </w:t>
      </w:r>
      <w:r w:rsidR="00830E0F">
        <w:rPr>
          <w:rStyle w:val="fontstyle01"/>
          <w:rFonts w:asciiTheme="minorHAnsi" w:hAnsiTheme="minorHAnsi" w:cstheme="minorHAnsi"/>
          <w:sz w:val="22"/>
          <w:szCs w:val="22"/>
        </w:rPr>
        <w:t>Results also s</w:t>
      </w:r>
      <w:r w:rsidR="00830E0F" w:rsidRPr="00F11EC9">
        <w:rPr>
          <w:rStyle w:val="fontstyle01"/>
          <w:rFonts w:asciiTheme="minorHAnsi" w:hAnsiTheme="minorHAnsi" w:cstheme="minorHAnsi"/>
          <w:sz w:val="22"/>
          <w:szCs w:val="22"/>
        </w:rPr>
        <w:t>uggest</w:t>
      </w:r>
      <w:r w:rsidR="00830E0F" w:rsidRPr="00F11EC9">
        <w:rPr>
          <w:rStyle w:val="fontstyle01"/>
          <w:rFonts w:asciiTheme="minorHAnsi" w:hAnsiTheme="minorHAnsi" w:cstheme="minorHAnsi"/>
          <w:sz w:val="22"/>
          <w:szCs w:val="22"/>
        </w:rPr>
        <w:t xml:space="preserve"> that prescribed contributions were required and that rules dictated that offered pigs must be raised by the feasting participants, accompanying</w:t>
      </w:r>
      <w:r w:rsidR="00830E0F" w:rsidRPr="00F11EC9">
        <w:rPr>
          <w:rStyle w:val="fontstyle01"/>
          <w:rFonts w:asciiTheme="minorHAnsi" w:hAnsiTheme="minorHAnsi" w:cstheme="minorHAnsi"/>
          <w:sz w:val="22"/>
          <w:szCs w:val="22"/>
        </w:rPr>
        <w:t xml:space="preserve"> </w:t>
      </w:r>
      <w:r w:rsidR="00830E0F" w:rsidRPr="00F11EC9">
        <w:rPr>
          <w:rStyle w:val="fontstyle01"/>
          <w:rFonts w:asciiTheme="minorHAnsi" w:hAnsiTheme="minorHAnsi" w:cstheme="minorHAnsi"/>
          <w:sz w:val="22"/>
          <w:szCs w:val="22"/>
        </w:rPr>
        <w:t xml:space="preserve">them on their journey, rather than being acquired locally. </w:t>
      </w:r>
      <w:r w:rsidR="00686D12" w:rsidRPr="00F11EC9">
        <w:rPr>
          <w:rStyle w:val="fontstyle01"/>
          <w:rFonts w:asciiTheme="minorHAnsi" w:hAnsiTheme="minorHAnsi"/>
          <w:sz w:val="22"/>
          <w:szCs w:val="22"/>
        </w:rPr>
        <w:t>The</w:t>
      </w:r>
      <w:r w:rsidRPr="00830E0F">
        <w:rPr>
          <w:rStyle w:val="fontstyle01"/>
          <w:rFonts w:asciiTheme="minorHAnsi" w:hAnsiTheme="minorHAnsi" w:cstheme="minorHAnsi"/>
          <w:sz w:val="22"/>
          <w:szCs w:val="22"/>
        </w:rPr>
        <w:t xml:space="preserve"> volume and</w:t>
      </w:r>
      <w:r w:rsidR="00830E0F">
        <w:rPr>
          <w:rStyle w:val="fontstyle01"/>
          <w:rFonts w:asciiTheme="minorHAnsi" w:hAnsiTheme="minorHAnsi" w:cstheme="minorHAnsi"/>
          <w:sz w:val="22"/>
          <w:szCs w:val="22"/>
        </w:rPr>
        <w:t xml:space="preserve"> </w:t>
      </w:r>
      <w:r w:rsidRPr="00830E0F">
        <w:rPr>
          <w:rStyle w:val="fontstyle01"/>
          <w:rFonts w:asciiTheme="minorHAnsi" w:hAnsiTheme="minorHAnsi" w:cstheme="minorHAnsi"/>
          <w:sz w:val="22"/>
          <w:szCs w:val="22"/>
        </w:rPr>
        <w:t>scale of movement</w:t>
      </w:r>
      <w:r w:rsidR="00686D12" w:rsidRPr="00830E0F">
        <w:rPr>
          <w:rStyle w:val="fontstyle01"/>
          <w:rFonts w:asciiTheme="minorHAnsi" w:hAnsiTheme="minorHAnsi" w:cstheme="minorHAnsi"/>
          <w:sz w:val="22"/>
          <w:szCs w:val="22"/>
        </w:rPr>
        <w:t xml:space="preserve"> has not previously evidenced and it can be argued that </w:t>
      </w:r>
      <w:r w:rsidR="00686D12" w:rsidRPr="00830E0F">
        <w:rPr>
          <w:rStyle w:val="fontstyle01"/>
          <w:rFonts w:asciiTheme="minorHAnsi" w:hAnsiTheme="minorHAnsi" w:cstheme="minorHAnsi"/>
          <w:sz w:val="22"/>
          <w:szCs w:val="22"/>
        </w:rPr>
        <w:t>the Late Neolithic was the first phase of</w:t>
      </w:r>
      <w:r w:rsidR="00686D12" w:rsidRPr="00830E0F">
        <w:rPr>
          <w:rStyle w:val="fontstyle01"/>
          <w:rFonts w:asciiTheme="minorHAnsi" w:hAnsiTheme="minorHAnsi" w:cstheme="minorHAnsi"/>
          <w:sz w:val="22"/>
          <w:szCs w:val="22"/>
        </w:rPr>
        <w:t xml:space="preserve"> </w:t>
      </w:r>
      <w:proofErr w:type="gramStart"/>
      <w:r w:rsidR="00686D12" w:rsidRPr="00830E0F">
        <w:rPr>
          <w:rStyle w:val="fontstyle01"/>
          <w:rFonts w:asciiTheme="minorHAnsi" w:hAnsiTheme="minorHAnsi" w:cstheme="minorHAnsi"/>
          <w:sz w:val="22"/>
          <w:szCs w:val="22"/>
        </w:rPr>
        <w:t>pan</w:t>
      </w:r>
      <w:proofErr w:type="gramEnd"/>
      <w:r w:rsidR="00686D12" w:rsidRPr="00830E0F">
        <w:rPr>
          <w:rStyle w:val="fontstyle01"/>
          <w:rFonts w:asciiTheme="minorHAnsi" w:hAnsiTheme="minorHAnsi" w:cstheme="minorHAnsi"/>
          <w:sz w:val="22"/>
          <w:szCs w:val="22"/>
        </w:rPr>
        <w:t xml:space="preserve">-British connectivity. </w:t>
      </w:r>
      <w:r w:rsidR="00686D12" w:rsidRPr="00830E0F">
        <w:rPr>
          <w:rStyle w:val="fontstyle01"/>
          <w:rFonts w:asciiTheme="minorHAnsi" w:hAnsiTheme="minorHAnsi" w:cstheme="minorHAnsi"/>
          <w:sz w:val="22"/>
          <w:szCs w:val="22"/>
        </w:rPr>
        <w:t>These long-distance networks were not only sustained by the movement</w:t>
      </w:r>
      <w:r w:rsidR="00686D12" w:rsidRPr="00830E0F">
        <w:rPr>
          <w:rFonts w:cstheme="minorHAnsi"/>
          <w:color w:val="000000"/>
        </w:rPr>
        <w:t xml:space="preserve"> </w:t>
      </w:r>
      <w:r w:rsidR="00686D12" w:rsidRPr="00830E0F">
        <w:rPr>
          <w:rStyle w:val="fontstyle01"/>
          <w:rFonts w:asciiTheme="minorHAnsi" w:hAnsiTheme="minorHAnsi" w:cstheme="minorHAnsi"/>
          <w:sz w:val="22"/>
          <w:szCs w:val="22"/>
        </w:rPr>
        <w:t xml:space="preserve">of people but also of livestock. </w:t>
      </w:r>
      <w:r w:rsidR="00F11EC9">
        <w:rPr>
          <w:rStyle w:val="fontstyle01"/>
          <w:rFonts w:asciiTheme="minorHAnsi" w:hAnsiTheme="minorHAnsi" w:cstheme="minorHAnsi"/>
          <w:sz w:val="22"/>
          <w:szCs w:val="22"/>
        </w:rPr>
        <w:t>T</w:t>
      </w:r>
      <w:r w:rsidR="00686D12" w:rsidRPr="00830E0F">
        <w:rPr>
          <w:rStyle w:val="fontstyle01"/>
          <w:rFonts w:asciiTheme="minorHAnsi" w:hAnsiTheme="minorHAnsi" w:cstheme="minorHAnsi"/>
          <w:sz w:val="22"/>
          <w:szCs w:val="22"/>
        </w:rPr>
        <w:t>hese results provide clear evidence for a great volume</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and scale of intercommunity mobility in Late Neolithic Britain,</w:t>
      </w:r>
      <w:r w:rsidR="00686D12" w:rsidRPr="00830E0F">
        <w:rPr>
          <w:rStyle w:val="fontstyle01"/>
          <w:rFonts w:asciiTheme="minorHAnsi" w:hAnsiTheme="minorHAnsi" w:cstheme="minorHAnsi"/>
          <w:sz w:val="22"/>
          <w:szCs w:val="22"/>
        </w:rPr>
        <w:t xml:space="preserve"> </w:t>
      </w:r>
      <w:r w:rsidR="00686D12" w:rsidRPr="00830E0F">
        <w:rPr>
          <w:rStyle w:val="fontstyle01"/>
          <w:rFonts w:asciiTheme="minorHAnsi" w:hAnsiTheme="minorHAnsi" w:cstheme="minorHAnsi"/>
          <w:sz w:val="22"/>
          <w:szCs w:val="22"/>
        </w:rPr>
        <w:t>demonstrating a level of interaction and social complexity not previously appreciated.</w:t>
      </w:r>
    </w:p>
    <w:p w:rsidR="00686D12" w:rsidRDefault="00686D12" w:rsidP="00686D12">
      <w:pPr>
        <w:rPr>
          <w:rStyle w:val="fontstyle01"/>
        </w:rPr>
      </w:pPr>
    </w:p>
    <w:p w:rsidR="00686D12" w:rsidRDefault="00686D12" w:rsidP="00686D12">
      <w:pPr>
        <w:rPr>
          <w:rStyle w:val="fontstyle01"/>
        </w:rPr>
      </w:pPr>
    </w:p>
    <w:p w:rsidR="00406618" w:rsidRPr="001D624E" w:rsidRDefault="00406618" w:rsidP="00406618">
      <w:pPr>
        <w:jc w:val="both"/>
        <w:rPr>
          <w:rFonts w:cstheme="minorHAnsi"/>
        </w:rPr>
      </w:pPr>
    </w:p>
    <w:p w:rsidR="00406618" w:rsidRPr="001D624E" w:rsidRDefault="00406618" w:rsidP="00406618">
      <w:pPr>
        <w:jc w:val="both"/>
        <w:rPr>
          <w:rFonts w:cstheme="minorHAnsi"/>
          <w:b/>
        </w:rPr>
      </w:pPr>
      <w:r w:rsidRPr="001D624E">
        <w:rPr>
          <w:rFonts w:cstheme="minorHAnsi"/>
          <w:b/>
        </w:rPr>
        <w:t>Original article:</w:t>
      </w:r>
    </w:p>
    <w:p w:rsidR="00406618" w:rsidRPr="001D624E" w:rsidRDefault="00406618" w:rsidP="00406618">
      <w:pPr>
        <w:jc w:val="both"/>
        <w:rPr>
          <w:rFonts w:cstheme="minorHAnsi"/>
        </w:rPr>
      </w:pPr>
      <w:proofErr w:type="spellStart"/>
      <w:r w:rsidRPr="001D624E">
        <w:rPr>
          <w:rFonts w:cstheme="minorHAnsi"/>
        </w:rPr>
        <w:t>Madgwick</w:t>
      </w:r>
      <w:proofErr w:type="spellEnd"/>
      <w:r w:rsidRPr="001D624E">
        <w:rPr>
          <w:rFonts w:cstheme="minorHAnsi"/>
        </w:rPr>
        <w:t xml:space="preserve"> R, Lamb A, Sloane H, </w:t>
      </w:r>
      <w:proofErr w:type="spellStart"/>
      <w:r w:rsidRPr="001D624E">
        <w:rPr>
          <w:rFonts w:cstheme="minorHAnsi"/>
        </w:rPr>
        <w:t>Nederbragt</w:t>
      </w:r>
      <w:proofErr w:type="spellEnd"/>
      <w:r w:rsidRPr="001D624E">
        <w:rPr>
          <w:rFonts w:cstheme="minorHAnsi"/>
        </w:rPr>
        <w:t xml:space="preserve"> A, Viner S, </w:t>
      </w:r>
      <w:proofErr w:type="spellStart"/>
      <w:r w:rsidRPr="001D624E">
        <w:rPr>
          <w:rFonts w:cstheme="minorHAnsi"/>
        </w:rPr>
        <w:t>Albarella</w:t>
      </w:r>
      <w:proofErr w:type="spellEnd"/>
      <w:r w:rsidRPr="001D624E">
        <w:rPr>
          <w:rFonts w:cstheme="minorHAnsi"/>
        </w:rPr>
        <w:t xml:space="preserve"> U, Parker Pearson M, Evans J.  2019. Multi-isotope analysis demonstrates long distance movement of people and animals for feasts in the Stonehenge landscape. </w:t>
      </w:r>
      <w:r w:rsidRPr="001D624E">
        <w:rPr>
          <w:rFonts w:cstheme="minorHAnsi"/>
          <w:i/>
        </w:rPr>
        <w:t>Science Advances</w:t>
      </w:r>
      <w:r w:rsidRPr="001D624E">
        <w:rPr>
          <w:rFonts w:cstheme="minorHAnsi"/>
        </w:rPr>
        <w:t xml:space="preserve"> 5, eaau6078.</w:t>
      </w:r>
    </w:p>
    <w:p w:rsidR="0001646F" w:rsidRPr="001D624E" w:rsidRDefault="0001646F">
      <w:pPr>
        <w:rPr>
          <w:rFonts w:eastAsia="Times New Roman" w:cstheme="minorHAnsi"/>
          <w:bCs/>
          <w:iCs/>
          <w:lang w:eastAsia="en-GB"/>
        </w:rPr>
      </w:pPr>
    </w:p>
    <w:p w:rsidR="0001646F" w:rsidRDefault="0001646F"/>
    <w:sectPr w:rsidR="0001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Times New Roman"/>
    <w:panose1 w:val="00000000000000000000"/>
    <w:charset w:val="00"/>
    <w:family w:val="roman"/>
    <w:notTrueType/>
    <w:pitch w:val="default"/>
  </w:font>
  <w:font w:name="MinionPro-Italic">
    <w:altName w:val="Times New Roman"/>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3E"/>
    <w:rsid w:val="00001918"/>
    <w:rsid w:val="0001646F"/>
    <w:rsid w:val="001D624E"/>
    <w:rsid w:val="002A183E"/>
    <w:rsid w:val="00340DC3"/>
    <w:rsid w:val="00406618"/>
    <w:rsid w:val="00510F74"/>
    <w:rsid w:val="00686D12"/>
    <w:rsid w:val="00830E0F"/>
    <w:rsid w:val="0085484A"/>
    <w:rsid w:val="0093498C"/>
    <w:rsid w:val="009D5DED"/>
    <w:rsid w:val="00A175FD"/>
    <w:rsid w:val="00AE344E"/>
    <w:rsid w:val="00B80F93"/>
    <w:rsid w:val="00D946B3"/>
    <w:rsid w:val="00E136AF"/>
    <w:rsid w:val="00E36EB2"/>
    <w:rsid w:val="00EE5599"/>
    <w:rsid w:val="00F1083C"/>
    <w:rsid w:val="00F11EC9"/>
    <w:rsid w:val="00FD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FBC2"/>
  <w15:chartTrackingRefBased/>
  <w15:docId w15:val="{E2CB5EDE-C34B-48B3-ACA5-EA9CF1D2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83E"/>
    <w:rPr>
      <w:color w:val="0000FF"/>
      <w:u w:val="single"/>
    </w:rPr>
  </w:style>
  <w:style w:type="paragraph" w:styleId="NormalWeb">
    <w:name w:val="Normal (Web)"/>
    <w:basedOn w:val="Normal"/>
    <w:uiPriority w:val="99"/>
    <w:semiHidden/>
    <w:unhideWhenUsed/>
    <w:rsid w:val="002A183E"/>
    <w:pPr>
      <w:spacing w:after="0" w:line="240" w:lineRule="auto"/>
    </w:pPr>
    <w:rPr>
      <w:rFonts w:ascii="Times New Roman" w:hAnsi="Times New Roman" w:cs="Times New Roman"/>
      <w:color w:val="333333"/>
      <w:sz w:val="24"/>
      <w:szCs w:val="24"/>
      <w:lang w:eastAsia="en-GB"/>
    </w:rPr>
  </w:style>
  <w:style w:type="character" w:customStyle="1" w:styleId="fontstyle01">
    <w:name w:val="fontstyle01"/>
    <w:basedOn w:val="DefaultParagraphFont"/>
    <w:rsid w:val="001D624E"/>
    <w:rPr>
      <w:rFonts w:ascii="MinionPro" w:hAnsi="MinionPro" w:hint="default"/>
      <w:b w:val="0"/>
      <w:bCs w:val="0"/>
      <w:i w:val="0"/>
      <w:iCs w:val="0"/>
      <w:color w:val="000000"/>
      <w:sz w:val="20"/>
      <w:szCs w:val="20"/>
    </w:rPr>
  </w:style>
  <w:style w:type="character" w:customStyle="1" w:styleId="fontstyle21">
    <w:name w:val="fontstyle21"/>
    <w:basedOn w:val="DefaultParagraphFont"/>
    <w:rsid w:val="001D624E"/>
    <w:rPr>
      <w:rFonts w:ascii="MinionPro-Italic" w:hAnsi="MinionPro-Italic" w:hint="default"/>
      <w:b w:val="0"/>
      <w:bCs w:val="0"/>
      <w:i/>
      <w:iCs/>
      <w:color w:val="000000"/>
      <w:sz w:val="20"/>
      <w:szCs w:val="20"/>
    </w:rPr>
  </w:style>
  <w:style w:type="character" w:customStyle="1" w:styleId="fontstyle31">
    <w:name w:val="fontstyle31"/>
    <w:basedOn w:val="DefaultParagraphFont"/>
    <w:rsid w:val="00686D12"/>
    <w:rPr>
      <w:rFonts w:ascii="Helvetica" w:hAnsi="Helvetica"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Madgwick</dc:creator>
  <cp:keywords/>
  <dc:description/>
  <cp:lastModifiedBy>RICHARD MADGWICK</cp:lastModifiedBy>
  <cp:revision>8</cp:revision>
  <dcterms:created xsi:type="dcterms:W3CDTF">2019-05-28T13:39:00Z</dcterms:created>
  <dcterms:modified xsi:type="dcterms:W3CDTF">2019-05-29T12:13:00Z</dcterms:modified>
</cp:coreProperties>
</file>