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CDD68" w14:textId="77777777" w:rsidR="00231083" w:rsidRDefault="00000000">
      <w:pPr>
        <w:jc w:val="center"/>
      </w:pPr>
      <w:r>
        <w:rPr>
          <w:b/>
          <w:color w:val="1F4E79"/>
          <w:sz w:val="40"/>
        </w:rPr>
        <w:t>Evidencias utilizadas</w:t>
      </w:r>
    </w:p>
    <w:p w14:paraId="6106B5C5" w14:textId="77777777" w:rsidR="00231083" w:rsidRDefault="00000000">
      <w:pPr>
        <w:jc w:val="center"/>
      </w:pPr>
      <w:r>
        <w:rPr>
          <w:i/>
          <w:color w:val="595959"/>
          <w:sz w:val="22"/>
        </w:rPr>
        <w:t>Documento base de evidencia técnica para ADR</w:t>
      </w:r>
    </w:p>
    <w:p w14:paraId="59784259" w14:textId="77777777" w:rsidR="00231083" w:rsidRDefault="00000000">
      <w:pPr>
        <w:spacing w:after="120" w:line="252" w:lineRule="auto"/>
      </w:pPr>
      <w:r>
        <w:t>Este documento consolida evidencia técnica base para soportar el ADR relacionado con la separación del frontend respecto al backend y la habilitación de un modelo de publicación de frontend estático mediante Blob Storage + Azure Front Door.</w:t>
      </w:r>
    </w:p>
    <w:p w14:paraId="75962CDE" w14:textId="77777777" w:rsidR="00231083" w:rsidRDefault="00000000">
      <w:pPr>
        <w:spacing w:after="120" w:line="252" w:lineRule="auto"/>
      </w:pPr>
      <w:r>
        <w:t>La información se estructura en tres bloques: métricas de compilación, análisis de costos y revisión de pipelines actuales. El contenido se presenta como soporte técnico y no como documento formal académico.</w:t>
      </w:r>
    </w:p>
    <w:p w14:paraId="1D442701" w14:textId="77777777" w:rsidR="00231083" w:rsidRDefault="00000000">
      <w:pPr>
        <w:pStyle w:val="Ttulo1"/>
        <w:spacing w:before="160" w:after="80"/>
      </w:pPr>
      <w:r>
        <w:t>1. Métricas de compilación</w:t>
      </w:r>
    </w:p>
    <w:p w14:paraId="5A9909A2" w14:textId="77777777" w:rsidR="00231083" w:rsidRDefault="00000000">
      <w:pPr>
        <w:pStyle w:val="Ttulo2"/>
        <w:spacing w:before="80" w:after="80"/>
      </w:pPr>
      <w:r>
        <w:t>Alcance</w:t>
      </w:r>
    </w:p>
    <w:p w14:paraId="3C137580" w14:textId="77777777" w:rsidR="00231083" w:rsidRDefault="00000000">
      <w:pPr>
        <w:spacing w:after="120" w:line="252" w:lineRule="auto"/>
      </w:pPr>
      <w:r>
        <w:t>Se analizaron pipelines monolíticos FE+BE y pipelines backend independientes en Azure DevOps. La métrica principal utilizada fue la duración del stage Build, no la duración total del pipeline.</w:t>
      </w:r>
    </w:p>
    <w:p w14:paraId="518F8DAF" w14:textId="77777777" w:rsidR="00231083" w:rsidRDefault="00000000">
      <w:pPr>
        <w:spacing w:after="120" w:line="252" w:lineRule="auto"/>
      </w:pPr>
      <w:r>
        <w:t>No se usa la duración total del pipeline como métrica principal porque algunos runs pueden quedar abiertos por aprobaciones, cancelaciones o stages posteriores al build. Esto puede distorsionar la medición real de compilación.</w:t>
      </w:r>
    </w:p>
    <w:p w14:paraId="0B3B58C8" w14:textId="77777777" w:rsidR="00231083" w:rsidRDefault="00000000">
      <w:pPr>
        <w:spacing w:after="120" w:line="252" w:lineRule="auto"/>
      </w:pPr>
      <w:r>
        <w:t>Para los monolitos FE+BE se analizaron pipelines donde frontend y backend hacen parte de una misma unidad de construcción y publicación. Para las APIs backend independientes se analizaron pipelines sin frontend embebido. Adicionalmente, se tomó como referencia preliminar una PoC de frontend independiente, con pocas ejecuciones disponibles.</w:t>
      </w:r>
    </w:p>
    <w:p w14:paraId="7EC99AD6" w14:textId="77777777" w:rsidR="00231083" w:rsidRDefault="00000000">
      <w:pPr>
        <w:pStyle w:val="Ttulo2"/>
        <w:spacing w:before="80" w:after="80"/>
      </w:pPr>
      <w:r>
        <w:t>Resultados consolidados — Monolitos FE+BE</w:t>
      </w:r>
    </w:p>
    <w:tbl>
      <w:tblPr>
        <w:tblStyle w:val="Tablaconcuadrcula"/>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6021"/>
        <w:gridCol w:w="4563"/>
      </w:tblGrid>
      <w:tr w:rsidR="00231083" w14:paraId="1F6CE6DD" w14:textId="77777777">
        <w:trPr>
          <w:jc w:val="center"/>
        </w:trPr>
        <w:tc>
          <w:tcPr>
            <w:tcW w:w="6912" w:type="dxa"/>
            <w:shd w:val="clear" w:color="auto" w:fill="1F4E79"/>
            <w:vAlign w:val="center"/>
          </w:tcPr>
          <w:p w14:paraId="17460E10" w14:textId="77777777" w:rsidR="00231083" w:rsidRDefault="00000000">
            <w:r>
              <w:rPr>
                <w:b/>
                <w:color w:val="FFFFFF"/>
                <w:sz w:val="17"/>
              </w:rPr>
              <w:t>Métrica</w:t>
            </w:r>
          </w:p>
        </w:tc>
        <w:tc>
          <w:tcPr>
            <w:tcW w:w="2880" w:type="dxa"/>
            <w:shd w:val="clear" w:color="auto" w:fill="1F4E79"/>
            <w:vAlign w:val="center"/>
          </w:tcPr>
          <w:p w14:paraId="75963B46" w14:textId="77777777" w:rsidR="00231083" w:rsidRDefault="00000000">
            <w:r>
              <w:rPr>
                <w:b/>
                <w:color w:val="FFFFFF"/>
                <w:sz w:val="17"/>
              </w:rPr>
              <w:t>Resultado</w:t>
            </w:r>
          </w:p>
        </w:tc>
      </w:tr>
      <w:tr w:rsidR="00231083" w14:paraId="0C4B1EF0" w14:textId="77777777">
        <w:trPr>
          <w:jc w:val="center"/>
        </w:trPr>
        <w:tc>
          <w:tcPr>
            <w:tcW w:w="5184" w:type="dxa"/>
            <w:vAlign w:val="center"/>
          </w:tcPr>
          <w:p w14:paraId="2FE17EA2" w14:textId="77777777" w:rsidR="00231083" w:rsidRDefault="00000000">
            <w:r>
              <w:rPr>
                <w:sz w:val="17"/>
              </w:rPr>
              <w:t>Ejecuciones consultadas</w:t>
            </w:r>
          </w:p>
        </w:tc>
        <w:tc>
          <w:tcPr>
            <w:tcW w:w="5184" w:type="dxa"/>
            <w:vAlign w:val="center"/>
          </w:tcPr>
          <w:p w14:paraId="78C3D83A" w14:textId="77777777" w:rsidR="00231083" w:rsidRDefault="00000000">
            <w:r>
              <w:rPr>
                <w:sz w:val="17"/>
              </w:rPr>
              <w:t>82</w:t>
            </w:r>
          </w:p>
        </w:tc>
      </w:tr>
      <w:tr w:rsidR="00231083" w14:paraId="3FB8E7E0" w14:textId="77777777">
        <w:trPr>
          <w:jc w:val="center"/>
        </w:trPr>
        <w:tc>
          <w:tcPr>
            <w:tcW w:w="5184" w:type="dxa"/>
            <w:vAlign w:val="center"/>
          </w:tcPr>
          <w:p w14:paraId="38EE8606" w14:textId="77777777" w:rsidR="00231083" w:rsidRDefault="00000000">
            <w:r>
              <w:rPr>
                <w:sz w:val="17"/>
              </w:rPr>
              <w:t>Ejecuciones exitosas usadas para métricas de duración</w:t>
            </w:r>
          </w:p>
        </w:tc>
        <w:tc>
          <w:tcPr>
            <w:tcW w:w="5184" w:type="dxa"/>
            <w:vAlign w:val="center"/>
          </w:tcPr>
          <w:p w14:paraId="31986DCC" w14:textId="77777777" w:rsidR="00231083" w:rsidRDefault="00000000">
            <w:r>
              <w:rPr>
                <w:sz w:val="17"/>
              </w:rPr>
              <w:t>38</w:t>
            </w:r>
          </w:p>
        </w:tc>
      </w:tr>
      <w:tr w:rsidR="00231083" w14:paraId="19479DAD" w14:textId="77777777">
        <w:trPr>
          <w:jc w:val="center"/>
        </w:trPr>
        <w:tc>
          <w:tcPr>
            <w:tcW w:w="5184" w:type="dxa"/>
            <w:vAlign w:val="center"/>
          </w:tcPr>
          <w:p w14:paraId="33A46221" w14:textId="77777777" w:rsidR="00231083" w:rsidRDefault="00000000">
            <w:r>
              <w:rPr>
                <w:sz w:val="17"/>
              </w:rPr>
              <w:t>Ejecuciones fallidas consideradas para tasa de falla</w:t>
            </w:r>
          </w:p>
        </w:tc>
        <w:tc>
          <w:tcPr>
            <w:tcW w:w="5184" w:type="dxa"/>
            <w:vAlign w:val="center"/>
          </w:tcPr>
          <w:p w14:paraId="44555917" w14:textId="77777777" w:rsidR="00231083" w:rsidRDefault="00000000">
            <w:r>
              <w:rPr>
                <w:sz w:val="17"/>
              </w:rPr>
              <w:t>24</w:t>
            </w:r>
          </w:p>
        </w:tc>
      </w:tr>
      <w:tr w:rsidR="00231083" w14:paraId="63B5B832" w14:textId="77777777">
        <w:trPr>
          <w:jc w:val="center"/>
        </w:trPr>
        <w:tc>
          <w:tcPr>
            <w:tcW w:w="5184" w:type="dxa"/>
            <w:vAlign w:val="center"/>
          </w:tcPr>
          <w:p w14:paraId="6B78B2E9" w14:textId="77777777" w:rsidR="00231083" w:rsidRDefault="00000000">
            <w:r>
              <w:rPr>
                <w:sz w:val="17"/>
              </w:rPr>
              <w:t>Ejecuciones canceladas</w:t>
            </w:r>
          </w:p>
        </w:tc>
        <w:tc>
          <w:tcPr>
            <w:tcW w:w="5184" w:type="dxa"/>
            <w:vAlign w:val="center"/>
          </w:tcPr>
          <w:p w14:paraId="10749646" w14:textId="77777777" w:rsidR="00231083" w:rsidRDefault="00000000">
            <w:r>
              <w:rPr>
                <w:sz w:val="17"/>
              </w:rPr>
              <w:t>20</w:t>
            </w:r>
          </w:p>
        </w:tc>
      </w:tr>
      <w:tr w:rsidR="00231083" w14:paraId="5B8DBF46" w14:textId="77777777">
        <w:trPr>
          <w:jc w:val="center"/>
        </w:trPr>
        <w:tc>
          <w:tcPr>
            <w:tcW w:w="5184" w:type="dxa"/>
            <w:vAlign w:val="center"/>
          </w:tcPr>
          <w:p w14:paraId="4D683BEB" w14:textId="77777777" w:rsidR="00231083" w:rsidRDefault="00000000">
            <w:r>
              <w:rPr>
                <w:sz w:val="17"/>
              </w:rPr>
              <w:t>Tiempo promedio stage Build monolito FE+BE</w:t>
            </w:r>
          </w:p>
        </w:tc>
        <w:tc>
          <w:tcPr>
            <w:tcW w:w="5184" w:type="dxa"/>
            <w:vAlign w:val="center"/>
          </w:tcPr>
          <w:p w14:paraId="32CF7379" w14:textId="77777777" w:rsidR="00231083" w:rsidRDefault="00000000">
            <w:r>
              <w:rPr>
                <w:sz w:val="17"/>
              </w:rPr>
              <w:t>4m 16s</w:t>
            </w:r>
          </w:p>
        </w:tc>
      </w:tr>
      <w:tr w:rsidR="00231083" w14:paraId="6342B00D" w14:textId="77777777">
        <w:trPr>
          <w:jc w:val="center"/>
        </w:trPr>
        <w:tc>
          <w:tcPr>
            <w:tcW w:w="5184" w:type="dxa"/>
            <w:vAlign w:val="center"/>
          </w:tcPr>
          <w:p w14:paraId="67EFC3DB" w14:textId="77777777" w:rsidR="00231083" w:rsidRDefault="00000000">
            <w:r>
              <w:rPr>
                <w:sz w:val="17"/>
              </w:rPr>
              <w:t>Tiempo promedio queue → artifact ready</w:t>
            </w:r>
          </w:p>
        </w:tc>
        <w:tc>
          <w:tcPr>
            <w:tcW w:w="5184" w:type="dxa"/>
            <w:vAlign w:val="center"/>
          </w:tcPr>
          <w:p w14:paraId="7439AA2F" w14:textId="77777777" w:rsidR="00231083" w:rsidRDefault="00000000">
            <w:r>
              <w:rPr>
                <w:sz w:val="17"/>
              </w:rPr>
              <w:t>4m 36s</w:t>
            </w:r>
          </w:p>
        </w:tc>
      </w:tr>
      <w:tr w:rsidR="00231083" w14:paraId="6463F0CC" w14:textId="77777777">
        <w:trPr>
          <w:jc w:val="center"/>
        </w:trPr>
        <w:tc>
          <w:tcPr>
            <w:tcW w:w="5184" w:type="dxa"/>
            <w:vAlign w:val="center"/>
          </w:tcPr>
          <w:p w14:paraId="1068E0FB" w14:textId="77777777" w:rsidR="00231083" w:rsidRDefault="00000000">
            <w:r>
              <w:rPr>
                <w:sz w:val="17"/>
              </w:rPr>
              <w:t>Tiempo promedio de espera en cola del agente</w:t>
            </w:r>
          </w:p>
        </w:tc>
        <w:tc>
          <w:tcPr>
            <w:tcW w:w="5184" w:type="dxa"/>
            <w:vAlign w:val="center"/>
          </w:tcPr>
          <w:p w14:paraId="228BB322" w14:textId="77777777" w:rsidR="00231083" w:rsidRDefault="00000000">
            <w:r>
              <w:rPr>
                <w:sz w:val="17"/>
              </w:rPr>
              <w:t>27s</w:t>
            </w:r>
          </w:p>
        </w:tc>
      </w:tr>
      <w:tr w:rsidR="00231083" w14:paraId="24CF4AD9" w14:textId="77777777">
        <w:trPr>
          <w:jc w:val="center"/>
        </w:trPr>
        <w:tc>
          <w:tcPr>
            <w:tcW w:w="5184" w:type="dxa"/>
            <w:vAlign w:val="center"/>
          </w:tcPr>
          <w:p w14:paraId="6919ACF4" w14:textId="77777777" w:rsidR="00231083" w:rsidRDefault="00000000">
            <w:r>
              <w:rPr>
                <w:sz w:val="17"/>
              </w:rPr>
              <w:t>p50 promedio ponderado del stage Build</w:t>
            </w:r>
          </w:p>
        </w:tc>
        <w:tc>
          <w:tcPr>
            <w:tcW w:w="5184" w:type="dxa"/>
            <w:vAlign w:val="center"/>
          </w:tcPr>
          <w:p w14:paraId="190D0D98" w14:textId="77777777" w:rsidR="00231083" w:rsidRDefault="00000000">
            <w:r>
              <w:rPr>
                <w:sz w:val="17"/>
              </w:rPr>
              <w:t>4m 18s</w:t>
            </w:r>
          </w:p>
        </w:tc>
      </w:tr>
      <w:tr w:rsidR="00231083" w14:paraId="5D6F1CBB" w14:textId="77777777">
        <w:trPr>
          <w:jc w:val="center"/>
        </w:trPr>
        <w:tc>
          <w:tcPr>
            <w:tcW w:w="5184" w:type="dxa"/>
            <w:vAlign w:val="center"/>
          </w:tcPr>
          <w:p w14:paraId="3F773D60" w14:textId="77777777" w:rsidR="00231083" w:rsidRDefault="00000000">
            <w:r>
              <w:rPr>
                <w:sz w:val="17"/>
              </w:rPr>
              <w:t>p90 promedio ponderado del stage Build</w:t>
            </w:r>
          </w:p>
        </w:tc>
        <w:tc>
          <w:tcPr>
            <w:tcW w:w="5184" w:type="dxa"/>
            <w:vAlign w:val="center"/>
          </w:tcPr>
          <w:p w14:paraId="5C7A5DD8" w14:textId="77777777" w:rsidR="00231083" w:rsidRDefault="00000000">
            <w:r>
              <w:rPr>
                <w:sz w:val="17"/>
              </w:rPr>
              <w:t>4m 51s</w:t>
            </w:r>
          </w:p>
        </w:tc>
      </w:tr>
      <w:tr w:rsidR="00231083" w14:paraId="6195A45B" w14:textId="77777777">
        <w:trPr>
          <w:jc w:val="center"/>
        </w:trPr>
        <w:tc>
          <w:tcPr>
            <w:tcW w:w="5184" w:type="dxa"/>
            <w:vAlign w:val="center"/>
          </w:tcPr>
          <w:p w14:paraId="0AAE160B" w14:textId="77777777" w:rsidR="00231083" w:rsidRDefault="00000000">
            <w:r>
              <w:rPr>
                <w:sz w:val="17"/>
              </w:rPr>
              <w:t>p99 promedio ponderado del stage Build</w:t>
            </w:r>
          </w:p>
        </w:tc>
        <w:tc>
          <w:tcPr>
            <w:tcW w:w="5184" w:type="dxa"/>
            <w:vAlign w:val="center"/>
          </w:tcPr>
          <w:p w14:paraId="53904AE2" w14:textId="77777777" w:rsidR="00231083" w:rsidRDefault="00000000">
            <w:r>
              <w:rPr>
                <w:sz w:val="17"/>
              </w:rPr>
              <w:t>5m 02s</w:t>
            </w:r>
          </w:p>
        </w:tc>
      </w:tr>
      <w:tr w:rsidR="00231083" w14:paraId="1670117F" w14:textId="77777777">
        <w:trPr>
          <w:jc w:val="center"/>
        </w:trPr>
        <w:tc>
          <w:tcPr>
            <w:tcW w:w="5184" w:type="dxa"/>
            <w:vAlign w:val="center"/>
          </w:tcPr>
          <w:p w14:paraId="44CF123F" w14:textId="77777777" w:rsidR="00231083" w:rsidRDefault="00000000">
            <w:r>
              <w:rPr>
                <w:sz w:val="17"/>
              </w:rPr>
              <w:t>Tamaño promedio ajustado del artefacto FE+BE</w:t>
            </w:r>
          </w:p>
        </w:tc>
        <w:tc>
          <w:tcPr>
            <w:tcW w:w="5184" w:type="dxa"/>
            <w:vAlign w:val="center"/>
          </w:tcPr>
          <w:p w14:paraId="56FBD6E6" w14:textId="77777777" w:rsidR="00231083" w:rsidRDefault="00000000">
            <w:r>
              <w:rPr>
                <w:sz w:val="17"/>
              </w:rPr>
              <w:t>45.63 MB</w:t>
            </w:r>
          </w:p>
        </w:tc>
      </w:tr>
      <w:tr w:rsidR="00231083" w14:paraId="1AFC3641" w14:textId="77777777">
        <w:trPr>
          <w:jc w:val="center"/>
        </w:trPr>
        <w:tc>
          <w:tcPr>
            <w:tcW w:w="5184" w:type="dxa"/>
            <w:vAlign w:val="center"/>
          </w:tcPr>
          <w:p w14:paraId="645BE3BD" w14:textId="77777777" w:rsidR="00231083" w:rsidRDefault="00000000">
            <w:r>
              <w:rPr>
                <w:sz w:val="17"/>
              </w:rPr>
              <w:t>Artefacto máximo observado</w:t>
            </w:r>
          </w:p>
        </w:tc>
        <w:tc>
          <w:tcPr>
            <w:tcW w:w="5184" w:type="dxa"/>
            <w:vAlign w:val="center"/>
          </w:tcPr>
          <w:p w14:paraId="343CC91D" w14:textId="77777777" w:rsidR="00231083" w:rsidRDefault="00000000">
            <w:r>
              <w:rPr>
                <w:sz w:val="17"/>
              </w:rPr>
              <w:t>170 MB</w:t>
            </w:r>
          </w:p>
        </w:tc>
      </w:tr>
      <w:tr w:rsidR="00231083" w14:paraId="5B049D6F" w14:textId="77777777">
        <w:trPr>
          <w:jc w:val="center"/>
        </w:trPr>
        <w:tc>
          <w:tcPr>
            <w:tcW w:w="5184" w:type="dxa"/>
            <w:vAlign w:val="center"/>
          </w:tcPr>
          <w:p w14:paraId="58BA117C" w14:textId="77777777" w:rsidR="00231083" w:rsidRDefault="00000000">
            <w:r>
              <w:rPr>
                <w:sz w:val="17"/>
              </w:rPr>
              <w:t>Pipeline con artefacto máximo observado</w:t>
            </w:r>
          </w:p>
        </w:tc>
        <w:tc>
          <w:tcPr>
            <w:tcW w:w="5184" w:type="dxa"/>
            <w:vAlign w:val="center"/>
          </w:tcPr>
          <w:p w14:paraId="753DB2E3" w14:textId="77777777" w:rsidR="00231083" w:rsidRDefault="00000000">
            <w:r>
              <w:rPr>
                <w:sz w:val="17"/>
              </w:rPr>
              <w:t>modulith-reservastuya-reservas</w:t>
            </w:r>
          </w:p>
        </w:tc>
      </w:tr>
      <w:tr w:rsidR="00231083" w14:paraId="38619832" w14:textId="77777777">
        <w:trPr>
          <w:jc w:val="center"/>
        </w:trPr>
        <w:tc>
          <w:tcPr>
            <w:tcW w:w="5184" w:type="dxa"/>
            <w:vAlign w:val="center"/>
          </w:tcPr>
          <w:p w14:paraId="5B18859D" w14:textId="77777777" w:rsidR="00231083" w:rsidRDefault="00000000">
            <w:r>
              <w:rPr>
                <w:sz w:val="17"/>
              </w:rPr>
              <w:t>Frecuencia de fallas del pipeline monolítico</w:t>
            </w:r>
          </w:p>
        </w:tc>
        <w:tc>
          <w:tcPr>
            <w:tcW w:w="5184" w:type="dxa"/>
            <w:vAlign w:val="center"/>
          </w:tcPr>
          <w:p w14:paraId="56CAAD27" w14:textId="77777777" w:rsidR="00231083" w:rsidRDefault="00000000">
            <w:r>
              <w:rPr>
                <w:sz w:val="17"/>
              </w:rPr>
              <w:t>38.7%</w:t>
            </w:r>
          </w:p>
        </w:tc>
      </w:tr>
    </w:tbl>
    <w:p w14:paraId="131886A4" w14:textId="77777777" w:rsidR="00231083" w:rsidRDefault="00231083"/>
    <w:p w14:paraId="2EF1F834" w14:textId="77777777" w:rsidR="00231083" w:rsidRDefault="00000000">
      <w:pPr>
        <w:pStyle w:val="Ttulo2"/>
        <w:spacing w:before="80" w:after="80"/>
      </w:pPr>
      <w:r>
        <w:t>Resultados consolidados — Backend independiente</w:t>
      </w:r>
    </w:p>
    <w:tbl>
      <w:tblPr>
        <w:tblStyle w:val="Tablaconcuadrcula"/>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6044"/>
        <w:gridCol w:w="4540"/>
      </w:tblGrid>
      <w:tr w:rsidR="00231083" w14:paraId="75691D63" w14:textId="77777777">
        <w:trPr>
          <w:jc w:val="center"/>
        </w:trPr>
        <w:tc>
          <w:tcPr>
            <w:tcW w:w="6912" w:type="dxa"/>
            <w:shd w:val="clear" w:color="auto" w:fill="1F4E79"/>
            <w:vAlign w:val="center"/>
          </w:tcPr>
          <w:p w14:paraId="13CBA654" w14:textId="77777777" w:rsidR="00231083" w:rsidRDefault="00000000">
            <w:r>
              <w:rPr>
                <w:b/>
                <w:color w:val="FFFFFF"/>
                <w:sz w:val="17"/>
              </w:rPr>
              <w:t>Métrica</w:t>
            </w:r>
          </w:p>
        </w:tc>
        <w:tc>
          <w:tcPr>
            <w:tcW w:w="2880" w:type="dxa"/>
            <w:shd w:val="clear" w:color="auto" w:fill="1F4E79"/>
            <w:vAlign w:val="center"/>
          </w:tcPr>
          <w:p w14:paraId="06B8AA47" w14:textId="77777777" w:rsidR="00231083" w:rsidRDefault="00000000">
            <w:r>
              <w:rPr>
                <w:b/>
                <w:color w:val="FFFFFF"/>
                <w:sz w:val="17"/>
              </w:rPr>
              <w:t>Resultado</w:t>
            </w:r>
          </w:p>
        </w:tc>
      </w:tr>
      <w:tr w:rsidR="00231083" w14:paraId="023FBCFA" w14:textId="77777777">
        <w:trPr>
          <w:jc w:val="center"/>
        </w:trPr>
        <w:tc>
          <w:tcPr>
            <w:tcW w:w="5184" w:type="dxa"/>
            <w:vAlign w:val="center"/>
          </w:tcPr>
          <w:p w14:paraId="5C9956A0" w14:textId="77777777" w:rsidR="00231083" w:rsidRDefault="00000000">
            <w:r>
              <w:rPr>
                <w:sz w:val="17"/>
              </w:rPr>
              <w:t>Ejecuciones consultadas</w:t>
            </w:r>
          </w:p>
        </w:tc>
        <w:tc>
          <w:tcPr>
            <w:tcW w:w="5184" w:type="dxa"/>
            <w:vAlign w:val="center"/>
          </w:tcPr>
          <w:p w14:paraId="019D151D" w14:textId="77777777" w:rsidR="00231083" w:rsidRDefault="00000000">
            <w:r>
              <w:rPr>
                <w:sz w:val="17"/>
              </w:rPr>
              <w:t>78</w:t>
            </w:r>
          </w:p>
        </w:tc>
      </w:tr>
      <w:tr w:rsidR="00231083" w14:paraId="1E46D509" w14:textId="77777777">
        <w:trPr>
          <w:jc w:val="center"/>
        </w:trPr>
        <w:tc>
          <w:tcPr>
            <w:tcW w:w="5184" w:type="dxa"/>
            <w:vAlign w:val="center"/>
          </w:tcPr>
          <w:p w14:paraId="62416237" w14:textId="77777777" w:rsidR="00231083" w:rsidRDefault="00000000">
            <w:r>
              <w:rPr>
                <w:sz w:val="17"/>
              </w:rPr>
              <w:t>Ejecuciones exitosas usadas para métricas de duración</w:t>
            </w:r>
          </w:p>
        </w:tc>
        <w:tc>
          <w:tcPr>
            <w:tcW w:w="5184" w:type="dxa"/>
            <w:vAlign w:val="center"/>
          </w:tcPr>
          <w:p w14:paraId="0161C172" w14:textId="77777777" w:rsidR="00231083" w:rsidRDefault="00000000">
            <w:r>
              <w:rPr>
                <w:sz w:val="17"/>
              </w:rPr>
              <w:t>20</w:t>
            </w:r>
          </w:p>
        </w:tc>
      </w:tr>
      <w:tr w:rsidR="00231083" w14:paraId="17BC9795" w14:textId="77777777">
        <w:trPr>
          <w:jc w:val="center"/>
        </w:trPr>
        <w:tc>
          <w:tcPr>
            <w:tcW w:w="5184" w:type="dxa"/>
            <w:vAlign w:val="center"/>
          </w:tcPr>
          <w:p w14:paraId="1E676A9A" w14:textId="77777777" w:rsidR="00231083" w:rsidRDefault="00000000">
            <w:r>
              <w:rPr>
                <w:sz w:val="17"/>
              </w:rPr>
              <w:t>Ejecuciones fallidas consideradas para tasa de falla</w:t>
            </w:r>
          </w:p>
        </w:tc>
        <w:tc>
          <w:tcPr>
            <w:tcW w:w="5184" w:type="dxa"/>
            <w:vAlign w:val="center"/>
          </w:tcPr>
          <w:p w14:paraId="00715AFF" w14:textId="77777777" w:rsidR="00231083" w:rsidRDefault="00000000">
            <w:r>
              <w:rPr>
                <w:sz w:val="17"/>
              </w:rPr>
              <w:t>18</w:t>
            </w:r>
          </w:p>
        </w:tc>
      </w:tr>
      <w:tr w:rsidR="00231083" w14:paraId="28EA380D" w14:textId="77777777">
        <w:trPr>
          <w:jc w:val="center"/>
        </w:trPr>
        <w:tc>
          <w:tcPr>
            <w:tcW w:w="5184" w:type="dxa"/>
            <w:vAlign w:val="center"/>
          </w:tcPr>
          <w:p w14:paraId="390FEE08" w14:textId="77777777" w:rsidR="00231083" w:rsidRDefault="00000000">
            <w:r>
              <w:rPr>
                <w:sz w:val="17"/>
              </w:rPr>
              <w:t>Ejecuciones canceladas</w:t>
            </w:r>
          </w:p>
        </w:tc>
        <w:tc>
          <w:tcPr>
            <w:tcW w:w="5184" w:type="dxa"/>
            <w:vAlign w:val="center"/>
          </w:tcPr>
          <w:p w14:paraId="332B8DC3" w14:textId="77777777" w:rsidR="00231083" w:rsidRDefault="00000000">
            <w:r>
              <w:rPr>
                <w:sz w:val="17"/>
              </w:rPr>
              <w:t>32</w:t>
            </w:r>
          </w:p>
        </w:tc>
      </w:tr>
      <w:tr w:rsidR="00231083" w14:paraId="563090DF" w14:textId="77777777">
        <w:trPr>
          <w:jc w:val="center"/>
        </w:trPr>
        <w:tc>
          <w:tcPr>
            <w:tcW w:w="5184" w:type="dxa"/>
            <w:vAlign w:val="center"/>
          </w:tcPr>
          <w:p w14:paraId="3C7505C4" w14:textId="77777777" w:rsidR="00231083" w:rsidRDefault="00000000">
            <w:r>
              <w:rPr>
                <w:sz w:val="17"/>
              </w:rPr>
              <w:t>Tiempo promedio stage Build BE independiente</w:t>
            </w:r>
          </w:p>
        </w:tc>
        <w:tc>
          <w:tcPr>
            <w:tcW w:w="5184" w:type="dxa"/>
            <w:vAlign w:val="center"/>
          </w:tcPr>
          <w:p w14:paraId="706B0F22" w14:textId="77777777" w:rsidR="00231083" w:rsidRDefault="00000000">
            <w:r>
              <w:rPr>
                <w:sz w:val="17"/>
              </w:rPr>
              <w:t>1m 39s</w:t>
            </w:r>
          </w:p>
        </w:tc>
      </w:tr>
      <w:tr w:rsidR="00231083" w14:paraId="66E7F78D" w14:textId="77777777">
        <w:trPr>
          <w:jc w:val="center"/>
        </w:trPr>
        <w:tc>
          <w:tcPr>
            <w:tcW w:w="5184" w:type="dxa"/>
            <w:vAlign w:val="center"/>
          </w:tcPr>
          <w:p w14:paraId="2032AF3A" w14:textId="77777777" w:rsidR="00231083" w:rsidRDefault="00000000">
            <w:r>
              <w:rPr>
                <w:sz w:val="17"/>
              </w:rPr>
              <w:t>Tiempo promedio queue → artifact ready</w:t>
            </w:r>
          </w:p>
        </w:tc>
        <w:tc>
          <w:tcPr>
            <w:tcW w:w="5184" w:type="dxa"/>
            <w:vAlign w:val="center"/>
          </w:tcPr>
          <w:p w14:paraId="53791358" w14:textId="77777777" w:rsidR="00231083" w:rsidRDefault="00000000">
            <w:r>
              <w:rPr>
                <w:sz w:val="17"/>
              </w:rPr>
              <w:t>1m 43s</w:t>
            </w:r>
          </w:p>
        </w:tc>
      </w:tr>
      <w:tr w:rsidR="00231083" w14:paraId="6447D9F7" w14:textId="77777777">
        <w:trPr>
          <w:jc w:val="center"/>
        </w:trPr>
        <w:tc>
          <w:tcPr>
            <w:tcW w:w="5184" w:type="dxa"/>
            <w:vAlign w:val="center"/>
          </w:tcPr>
          <w:p w14:paraId="6C10BB3B" w14:textId="77777777" w:rsidR="00231083" w:rsidRDefault="00000000">
            <w:r>
              <w:rPr>
                <w:sz w:val="17"/>
              </w:rPr>
              <w:t>Tiempo promedio de espera en cola del agente</w:t>
            </w:r>
          </w:p>
        </w:tc>
        <w:tc>
          <w:tcPr>
            <w:tcW w:w="5184" w:type="dxa"/>
            <w:vAlign w:val="center"/>
          </w:tcPr>
          <w:p w14:paraId="58EBAC8F" w14:textId="77777777" w:rsidR="00231083" w:rsidRDefault="00000000">
            <w:r>
              <w:rPr>
                <w:sz w:val="17"/>
              </w:rPr>
              <w:t>8s</w:t>
            </w:r>
          </w:p>
        </w:tc>
      </w:tr>
      <w:tr w:rsidR="00231083" w14:paraId="04449A91" w14:textId="77777777">
        <w:trPr>
          <w:jc w:val="center"/>
        </w:trPr>
        <w:tc>
          <w:tcPr>
            <w:tcW w:w="5184" w:type="dxa"/>
            <w:vAlign w:val="center"/>
          </w:tcPr>
          <w:p w14:paraId="3381C7C6" w14:textId="77777777" w:rsidR="00231083" w:rsidRDefault="00000000">
            <w:r>
              <w:rPr>
                <w:sz w:val="17"/>
              </w:rPr>
              <w:t>p50 promedio ponderado del stage Build</w:t>
            </w:r>
          </w:p>
        </w:tc>
        <w:tc>
          <w:tcPr>
            <w:tcW w:w="5184" w:type="dxa"/>
            <w:vAlign w:val="center"/>
          </w:tcPr>
          <w:p w14:paraId="14D9D81D" w14:textId="77777777" w:rsidR="00231083" w:rsidRDefault="00000000">
            <w:r>
              <w:rPr>
                <w:sz w:val="17"/>
              </w:rPr>
              <w:t>1m 40s</w:t>
            </w:r>
          </w:p>
        </w:tc>
      </w:tr>
      <w:tr w:rsidR="00231083" w14:paraId="45D974B1" w14:textId="77777777">
        <w:trPr>
          <w:jc w:val="center"/>
        </w:trPr>
        <w:tc>
          <w:tcPr>
            <w:tcW w:w="5184" w:type="dxa"/>
            <w:vAlign w:val="center"/>
          </w:tcPr>
          <w:p w14:paraId="56EA71D5" w14:textId="77777777" w:rsidR="00231083" w:rsidRDefault="00000000">
            <w:r>
              <w:rPr>
                <w:sz w:val="17"/>
              </w:rPr>
              <w:t>p90 promedio ponderado del stage Build</w:t>
            </w:r>
          </w:p>
        </w:tc>
        <w:tc>
          <w:tcPr>
            <w:tcW w:w="5184" w:type="dxa"/>
            <w:vAlign w:val="center"/>
          </w:tcPr>
          <w:p w14:paraId="7B1DEB51" w14:textId="77777777" w:rsidR="00231083" w:rsidRDefault="00000000">
            <w:r>
              <w:rPr>
                <w:sz w:val="17"/>
              </w:rPr>
              <w:t>1m 53s</w:t>
            </w:r>
          </w:p>
        </w:tc>
      </w:tr>
      <w:tr w:rsidR="00231083" w14:paraId="6101B4EB" w14:textId="77777777">
        <w:trPr>
          <w:jc w:val="center"/>
        </w:trPr>
        <w:tc>
          <w:tcPr>
            <w:tcW w:w="5184" w:type="dxa"/>
            <w:vAlign w:val="center"/>
          </w:tcPr>
          <w:p w14:paraId="425E844A" w14:textId="77777777" w:rsidR="00231083" w:rsidRDefault="00000000">
            <w:r>
              <w:rPr>
                <w:sz w:val="17"/>
              </w:rPr>
              <w:t>p99 promedio ponderado del stage Build</w:t>
            </w:r>
          </w:p>
        </w:tc>
        <w:tc>
          <w:tcPr>
            <w:tcW w:w="5184" w:type="dxa"/>
            <w:vAlign w:val="center"/>
          </w:tcPr>
          <w:p w14:paraId="3F05EA7E" w14:textId="77777777" w:rsidR="00231083" w:rsidRDefault="00000000">
            <w:r>
              <w:rPr>
                <w:sz w:val="17"/>
              </w:rPr>
              <w:t>1m 56s</w:t>
            </w:r>
          </w:p>
        </w:tc>
      </w:tr>
      <w:tr w:rsidR="00231083" w14:paraId="3D2B4025" w14:textId="77777777">
        <w:trPr>
          <w:jc w:val="center"/>
        </w:trPr>
        <w:tc>
          <w:tcPr>
            <w:tcW w:w="5184" w:type="dxa"/>
            <w:vAlign w:val="center"/>
          </w:tcPr>
          <w:p w14:paraId="198690B6" w14:textId="77777777" w:rsidR="00231083" w:rsidRDefault="00000000">
            <w:r>
              <w:rPr>
                <w:sz w:val="17"/>
              </w:rPr>
              <w:t>Tamaño promedio del artefacto BE</w:t>
            </w:r>
          </w:p>
        </w:tc>
        <w:tc>
          <w:tcPr>
            <w:tcW w:w="5184" w:type="dxa"/>
            <w:vAlign w:val="center"/>
          </w:tcPr>
          <w:p w14:paraId="5A6A5AD3" w14:textId="77777777" w:rsidR="00231083" w:rsidRDefault="00000000">
            <w:r>
              <w:rPr>
                <w:sz w:val="17"/>
              </w:rPr>
              <w:t>26.40 MB</w:t>
            </w:r>
          </w:p>
        </w:tc>
      </w:tr>
      <w:tr w:rsidR="00231083" w14:paraId="68380AA9" w14:textId="77777777">
        <w:trPr>
          <w:jc w:val="center"/>
        </w:trPr>
        <w:tc>
          <w:tcPr>
            <w:tcW w:w="5184" w:type="dxa"/>
            <w:vAlign w:val="center"/>
          </w:tcPr>
          <w:p w14:paraId="3F48B012" w14:textId="77777777" w:rsidR="00231083" w:rsidRDefault="00000000">
            <w:r>
              <w:rPr>
                <w:sz w:val="17"/>
              </w:rPr>
              <w:t>Frecuencia de fallas del pipeline BE independiente</w:t>
            </w:r>
          </w:p>
        </w:tc>
        <w:tc>
          <w:tcPr>
            <w:tcW w:w="5184" w:type="dxa"/>
            <w:vAlign w:val="center"/>
          </w:tcPr>
          <w:p w14:paraId="62977A34" w14:textId="77777777" w:rsidR="00231083" w:rsidRDefault="00000000">
            <w:r>
              <w:rPr>
                <w:sz w:val="17"/>
              </w:rPr>
              <w:t>39.1%</w:t>
            </w:r>
          </w:p>
        </w:tc>
      </w:tr>
    </w:tbl>
    <w:p w14:paraId="48FDD334" w14:textId="77777777" w:rsidR="00231083" w:rsidRDefault="00231083"/>
    <w:p w14:paraId="4C9C5B9D" w14:textId="77777777" w:rsidR="00231083" w:rsidRDefault="00000000">
      <w:pPr>
        <w:pStyle w:val="Ttulo2"/>
        <w:spacing w:before="80" w:after="80"/>
      </w:pPr>
      <w:r>
        <w:lastRenderedPageBreak/>
        <w:t>Frontend independiente PoC</w:t>
      </w:r>
    </w:p>
    <w:tbl>
      <w:tblPr>
        <w:tblStyle w:val="Tablaconcuadrcula"/>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5184"/>
        <w:gridCol w:w="5184"/>
      </w:tblGrid>
      <w:tr w:rsidR="00231083" w14:paraId="5AB8393D" w14:textId="77777777">
        <w:trPr>
          <w:jc w:val="center"/>
        </w:trPr>
        <w:tc>
          <w:tcPr>
            <w:tcW w:w="4608" w:type="dxa"/>
            <w:shd w:val="clear" w:color="auto" w:fill="1F4E79"/>
            <w:vAlign w:val="center"/>
          </w:tcPr>
          <w:p w14:paraId="25737B31" w14:textId="77777777" w:rsidR="00231083" w:rsidRDefault="00000000">
            <w:r>
              <w:rPr>
                <w:b/>
                <w:color w:val="FFFFFF"/>
                <w:sz w:val="17"/>
              </w:rPr>
              <w:t>Métrica</w:t>
            </w:r>
          </w:p>
        </w:tc>
        <w:tc>
          <w:tcPr>
            <w:tcW w:w="5184" w:type="dxa"/>
            <w:shd w:val="clear" w:color="auto" w:fill="1F4E79"/>
            <w:vAlign w:val="center"/>
          </w:tcPr>
          <w:p w14:paraId="5A49C284" w14:textId="77777777" w:rsidR="00231083" w:rsidRDefault="00000000">
            <w:r>
              <w:rPr>
                <w:b/>
                <w:color w:val="FFFFFF"/>
                <w:sz w:val="17"/>
              </w:rPr>
              <w:t>Resultado</w:t>
            </w:r>
          </w:p>
        </w:tc>
      </w:tr>
      <w:tr w:rsidR="00231083" w14:paraId="6DF47E40" w14:textId="77777777">
        <w:trPr>
          <w:jc w:val="center"/>
        </w:trPr>
        <w:tc>
          <w:tcPr>
            <w:tcW w:w="5184" w:type="dxa"/>
            <w:vAlign w:val="center"/>
          </w:tcPr>
          <w:p w14:paraId="6878B997" w14:textId="77777777" w:rsidR="00231083" w:rsidRDefault="00000000">
            <w:r>
              <w:rPr>
                <w:sz w:val="17"/>
              </w:rPr>
              <w:t>Tiempo observado build FE independiente</w:t>
            </w:r>
          </w:p>
        </w:tc>
        <w:tc>
          <w:tcPr>
            <w:tcW w:w="5184" w:type="dxa"/>
            <w:vAlign w:val="center"/>
          </w:tcPr>
          <w:p w14:paraId="7A74CD4A" w14:textId="77777777" w:rsidR="00231083" w:rsidRDefault="00000000">
            <w:r>
              <w:rPr>
                <w:sz w:val="17"/>
              </w:rPr>
              <w:t>1m 15s</w:t>
            </w:r>
          </w:p>
        </w:tc>
      </w:tr>
      <w:tr w:rsidR="00231083" w14:paraId="33FDF589" w14:textId="77777777">
        <w:trPr>
          <w:jc w:val="center"/>
        </w:trPr>
        <w:tc>
          <w:tcPr>
            <w:tcW w:w="5184" w:type="dxa"/>
            <w:vAlign w:val="center"/>
          </w:tcPr>
          <w:p w14:paraId="579C4C84" w14:textId="77777777" w:rsidR="00231083" w:rsidRDefault="00000000">
            <w:r>
              <w:rPr>
                <w:sz w:val="17"/>
              </w:rPr>
              <w:t>Muestra disponible</w:t>
            </w:r>
          </w:p>
        </w:tc>
        <w:tc>
          <w:tcPr>
            <w:tcW w:w="5184" w:type="dxa"/>
            <w:vAlign w:val="center"/>
          </w:tcPr>
          <w:p w14:paraId="22305A1E" w14:textId="77777777" w:rsidR="00231083" w:rsidRDefault="00000000">
            <w:r>
              <w:rPr>
                <w:sz w:val="17"/>
              </w:rPr>
              <w:t>Limitada</w:t>
            </w:r>
          </w:p>
        </w:tc>
      </w:tr>
      <w:tr w:rsidR="00231083" w14:paraId="62F16FE8" w14:textId="77777777">
        <w:trPr>
          <w:jc w:val="center"/>
        </w:trPr>
        <w:tc>
          <w:tcPr>
            <w:tcW w:w="5184" w:type="dxa"/>
            <w:vAlign w:val="center"/>
          </w:tcPr>
          <w:p w14:paraId="30C14AEF" w14:textId="77777777" w:rsidR="00231083" w:rsidRDefault="00000000">
            <w:r>
              <w:rPr>
                <w:sz w:val="17"/>
              </w:rPr>
              <w:t>Uso de la métrica</w:t>
            </w:r>
          </w:p>
        </w:tc>
        <w:tc>
          <w:tcPr>
            <w:tcW w:w="5184" w:type="dxa"/>
            <w:vAlign w:val="center"/>
          </w:tcPr>
          <w:p w14:paraId="02647537" w14:textId="77777777" w:rsidR="00231083" w:rsidRDefault="00000000">
            <w:r>
              <w:rPr>
                <w:sz w:val="17"/>
              </w:rPr>
              <w:t>Referencia preliminar para estimar reducción potencial frente al modelo monolítico</w:t>
            </w:r>
          </w:p>
        </w:tc>
      </w:tr>
    </w:tbl>
    <w:p w14:paraId="635F0893" w14:textId="77777777" w:rsidR="00231083" w:rsidRDefault="00231083"/>
    <w:p w14:paraId="4FD8D275" w14:textId="77777777" w:rsidR="00231083" w:rsidRDefault="00000000">
      <w:pPr>
        <w:pStyle w:val="Ttulo2"/>
        <w:spacing w:before="80" w:after="80"/>
      </w:pPr>
      <w:r>
        <w:t>Comparativo</w:t>
      </w:r>
    </w:p>
    <w:tbl>
      <w:tblPr>
        <w:tblStyle w:val="Tablaconcuadrcula"/>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98"/>
        <w:gridCol w:w="1909"/>
        <w:gridCol w:w="2043"/>
        <w:gridCol w:w="1967"/>
        <w:gridCol w:w="1967"/>
      </w:tblGrid>
      <w:tr w:rsidR="00231083" w14:paraId="33AF624D" w14:textId="77777777">
        <w:trPr>
          <w:jc w:val="center"/>
        </w:trPr>
        <w:tc>
          <w:tcPr>
            <w:tcW w:w="2880" w:type="dxa"/>
            <w:shd w:val="clear" w:color="auto" w:fill="1F4E79"/>
            <w:vAlign w:val="center"/>
          </w:tcPr>
          <w:p w14:paraId="4C0EB14A" w14:textId="77777777" w:rsidR="00231083" w:rsidRDefault="00000000">
            <w:r>
              <w:rPr>
                <w:b/>
                <w:color w:val="FFFFFF"/>
                <w:sz w:val="17"/>
              </w:rPr>
              <w:t>Tipo de pipeline</w:t>
            </w:r>
          </w:p>
        </w:tc>
        <w:tc>
          <w:tcPr>
            <w:tcW w:w="1440" w:type="dxa"/>
            <w:shd w:val="clear" w:color="auto" w:fill="1F4E79"/>
            <w:vAlign w:val="center"/>
          </w:tcPr>
          <w:p w14:paraId="6AB4351A" w14:textId="77777777" w:rsidR="00231083" w:rsidRDefault="00000000">
            <w:r>
              <w:rPr>
                <w:b/>
                <w:color w:val="FFFFFF"/>
                <w:sz w:val="17"/>
              </w:rPr>
              <w:t>Build</w:t>
            </w:r>
          </w:p>
        </w:tc>
        <w:tc>
          <w:tcPr>
            <w:tcW w:w="2160" w:type="dxa"/>
            <w:shd w:val="clear" w:color="auto" w:fill="1F4E79"/>
            <w:vAlign w:val="center"/>
          </w:tcPr>
          <w:p w14:paraId="1E6622C1" w14:textId="77777777" w:rsidR="00231083" w:rsidRDefault="00000000">
            <w:r>
              <w:rPr>
                <w:b/>
                <w:color w:val="FFFFFF"/>
                <w:sz w:val="17"/>
              </w:rPr>
              <w:t>Queue → artifact ready</w:t>
            </w:r>
          </w:p>
        </w:tc>
        <w:tc>
          <w:tcPr>
            <w:tcW w:w="2016" w:type="dxa"/>
            <w:shd w:val="clear" w:color="auto" w:fill="1F4E79"/>
            <w:vAlign w:val="center"/>
          </w:tcPr>
          <w:p w14:paraId="4F5006B3" w14:textId="77777777" w:rsidR="00231083" w:rsidRDefault="00000000">
            <w:r>
              <w:rPr>
                <w:b/>
                <w:color w:val="FFFFFF"/>
                <w:sz w:val="17"/>
              </w:rPr>
              <w:t>Artefacto promedio</w:t>
            </w:r>
          </w:p>
        </w:tc>
        <w:tc>
          <w:tcPr>
            <w:tcW w:w="1440" w:type="dxa"/>
            <w:shd w:val="clear" w:color="auto" w:fill="1F4E79"/>
            <w:vAlign w:val="center"/>
          </w:tcPr>
          <w:p w14:paraId="4C1DF0E5" w14:textId="77777777" w:rsidR="00231083" w:rsidRDefault="00000000">
            <w:r>
              <w:rPr>
                <w:b/>
                <w:color w:val="FFFFFF"/>
                <w:sz w:val="17"/>
              </w:rPr>
              <w:t>Fallas</w:t>
            </w:r>
          </w:p>
        </w:tc>
      </w:tr>
      <w:tr w:rsidR="00231083" w14:paraId="7FEE3B01" w14:textId="77777777">
        <w:trPr>
          <w:jc w:val="center"/>
        </w:trPr>
        <w:tc>
          <w:tcPr>
            <w:tcW w:w="2074" w:type="dxa"/>
            <w:vAlign w:val="center"/>
          </w:tcPr>
          <w:p w14:paraId="6A5AE708" w14:textId="77777777" w:rsidR="00231083" w:rsidRDefault="00000000">
            <w:r>
              <w:rPr>
                <w:sz w:val="17"/>
              </w:rPr>
              <w:t>Monolito FE+BE</w:t>
            </w:r>
          </w:p>
        </w:tc>
        <w:tc>
          <w:tcPr>
            <w:tcW w:w="2074" w:type="dxa"/>
            <w:vAlign w:val="center"/>
          </w:tcPr>
          <w:p w14:paraId="3C5E0D8D" w14:textId="77777777" w:rsidR="00231083" w:rsidRDefault="00000000">
            <w:r>
              <w:rPr>
                <w:sz w:val="17"/>
              </w:rPr>
              <w:t>4m 16s</w:t>
            </w:r>
          </w:p>
        </w:tc>
        <w:tc>
          <w:tcPr>
            <w:tcW w:w="2074" w:type="dxa"/>
            <w:vAlign w:val="center"/>
          </w:tcPr>
          <w:p w14:paraId="7F3AA66C" w14:textId="77777777" w:rsidR="00231083" w:rsidRDefault="00000000">
            <w:r>
              <w:rPr>
                <w:sz w:val="17"/>
              </w:rPr>
              <w:t>4m 36s</w:t>
            </w:r>
          </w:p>
        </w:tc>
        <w:tc>
          <w:tcPr>
            <w:tcW w:w="2074" w:type="dxa"/>
            <w:vAlign w:val="center"/>
          </w:tcPr>
          <w:p w14:paraId="080F7306" w14:textId="77777777" w:rsidR="00231083" w:rsidRDefault="00000000">
            <w:r>
              <w:rPr>
                <w:sz w:val="17"/>
              </w:rPr>
              <w:t>45.63 MB</w:t>
            </w:r>
          </w:p>
        </w:tc>
        <w:tc>
          <w:tcPr>
            <w:tcW w:w="2074" w:type="dxa"/>
            <w:vAlign w:val="center"/>
          </w:tcPr>
          <w:p w14:paraId="53BC7556" w14:textId="77777777" w:rsidR="00231083" w:rsidRDefault="00000000">
            <w:r>
              <w:rPr>
                <w:sz w:val="17"/>
              </w:rPr>
              <w:t>38.7%</w:t>
            </w:r>
          </w:p>
        </w:tc>
      </w:tr>
      <w:tr w:rsidR="00231083" w14:paraId="0D0B898A" w14:textId="77777777">
        <w:trPr>
          <w:jc w:val="center"/>
        </w:trPr>
        <w:tc>
          <w:tcPr>
            <w:tcW w:w="2074" w:type="dxa"/>
            <w:vAlign w:val="center"/>
          </w:tcPr>
          <w:p w14:paraId="715AA29A" w14:textId="77777777" w:rsidR="00231083" w:rsidRDefault="00000000">
            <w:r>
              <w:rPr>
                <w:sz w:val="17"/>
              </w:rPr>
              <w:t>Backend independiente</w:t>
            </w:r>
          </w:p>
        </w:tc>
        <w:tc>
          <w:tcPr>
            <w:tcW w:w="2074" w:type="dxa"/>
            <w:vAlign w:val="center"/>
          </w:tcPr>
          <w:p w14:paraId="3D1CD6EC" w14:textId="77777777" w:rsidR="00231083" w:rsidRDefault="00000000">
            <w:r>
              <w:rPr>
                <w:sz w:val="17"/>
              </w:rPr>
              <w:t>1m 39s</w:t>
            </w:r>
          </w:p>
        </w:tc>
        <w:tc>
          <w:tcPr>
            <w:tcW w:w="2074" w:type="dxa"/>
            <w:vAlign w:val="center"/>
          </w:tcPr>
          <w:p w14:paraId="166DE1A5" w14:textId="77777777" w:rsidR="00231083" w:rsidRDefault="00000000">
            <w:r>
              <w:rPr>
                <w:sz w:val="17"/>
              </w:rPr>
              <w:t>1m 43s</w:t>
            </w:r>
          </w:p>
        </w:tc>
        <w:tc>
          <w:tcPr>
            <w:tcW w:w="2074" w:type="dxa"/>
            <w:vAlign w:val="center"/>
          </w:tcPr>
          <w:p w14:paraId="10763C7A" w14:textId="77777777" w:rsidR="00231083" w:rsidRDefault="00000000">
            <w:r>
              <w:rPr>
                <w:sz w:val="17"/>
              </w:rPr>
              <w:t>26.40 MB</w:t>
            </w:r>
          </w:p>
        </w:tc>
        <w:tc>
          <w:tcPr>
            <w:tcW w:w="2074" w:type="dxa"/>
            <w:vAlign w:val="center"/>
          </w:tcPr>
          <w:p w14:paraId="22FADD61" w14:textId="77777777" w:rsidR="00231083" w:rsidRDefault="00000000">
            <w:r>
              <w:rPr>
                <w:sz w:val="17"/>
              </w:rPr>
              <w:t>39.1%</w:t>
            </w:r>
          </w:p>
        </w:tc>
      </w:tr>
      <w:tr w:rsidR="00231083" w14:paraId="1FCD0F12" w14:textId="77777777">
        <w:trPr>
          <w:jc w:val="center"/>
        </w:trPr>
        <w:tc>
          <w:tcPr>
            <w:tcW w:w="2074" w:type="dxa"/>
            <w:vAlign w:val="center"/>
          </w:tcPr>
          <w:p w14:paraId="0EA8288F" w14:textId="77777777" w:rsidR="00231083" w:rsidRDefault="00000000">
            <w:r>
              <w:rPr>
                <w:sz w:val="17"/>
              </w:rPr>
              <w:t>Frontend independiente PoC</w:t>
            </w:r>
          </w:p>
        </w:tc>
        <w:tc>
          <w:tcPr>
            <w:tcW w:w="2074" w:type="dxa"/>
            <w:vAlign w:val="center"/>
          </w:tcPr>
          <w:p w14:paraId="6428BCFB" w14:textId="77777777" w:rsidR="00231083" w:rsidRDefault="00000000">
            <w:r>
              <w:rPr>
                <w:sz w:val="17"/>
              </w:rPr>
              <w:t>1m 15s</w:t>
            </w:r>
          </w:p>
        </w:tc>
        <w:tc>
          <w:tcPr>
            <w:tcW w:w="2074" w:type="dxa"/>
            <w:vAlign w:val="center"/>
          </w:tcPr>
          <w:p w14:paraId="09E6CA85" w14:textId="77777777" w:rsidR="00231083" w:rsidRDefault="00000000">
            <w:r>
              <w:rPr>
                <w:sz w:val="17"/>
              </w:rPr>
              <w:t>No consolidado</w:t>
            </w:r>
          </w:p>
        </w:tc>
        <w:tc>
          <w:tcPr>
            <w:tcW w:w="2074" w:type="dxa"/>
            <w:vAlign w:val="center"/>
          </w:tcPr>
          <w:p w14:paraId="75F401EA" w14:textId="77777777" w:rsidR="00231083" w:rsidRDefault="00000000">
            <w:r>
              <w:rPr>
                <w:sz w:val="17"/>
              </w:rPr>
              <w:t>No consolidado</w:t>
            </w:r>
          </w:p>
        </w:tc>
        <w:tc>
          <w:tcPr>
            <w:tcW w:w="2074" w:type="dxa"/>
            <w:vAlign w:val="center"/>
          </w:tcPr>
          <w:p w14:paraId="2CFA77A7" w14:textId="77777777" w:rsidR="00231083" w:rsidRDefault="00000000">
            <w:r>
              <w:rPr>
                <w:sz w:val="17"/>
              </w:rPr>
              <w:t>No consolidado</w:t>
            </w:r>
          </w:p>
        </w:tc>
      </w:tr>
    </w:tbl>
    <w:p w14:paraId="18C7F15F" w14:textId="77777777" w:rsidR="00231083" w:rsidRDefault="00231083"/>
    <w:p w14:paraId="49837618" w14:textId="77777777" w:rsidR="00231083" w:rsidRDefault="00000000">
      <w:pPr>
        <w:pStyle w:val="Ttulo2"/>
        <w:spacing w:before="80" w:after="80"/>
      </w:pPr>
      <w:r>
        <w:t>Reducción estimada</w:t>
      </w:r>
    </w:p>
    <w:tbl>
      <w:tblPr>
        <w:tblStyle w:val="Tablaconcuadrcula"/>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194"/>
        <w:gridCol w:w="2078"/>
        <w:gridCol w:w="2144"/>
        <w:gridCol w:w="2168"/>
      </w:tblGrid>
      <w:tr w:rsidR="00231083" w14:paraId="28166BD6" w14:textId="77777777">
        <w:trPr>
          <w:jc w:val="center"/>
        </w:trPr>
        <w:tc>
          <w:tcPr>
            <w:tcW w:w="5328" w:type="dxa"/>
            <w:shd w:val="clear" w:color="auto" w:fill="1F4E79"/>
            <w:vAlign w:val="center"/>
          </w:tcPr>
          <w:p w14:paraId="5356537B" w14:textId="77777777" w:rsidR="00231083" w:rsidRDefault="00000000">
            <w:r>
              <w:rPr>
                <w:b/>
                <w:color w:val="FFFFFF"/>
                <w:sz w:val="17"/>
              </w:rPr>
              <w:t>Escenario</w:t>
            </w:r>
          </w:p>
        </w:tc>
        <w:tc>
          <w:tcPr>
            <w:tcW w:w="1440" w:type="dxa"/>
            <w:shd w:val="clear" w:color="auto" w:fill="1F4E79"/>
            <w:vAlign w:val="center"/>
          </w:tcPr>
          <w:p w14:paraId="31CD6A94" w14:textId="77777777" w:rsidR="00231083" w:rsidRDefault="00000000">
            <w:r>
              <w:rPr>
                <w:b/>
                <w:color w:val="FFFFFF"/>
                <w:sz w:val="17"/>
              </w:rPr>
              <w:t>Actual</w:t>
            </w:r>
          </w:p>
        </w:tc>
        <w:tc>
          <w:tcPr>
            <w:tcW w:w="1440" w:type="dxa"/>
            <w:shd w:val="clear" w:color="auto" w:fill="1F4E79"/>
            <w:vAlign w:val="center"/>
          </w:tcPr>
          <w:p w14:paraId="307E81E3" w14:textId="77777777" w:rsidR="00231083" w:rsidRDefault="00000000">
            <w:r>
              <w:rPr>
                <w:b/>
                <w:color w:val="FFFFFF"/>
                <w:sz w:val="17"/>
              </w:rPr>
              <w:t>Separado</w:t>
            </w:r>
          </w:p>
        </w:tc>
        <w:tc>
          <w:tcPr>
            <w:tcW w:w="1440" w:type="dxa"/>
            <w:shd w:val="clear" w:color="auto" w:fill="1F4E79"/>
            <w:vAlign w:val="center"/>
          </w:tcPr>
          <w:p w14:paraId="0049BE4E" w14:textId="77777777" w:rsidR="00231083" w:rsidRDefault="00000000">
            <w:r>
              <w:rPr>
                <w:b/>
                <w:color w:val="FFFFFF"/>
                <w:sz w:val="17"/>
              </w:rPr>
              <w:t>Reducción</w:t>
            </w:r>
          </w:p>
        </w:tc>
      </w:tr>
      <w:tr w:rsidR="00231083" w14:paraId="4738BFEB" w14:textId="77777777">
        <w:trPr>
          <w:jc w:val="center"/>
        </w:trPr>
        <w:tc>
          <w:tcPr>
            <w:tcW w:w="2592" w:type="dxa"/>
            <w:vAlign w:val="center"/>
          </w:tcPr>
          <w:p w14:paraId="7F33BEBE" w14:textId="77777777" w:rsidR="00231083" w:rsidRDefault="00000000">
            <w:r>
              <w:rPr>
                <w:sz w:val="17"/>
              </w:rPr>
              <w:t>Cambio solo frontend</w:t>
            </w:r>
          </w:p>
        </w:tc>
        <w:tc>
          <w:tcPr>
            <w:tcW w:w="2592" w:type="dxa"/>
            <w:vAlign w:val="center"/>
          </w:tcPr>
          <w:p w14:paraId="7F296A9E" w14:textId="77777777" w:rsidR="00231083" w:rsidRDefault="00000000">
            <w:r>
              <w:rPr>
                <w:sz w:val="17"/>
              </w:rPr>
              <w:t>4m 16s</w:t>
            </w:r>
          </w:p>
        </w:tc>
        <w:tc>
          <w:tcPr>
            <w:tcW w:w="2592" w:type="dxa"/>
            <w:vAlign w:val="center"/>
          </w:tcPr>
          <w:p w14:paraId="72EC294E" w14:textId="77777777" w:rsidR="00231083" w:rsidRDefault="00000000">
            <w:r>
              <w:rPr>
                <w:sz w:val="17"/>
              </w:rPr>
              <w:t>1m 15s</w:t>
            </w:r>
          </w:p>
        </w:tc>
        <w:tc>
          <w:tcPr>
            <w:tcW w:w="2592" w:type="dxa"/>
            <w:vAlign w:val="center"/>
          </w:tcPr>
          <w:p w14:paraId="68F9838E" w14:textId="77777777" w:rsidR="00231083" w:rsidRDefault="00000000">
            <w:r>
              <w:rPr>
                <w:sz w:val="17"/>
              </w:rPr>
              <w:t>70.7%</w:t>
            </w:r>
          </w:p>
        </w:tc>
      </w:tr>
      <w:tr w:rsidR="00231083" w14:paraId="4356E0A2" w14:textId="77777777">
        <w:trPr>
          <w:jc w:val="center"/>
        </w:trPr>
        <w:tc>
          <w:tcPr>
            <w:tcW w:w="2592" w:type="dxa"/>
            <w:vAlign w:val="center"/>
          </w:tcPr>
          <w:p w14:paraId="67277256" w14:textId="77777777" w:rsidR="00231083" w:rsidRDefault="00000000">
            <w:r>
              <w:rPr>
                <w:sz w:val="17"/>
              </w:rPr>
              <w:t>Cambio solo backend</w:t>
            </w:r>
          </w:p>
        </w:tc>
        <w:tc>
          <w:tcPr>
            <w:tcW w:w="2592" w:type="dxa"/>
            <w:vAlign w:val="center"/>
          </w:tcPr>
          <w:p w14:paraId="6F5A3085" w14:textId="77777777" w:rsidR="00231083" w:rsidRDefault="00000000">
            <w:r>
              <w:rPr>
                <w:sz w:val="17"/>
              </w:rPr>
              <w:t>4m 16s</w:t>
            </w:r>
          </w:p>
        </w:tc>
        <w:tc>
          <w:tcPr>
            <w:tcW w:w="2592" w:type="dxa"/>
            <w:vAlign w:val="center"/>
          </w:tcPr>
          <w:p w14:paraId="72045201" w14:textId="77777777" w:rsidR="00231083" w:rsidRDefault="00000000">
            <w:r>
              <w:rPr>
                <w:sz w:val="17"/>
              </w:rPr>
              <w:t>1m 39s</w:t>
            </w:r>
          </w:p>
        </w:tc>
        <w:tc>
          <w:tcPr>
            <w:tcW w:w="2592" w:type="dxa"/>
            <w:vAlign w:val="center"/>
          </w:tcPr>
          <w:p w14:paraId="2ACADB96" w14:textId="77777777" w:rsidR="00231083" w:rsidRDefault="00000000">
            <w:r>
              <w:rPr>
                <w:sz w:val="17"/>
              </w:rPr>
              <w:t>61.4%</w:t>
            </w:r>
          </w:p>
        </w:tc>
      </w:tr>
      <w:tr w:rsidR="00231083" w14:paraId="5C69D7F4" w14:textId="77777777">
        <w:trPr>
          <w:jc w:val="center"/>
        </w:trPr>
        <w:tc>
          <w:tcPr>
            <w:tcW w:w="2592" w:type="dxa"/>
            <w:vAlign w:val="center"/>
          </w:tcPr>
          <w:p w14:paraId="76F48A34" w14:textId="77777777" w:rsidR="00231083" w:rsidRDefault="00000000">
            <w:r>
              <w:rPr>
                <w:sz w:val="17"/>
              </w:rPr>
              <w:t>Cambio FE+BE con pipelines separados en paralelo</w:t>
            </w:r>
          </w:p>
        </w:tc>
        <w:tc>
          <w:tcPr>
            <w:tcW w:w="2592" w:type="dxa"/>
            <w:vAlign w:val="center"/>
          </w:tcPr>
          <w:p w14:paraId="1E66E78D" w14:textId="77777777" w:rsidR="00231083" w:rsidRDefault="00000000">
            <w:r>
              <w:rPr>
                <w:sz w:val="17"/>
              </w:rPr>
              <w:t>4m 16s</w:t>
            </w:r>
          </w:p>
        </w:tc>
        <w:tc>
          <w:tcPr>
            <w:tcW w:w="2592" w:type="dxa"/>
            <w:vAlign w:val="center"/>
          </w:tcPr>
          <w:p w14:paraId="6CCDCD09" w14:textId="77777777" w:rsidR="00231083" w:rsidRDefault="00000000">
            <w:r>
              <w:rPr>
                <w:sz w:val="17"/>
              </w:rPr>
              <w:t>1m 39s</w:t>
            </w:r>
          </w:p>
        </w:tc>
        <w:tc>
          <w:tcPr>
            <w:tcW w:w="2592" w:type="dxa"/>
            <w:vAlign w:val="center"/>
          </w:tcPr>
          <w:p w14:paraId="2E3FB0AE" w14:textId="77777777" w:rsidR="00231083" w:rsidRDefault="00000000">
            <w:r>
              <w:rPr>
                <w:sz w:val="17"/>
              </w:rPr>
              <w:t>61.4%</w:t>
            </w:r>
          </w:p>
        </w:tc>
      </w:tr>
      <w:tr w:rsidR="00231083" w14:paraId="7A5F6066" w14:textId="77777777">
        <w:trPr>
          <w:jc w:val="center"/>
        </w:trPr>
        <w:tc>
          <w:tcPr>
            <w:tcW w:w="2592" w:type="dxa"/>
            <w:vAlign w:val="center"/>
          </w:tcPr>
          <w:p w14:paraId="638E9630" w14:textId="77777777" w:rsidR="00231083" w:rsidRDefault="00000000">
            <w:r>
              <w:rPr>
                <w:sz w:val="17"/>
              </w:rPr>
              <w:t>Cambio FE+BE con pipelines separados secuenciales</w:t>
            </w:r>
          </w:p>
        </w:tc>
        <w:tc>
          <w:tcPr>
            <w:tcW w:w="2592" w:type="dxa"/>
            <w:vAlign w:val="center"/>
          </w:tcPr>
          <w:p w14:paraId="70249483" w14:textId="77777777" w:rsidR="00231083" w:rsidRDefault="00000000">
            <w:r>
              <w:rPr>
                <w:sz w:val="17"/>
              </w:rPr>
              <w:t>4m 16s</w:t>
            </w:r>
          </w:p>
        </w:tc>
        <w:tc>
          <w:tcPr>
            <w:tcW w:w="2592" w:type="dxa"/>
            <w:vAlign w:val="center"/>
          </w:tcPr>
          <w:p w14:paraId="46626711" w14:textId="77777777" w:rsidR="00231083" w:rsidRDefault="00000000">
            <w:r>
              <w:rPr>
                <w:sz w:val="17"/>
              </w:rPr>
              <w:t>2m 54s</w:t>
            </w:r>
          </w:p>
        </w:tc>
        <w:tc>
          <w:tcPr>
            <w:tcW w:w="2592" w:type="dxa"/>
            <w:vAlign w:val="center"/>
          </w:tcPr>
          <w:p w14:paraId="4818CC38" w14:textId="77777777" w:rsidR="00231083" w:rsidRDefault="00000000">
            <w:r>
              <w:rPr>
                <w:sz w:val="17"/>
              </w:rPr>
              <w:t>32.0%</w:t>
            </w:r>
          </w:p>
        </w:tc>
      </w:tr>
    </w:tbl>
    <w:p w14:paraId="38022403" w14:textId="77777777" w:rsidR="00231083" w:rsidRDefault="00231083"/>
    <w:p w14:paraId="452C63C7" w14:textId="77777777" w:rsidR="00231083" w:rsidRDefault="00000000">
      <w:pPr>
        <w:pStyle w:val="Ttulo2"/>
        <w:spacing w:before="80" w:after="80"/>
      </w:pPr>
      <w:r>
        <w:t>Consideraciones</w:t>
      </w:r>
    </w:p>
    <w:p w14:paraId="52FC9738" w14:textId="77777777" w:rsidR="00231083" w:rsidRDefault="00000000">
      <w:pPr>
        <w:spacing w:after="120" w:line="252" w:lineRule="auto"/>
      </w:pPr>
      <w:r>
        <w:t>La evidencia muestra que el pipeline monolítico FE+BE obliga a ejecutar el proceso completo de construcción aunque el cambio afecte únicamente al frontend o únicamente al backend. En el modelo actual, un cambio menor de frontend sigue requiriendo la ejecución del stage Build completo del monolito, la generación del artefacto FE+BE y las validaciones asociadas a la unidad completa.</w:t>
      </w:r>
    </w:p>
    <w:p w14:paraId="3F421596" w14:textId="77777777" w:rsidR="00231083" w:rsidRDefault="00000000">
      <w:pPr>
        <w:spacing w:after="120" w:line="252" w:lineRule="auto"/>
      </w:pPr>
      <w:r>
        <w:t>La extracción actual consolida métricas a nivel de stage Build y artefacto. El tiempo promedio específico de pruebas unitarias, integración y end-to-end no se presenta como métrica separada en este consolidado porque requiere explotar el detalle por task del pipeline. Estas tareas están incluidas dentro de los tiempos agregados de compilación.</w:t>
      </w:r>
    </w:p>
    <w:p w14:paraId="6542F7F4" w14:textId="77777777" w:rsidR="00231083" w:rsidRDefault="00000000">
      <w:pPr>
        <w:spacing w:after="120" w:line="252" w:lineRule="auto"/>
      </w:pPr>
      <w:r>
        <w:t>La extracción actual permite medir frecuencia general de fallas del pipeline, pero no determina automáticamente si una falla corresponde a un componente no modificado. Para calcular ese porcentaje se requiere correlacionar cada ejecución con los archivos modificados por commit o pull request, diferenciando cambios en frontend, backend, configuración o recursos de despliegue.</w:t>
      </w:r>
    </w:p>
    <w:p w14:paraId="552F2B06" w14:textId="77777777" w:rsidR="00231083" w:rsidRDefault="00000000">
      <w:pPr>
        <w:pStyle w:val="Ttulo2"/>
        <w:spacing w:before="80" w:after="80"/>
      </w:pPr>
      <w:r>
        <w:t>Conclusión</w:t>
      </w:r>
    </w:p>
    <w:p w14:paraId="0D9267CA" w14:textId="77777777" w:rsidR="00231083" w:rsidRDefault="00000000">
      <w:pPr>
        <w:spacing w:after="120" w:line="252" w:lineRule="auto"/>
      </w:pPr>
      <w:r>
        <w:t>Los datos evidencian que el modelo monolítico FE+BE incrementa el tiempo de entrega continua al obligar que frontend y backend compartan el mismo ciclo de construcción, publicación y validación. La separación de pipelines permitiría aislar el componente afectado por el cambio, reducir tiempos de build y habilitar un modelo más granular de versionamiento y despliegue. La PoC de frontend se mantiene como referencia preliminar por muestra limitada.</w:t>
      </w:r>
    </w:p>
    <w:p w14:paraId="44A4655B" w14:textId="77777777" w:rsidR="00231083" w:rsidRDefault="00000000">
      <w:pPr>
        <w:pStyle w:val="Ttulo1"/>
        <w:spacing w:before="160" w:after="80"/>
      </w:pPr>
      <w:r>
        <w:t>2. Análisis de costos: AKS vs Blob Storage + Front Door</w:t>
      </w:r>
    </w:p>
    <w:p w14:paraId="71D13E01" w14:textId="77777777" w:rsidR="00231083" w:rsidRDefault="00000000">
      <w:pPr>
        <w:spacing w:after="120" w:line="252" w:lineRule="auto"/>
      </w:pPr>
      <w:r>
        <w:t>Este análisis corresponde a una calculadora de estimación. No representa un costo oficial cerrado.</w:t>
      </w:r>
    </w:p>
    <w:p w14:paraId="0344A66D" w14:textId="77777777" w:rsidR="00231083" w:rsidRDefault="00000000">
      <w:pPr>
        <w:pStyle w:val="Ttulo2"/>
        <w:spacing w:before="80" w:after="80"/>
      </w:pPr>
      <w:r>
        <w:t>Escenario AS-IS</w:t>
      </w:r>
    </w:p>
    <w:p w14:paraId="7BB15306" w14:textId="77777777" w:rsidR="00231083" w:rsidRDefault="00000000">
      <w:pPr>
        <w:spacing w:after="120" w:line="252" w:lineRule="auto"/>
      </w:pPr>
      <w:r>
        <w:t>Frontend servido desde AKS vía Application Gateway. Backend expuesto por APIM hacia AKS.</w:t>
      </w:r>
    </w:p>
    <w:p w14:paraId="5CCB0C8F" w14:textId="77777777" w:rsidR="00231083" w:rsidRDefault="00000000">
      <w:pPr>
        <w:pStyle w:val="Ttulo2"/>
        <w:spacing w:before="80" w:after="80"/>
      </w:pPr>
      <w:r>
        <w:t>Escenario TO-BE</w:t>
      </w:r>
    </w:p>
    <w:p w14:paraId="74ADB2C5" w14:textId="77777777" w:rsidR="00231083" w:rsidRDefault="00000000">
      <w:pPr>
        <w:spacing w:after="120" w:line="252" w:lineRule="auto"/>
      </w:pPr>
      <w:r>
        <w:t>Frontend estático en Blob Storage. Exposición mediante Front Door compartido. Backend sigue expuesto por APIM.</w:t>
      </w:r>
    </w:p>
    <w:p w14:paraId="46B03430" w14:textId="77777777" w:rsidR="00231083" w:rsidRDefault="00000000">
      <w:pPr>
        <w:pStyle w:val="Ttulo2"/>
        <w:spacing w:before="80" w:after="80"/>
      </w:pPr>
      <w:r>
        <w:lastRenderedPageBreak/>
        <w:t>Supuestos</w:t>
      </w:r>
    </w:p>
    <w:tbl>
      <w:tblPr>
        <w:tblStyle w:val="Tablaconcuadrcula"/>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5822"/>
        <w:gridCol w:w="4762"/>
      </w:tblGrid>
      <w:tr w:rsidR="00231083" w14:paraId="17726258" w14:textId="77777777">
        <w:trPr>
          <w:jc w:val="center"/>
        </w:trPr>
        <w:tc>
          <w:tcPr>
            <w:tcW w:w="6336" w:type="dxa"/>
            <w:shd w:val="clear" w:color="auto" w:fill="1F4E79"/>
            <w:vAlign w:val="center"/>
          </w:tcPr>
          <w:p w14:paraId="70CF02C1" w14:textId="77777777" w:rsidR="00231083" w:rsidRDefault="00000000">
            <w:r>
              <w:rPr>
                <w:b/>
                <w:color w:val="FFFFFF"/>
                <w:sz w:val="17"/>
              </w:rPr>
              <w:t>Supuesto</w:t>
            </w:r>
          </w:p>
        </w:tc>
        <w:tc>
          <w:tcPr>
            <w:tcW w:w="3456" w:type="dxa"/>
            <w:shd w:val="clear" w:color="auto" w:fill="1F4E79"/>
            <w:vAlign w:val="center"/>
          </w:tcPr>
          <w:p w14:paraId="50A9A6D7" w14:textId="77777777" w:rsidR="00231083" w:rsidRDefault="00000000">
            <w:r>
              <w:rPr>
                <w:b/>
                <w:color w:val="FFFFFF"/>
                <w:sz w:val="17"/>
              </w:rPr>
              <w:t>Valor</w:t>
            </w:r>
          </w:p>
        </w:tc>
      </w:tr>
      <w:tr w:rsidR="00231083" w14:paraId="7C5E31D0" w14:textId="77777777">
        <w:trPr>
          <w:jc w:val="center"/>
        </w:trPr>
        <w:tc>
          <w:tcPr>
            <w:tcW w:w="5184" w:type="dxa"/>
            <w:vAlign w:val="center"/>
          </w:tcPr>
          <w:p w14:paraId="1A339473" w14:textId="77777777" w:rsidR="00231083" w:rsidRDefault="00000000">
            <w:r>
              <w:rPr>
                <w:sz w:val="17"/>
              </w:rPr>
              <w:t>Front Door compartido</w:t>
            </w:r>
          </w:p>
        </w:tc>
        <w:tc>
          <w:tcPr>
            <w:tcW w:w="5184" w:type="dxa"/>
            <w:vAlign w:val="center"/>
          </w:tcPr>
          <w:p w14:paraId="47D2C862" w14:textId="77777777" w:rsidR="00231083" w:rsidRDefault="00000000">
            <w:r>
              <w:rPr>
                <w:sz w:val="17"/>
              </w:rPr>
              <w:t>10 frontends</w:t>
            </w:r>
          </w:p>
        </w:tc>
      </w:tr>
      <w:tr w:rsidR="00231083" w14:paraId="7747EBB0" w14:textId="77777777">
        <w:trPr>
          <w:jc w:val="center"/>
        </w:trPr>
        <w:tc>
          <w:tcPr>
            <w:tcW w:w="5184" w:type="dxa"/>
            <w:vAlign w:val="center"/>
          </w:tcPr>
          <w:p w14:paraId="44A9ED13" w14:textId="77777777" w:rsidR="00231083" w:rsidRDefault="00000000">
            <w:r>
              <w:rPr>
                <w:sz w:val="17"/>
              </w:rPr>
              <w:t>Frontend embebido actualmente dentro del monolito/API</w:t>
            </w:r>
          </w:p>
        </w:tc>
        <w:tc>
          <w:tcPr>
            <w:tcW w:w="5184" w:type="dxa"/>
            <w:vAlign w:val="center"/>
          </w:tcPr>
          <w:p w14:paraId="45F8DD20" w14:textId="77777777" w:rsidR="00231083" w:rsidRDefault="00000000">
            <w:r>
              <w:rPr>
                <w:sz w:val="17"/>
              </w:rPr>
              <w:t>Sí</w:t>
            </w:r>
          </w:p>
        </w:tc>
      </w:tr>
      <w:tr w:rsidR="00231083" w14:paraId="02F2244C" w14:textId="77777777">
        <w:trPr>
          <w:jc w:val="center"/>
        </w:trPr>
        <w:tc>
          <w:tcPr>
            <w:tcW w:w="5184" w:type="dxa"/>
            <w:vAlign w:val="center"/>
          </w:tcPr>
          <w:p w14:paraId="1D29C1B1" w14:textId="77777777" w:rsidR="00231083" w:rsidRDefault="00000000">
            <w:r>
              <w:rPr>
                <w:sz w:val="17"/>
              </w:rPr>
              <w:t>Réplicas por servicio</w:t>
            </w:r>
          </w:p>
        </w:tc>
        <w:tc>
          <w:tcPr>
            <w:tcW w:w="5184" w:type="dxa"/>
            <w:vAlign w:val="center"/>
          </w:tcPr>
          <w:p w14:paraId="65F8556D" w14:textId="77777777" w:rsidR="00231083" w:rsidRDefault="00000000">
            <w:r>
              <w:rPr>
                <w:sz w:val="17"/>
              </w:rPr>
              <w:t>3</w:t>
            </w:r>
          </w:p>
        </w:tc>
      </w:tr>
      <w:tr w:rsidR="00231083" w14:paraId="380E2A86" w14:textId="77777777">
        <w:trPr>
          <w:jc w:val="center"/>
        </w:trPr>
        <w:tc>
          <w:tcPr>
            <w:tcW w:w="5184" w:type="dxa"/>
            <w:vAlign w:val="center"/>
          </w:tcPr>
          <w:p w14:paraId="1E672817" w14:textId="77777777" w:rsidR="00231083" w:rsidRDefault="00000000">
            <w:r>
              <w:rPr>
                <w:sz w:val="17"/>
              </w:rPr>
              <w:t>CPU por pod</w:t>
            </w:r>
          </w:p>
        </w:tc>
        <w:tc>
          <w:tcPr>
            <w:tcW w:w="5184" w:type="dxa"/>
            <w:vAlign w:val="center"/>
          </w:tcPr>
          <w:p w14:paraId="7679C1D6" w14:textId="77777777" w:rsidR="00231083" w:rsidRDefault="00000000">
            <w:r>
              <w:rPr>
                <w:sz w:val="17"/>
              </w:rPr>
              <w:t>25 a 50 millicores</w:t>
            </w:r>
          </w:p>
        </w:tc>
      </w:tr>
      <w:tr w:rsidR="00231083" w14:paraId="4A00BA5D" w14:textId="77777777">
        <w:trPr>
          <w:jc w:val="center"/>
        </w:trPr>
        <w:tc>
          <w:tcPr>
            <w:tcW w:w="5184" w:type="dxa"/>
            <w:vAlign w:val="center"/>
          </w:tcPr>
          <w:p w14:paraId="12823338" w14:textId="77777777" w:rsidR="00231083" w:rsidRDefault="00000000">
            <w:r>
              <w:rPr>
                <w:sz w:val="17"/>
              </w:rPr>
              <w:t>Memoria por pod</w:t>
            </w:r>
          </w:p>
        </w:tc>
        <w:tc>
          <w:tcPr>
            <w:tcW w:w="5184" w:type="dxa"/>
            <w:vAlign w:val="center"/>
          </w:tcPr>
          <w:p w14:paraId="27F3AB56" w14:textId="77777777" w:rsidR="00231083" w:rsidRDefault="00000000">
            <w:r>
              <w:rPr>
                <w:sz w:val="17"/>
              </w:rPr>
              <w:t>250 a 500 MB</w:t>
            </w:r>
          </w:p>
        </w:tc>
      </w:tr>
      <w:tr w:rsidR="00231083" w14:paraId="094BF4C5" w14:textId="77777777">
        <w:trPr>
          <w:jc w:val="center"/>
        </w:trPr>
        <w:tc>
          <w:tcPr>
            <w:tcW w:w="5184" w:type="dxa"/>
            <w:vAlign w:val="center"/>
          </w:tcPr>
          <w:p w14:paraId="18FA5D80" w14:textId="77777777" w:rsidR="00231083" w:rsidRDefault="00000000">
            <w:r>
              <w:rPr>
                <w:sz w:val="17"/>
              </w:rPr>
              <w:t>Modelo usado</w:t>
            </w:r>
          </w:p>
        </w:tc>
        <w:tc>
          <w:tcPr>
            <w:tcW w:w="5184" w:type="dxa"/>
            <w:vAlign w:val="center"/>
          </w:tcPr>
          <w:p w14:paraId="57E1B790" w14:textId="77777777" w:rsidR="00231083" w:rsidRDefault="00000000">
            <w:r>
              <w:rPr>
                <w:sz w:val="17"/>
              </w:rPr>
              <w:t>50 millicores y 500 MB</w:t>
            </w:r>
          </w:p>
        </w:tc>
      </w:tr>
      <w:tr w:rsidR="00231083" w14:paraId="5128D0CA" w14:textId="77777777">
        <w:trPr>
          <w:jc w:val="center"/>
        </w:trPr>
        <w:tc>
          <w:tcPr>
            <w:tcW w:w="5184" w:type="dxa"/>
            <w:vAlign w:val="center"/>
          </w:tcPr>
          <w:p w14:paraId="41F9DACB" w14:textId="77777777" w:rsidR="00231083" w:rsidRDefault="00000000">
            <w:r>
              <w:rPr>
                <w:sz w:val="17"/>
              </w:rPr>
              <w:t>Asignación total por servicio</w:t>
            </w:r>
          </w:p>
        </w:tc>
        <w:tc>
          <w:tcPr>
            <w:tcW w:w="5184" w:type="dxa"/>
            <w:vAlign w:val="center"/>
          </w:tcPr>
          <w:p w14:paraId="294B848D" w14:textId="77777777" w:rsidR="00231083" w:rsidRDefault="00000000">
            <w:r>
              <w:rPr>
                <w:sz w:val="17"/>
              </w:rPr>
              <w:t>0.15 vCPU y 1.5 GB RAM</w:t>
            </w:r>
          </w:p>
        </w:tc>
      </w:tr>
      <w:tr w:rsidR="00231083" w14:paraId="7C7FD4FE" w14:textId="77777777">
        <w:trPr>
          <w:jc w:val="center"/>
        </w:trPr>
        <w:tc>
          <w:tcPr>
            <w:tcW w:w="5184" w:type="dxa"/>
            <w:vAlign w:val="center"/>
          </w:tcPr>
          <w:p w14:paraId="25DEBEBC" w14:textId="77777777" w:rsidR="00231083" w:rsidRDefault="00000000">
            <w:r>
              <w:rPr>
                <w:sz w:val="17"/>
              </w:rPr>
              <w:t>Recurso atribuible al frontend dentro del monolito</w:t>
            </w:r>
          </w:p>
        </w:tc>
        <w:tc>
          <w:tcPr>
            <w:tcW w:w="5184" w:type="dxa"/>
            <w:vAlign w:val="center"/>
          </w:tcPr>
          <w:p w14:paraId="6D47F49B" w14:textId="77777777" w:rsidR="00231083" w:rsidRDefault="00000000">
            <w:r>
              <w:rPr>
                <w:sz w:val="17"/>
              </w:rPr>
              <w:t>40%</w:t>
            </w:r>
          </w:p>
        </w:tc>
      </w:tr>
      <w:tr w:rsidR="00231083" w14:paraId="11A30248" w14:textId="77777777">
        <w:trPr>
          <w:jc w:val="center"/>
        </w:trPr>
        <w:tc>
          <w:tcPr>
            <w:tcW w:w="5184" w:type="dxa"/>
            <w:vAlign w:val="center"/>
          </w:tcPr>
          <w:p w14:paraId="4F1B09AF" w14:textId="77777777" w:rsidR="00231083" w:rsidRDefault="00000000">
            <w:r>
              <w:rPr>
                <w:sz w:val="17"/>
              </w:rPr>
              <w:t>Pool AKS usado para prorrateo</w:t>
            </w:r>
          </w:p>
        </w:tc>
        <w:tc>
          <w:tcPr>
            <w:tcW w:w="5184" w:type="dxa"/>
            <w:vAlign w:val="center"/>
          </w:tcPr>
          <w:p w14:paraId="5B4F70B0" w14:textId="77777777" w:rsidR="00231083" w:rsidRDefault="00000000">
            <w:r>
              <w:rPr>
                <w:sz w:val="17"/>
              </w:rPr>
              <w:t>USD 600</w:t>
            </w:r>
          </w:p>
        </w:tc>
      </w:tr>
      <w:tr w:rsidR="00231083" w14:paraId="2E7EB6CB" w14:textId="77777777">
        <w:trPr>
          <w:jc w:val="center"/>
        </w:trPr>
        <w:tc>
          <w:tcPr>
            <w:tcW w:w="5184" w:type="dxa"/>
            <w:vAlign w:val="center"/>
          </w:tcPr>
          <w:p w14:paraId="359B3EAD" w14:textId="77777777" w:rsidR="00231083" w:rsidRDefault="00000000">
            <w:r>
              <w:rPr>
                <w:sz w:val="17"/>
              </w:rPr>
              <w:t>Build frontend</w:t>
            </w:r>
          </w:p>
        </w:tc>
        <w:tc>
          <w:tcPr>
            <w:tcW w:w="5184" w:type="dxa"/>
            <w:vAlign w:val="center"/>
          </w:tcPr>
          <w:p w14:paraId="1FC0475E" w14:textId="77777777" w:rsidR="00231083" w:rsidRDefault="00000000">
            <w:r>
              <w:rPr>
                <w:sz w:val="17"/>
              </w:rPr>
              <w:t>80 MB</w:t>
            </w:r>
          </w:p>
        </w:tc>
      </w:tr>
      <w:tr w:rsidR="00231083" w14:paraId="0291FF31" w14:textId="77777777">
        <w:trPr>
          <w:jc w:val="center"/>
        </w:trPr>
        <w:tc>
          <w:tcPr>
            <w:tcW w:w="5184" w:type="dxa"/>
            <w:vAlign w:val="center"/>
          </w:tcPr>
          <w:p w14:paraId="4E3754D3" w14:textId="77777777" w:rsidR="00231083" w:rsidRDefault="00000000">
            <w:r>
              <w:rPr>
                <w:sz w:val="17"/>
              </w:rPr>
              <w:t>Payload frontend por visita</w:t>
            </w:r>
          </w:p>
        </w:tc>
        <w:tc>
          <w:tcPr>
            <w:tcW w:w="5184" w:type="dxa"/>
            <w:vAlign w:val="center"/>
          </w:tcPr>
          <w:p w14:paraId="3BBDFCA4" w14:textId="77777777" w:rsidR="00231083" w:rsidRDefault="00000000">
            <w:r>
              <w:rPr>
                <w:sz w:val="17"/>
              </w:rPr>
              <w:t>3 MB</w:t>
            </w:r>
          </w:p>
        </w:tc>
      </w:tr>
      <w:tr w:rsidR="00231083" w14:paraId="0307E94F" w14:textId="77777777">
        <w:trPr>
          <w:jc w:val="center"/>
        </w:trPr>
        <w:tc>
          <w:tcPr>
            <w:tcW w:w="5184" w:type="dxa"/>
            <w:vAlign w:val="center"/>
          </w:tcPr>
          <w:p w14:paraId="35F7A596" w14:textId="77777777" w:rsidR="00231083" w:rsidRDefault="00000000">
            <w:r>
              <w:rPr>
                <w:sz w:val="17"/>
              </w:rPr>
              <w:t>Requests frontend por visita</w:t>
            </w:r>
          </w:p>
        </w:tc>
        <w:tc>
          <w:tcPr>
            <w:tcW w:w="5184" w:type="dxa"/>
            <w:vAlign w:val="center"/>
          </w:tcPr>
          <w:p w14:paraId="78983A77" w14:textId="77777777" w:rsidR="00231083" w:rsidRDefault="00000000">
            <w:r>
              <w:rPr>
                <w:sz w:val="17"/>
              </w:rPr>
              <w:t>25</w:t>
            </w:r>
          </w:p>
        </w:tc>
      </w:tr>
      <w:tr w:rsidR="00231083" w14:paraId="591464D7" w14:textId="77777777">
        <w:trPr>
          <w:jc w:val="center"/>
        </w:trPr>
        <w:tc>
          <w:tcPr>
            <w:tcW w:w="5184" w:type="dxa"/>
            <w:vAlign w:val="center"/>
          </w:tcPr>
          <w:p w14:paraId="618E3BC3" w14:textId="77777777" w:rsidR="00231083" w:rsidRDefault="00000000">
            <w:r>
              <w:rPr>
                <w:sz w:val="17"/>
              </w:rPr>
              <w:t>API calls por visita</w:t>
            </w:r>
          </w:p>
        </w:tc>
        <w:tc>
          <w:tcPr>
            <w:tcW w:w="5184" w:type="dxa"/>
            <w:vAlign w:val="center"/>
          </w:tcPr>
          <w:p w14:paraId="28978D4C" w14:textId="77777777" w:rsidR="00231083" w:rsidRDefault="00000000">
            <w:r>
              <w:rPr>
                <w:sz w:val="17"/>
              </w:rPr>
              <w:t>5</w:t>
            </w:r>
          </w:p>
        </w:tc>
      </w:tr>
      <w:tr w:rsidR="00231083" w14:paraId="0DD8C459" w14:textId="77777777">
        <w:trPr>
          <w:jc w:val="center"/>
        </w:trPr>
        <w:tc>
          <w:tcPr>
            <w:tcW w:w="5184" w:type="dxa"/>
            <w:vAlign w:val="center"/>
          </w:tcPr>
          <w:p w14:paraId="7E6D69D6" w14:textId="77777777" w:rsidR="00231083" w:rsidRDefault="00000000">
            <w:r>
              <w:rPr>
                <w:sz w:val="17"/>
              </w:rPr>
              <w:t>Payload API</w:t>
            </w:r>
          </w:p>
        </w:tc>
        <w:tc>
          <w:tcPr>
            <w:tcW w:w="5184" w:type="dxa"/>
            <w:vAlign w:val="center"/>
          </w:tcPr>
          <w:p w14:paraId="46823FDC" w14:textId="77777777" w:rsidR="00231083" w:rsidRDefault="00000000">
            <w:r>
              <w:rPr>
                <w:sz w:val="17"/>
              </w:rPr>
              <w:t>50 KB</w:t>
            </w:r>
          </w:p>
        </w:tc>
      </w:tr>
    </w:tbl>
    <w:p w14:paraId="4FF1539C" w14:textId="77777777" w:rsidR="00231083" w:rsidRDefault="00231083"/>
    <w:p w14:paraId="78217A3C" w14:textId="77777777" w:rsidR="00231083" w:rsidRDefault="00000000">
      <w:pPr>
        <w:pStyle w:val="Ttulo2"/>
        <w:spacing w:before="80" w:after="80"/>
      </w:pPr>
      <w:r>
        <w:t>Resultados estimados</w:t>
      </w:r>
    </w:p>
    <w:tbl>
      <w:tblPr>
        <w:tblStyle w:val="Tablaconcuadrcula"/>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042"/>
        <w:gridCol w:w="1699"/>
        <w:gridCol w:w="1699"/>
        <w:gridCol w:w="1690"/>
        <w:gridCol w:w="1757"/>
        <w:gridCol w:w="1697"/>
      </w:tblGrid>
      <w:tr w:rsidR="00231083" w14:paraId="007982DB" w14:textId="77777777">
        <w:trPr>
          <w:jc w:val="center"/>
        </w:trPr>
        <w:tc>
          <w:tcPr>
            <w:tcW w:w="2088" w:type="dxa"/>
            <w:shd w:val="clear" w:color="auto" w:fill="1F4E79"/>
            <w:vAlign w:val="center"/>
          </w:tcPr>
          <w:p w14:paraId="375B4596" w14:textId="77777777" w:rsidR="00231083" w:rsidRDefault="00000000">
            <w:r>
              <w:rPr>
                <w:b/>
                <w:color w:val="FFFFFF"/>
                <w:sz w:val="17"/>
              </w:rPr>
              <w:t>Escenario</w:t>
            </w:r>
          </w:p>
        </w:tc>
        <w:tc>
          <w:tcPr>
            <w:tcW w:w="1728" w:type="dxa"/>
            <w:shd w:val="clear" w:color="auto" w:fill="1F4E79"/>
            <w:vAlign w:val="center"/>
          </w:tcPr>
          <w:p w14:paraId="438953A6" w14:textId="77777777" w:rsidR="00231083" w:rsidRDefault="00000000">
            <w:r>
              <w:rPr>
                <w:b/>
                <w:color w:val="FFFFFF"/>
                <w:sz w:val="17"/>
              </w:rPr>
              <w:t>AS-IS</w:t>
            </w:r>
          </w:p>
        </w:tc>
        <w:tc>
          <w:tcPr>
            <w:tcW w:w="1728" w:type="dxa"/>
            <w:shd w:val="clear" w:color="auto" w:fill="1F4E79"/>
            <w:vAlign w:val="center"/>
          </w:tcPr>
          <w:p w14:paraId="065ADE13" w14:textId="77777777" w:rsidR="00231083" w:rsidRDefault="00000000">
            <w:r>
              <w:rPr>
                <w:b/>
                <w:color w:val="FFFFFF"/>
                <w:sz w:val="17"/>
              </w:rPr>
              <w:t>TO-BE</w:t>
            </w:r>
          </w:p>
        </w:tc>
        <w:tc>
          <w:tcPr>
            <w:tcW w:w="1728" w:type="dxa"/>
            <w:shd w:val="clear" w:color="auto" w:fill="1F4E79"/>
            <w:vAlign w:val="center"/>
          </w:tcPr>
          <w:p w14:paraId="67063F6A" w14:textId="77777777" w:rsidR="00231083" w:rsidRDefault="00000000">
            <w:r>
              <w:rPr>
                <w:b/>
                <w:color w:val="FFFFFF"/>
                <w:sz w:val="17"/>
              </w:rPr>
              <w:t>Ahorro mensual</w:t>
            </w:r>
          </w:p>
        </w:tc>
        <w:tc>
          <w:tcPr>
            <w:tcW w:w="1800" w:type="dxa"/>
            <w:shd w:val="clear" w:color="auto" w:fill="1F4E79"/>
            <w:vAlign w:val="center"/>
          </w:tcPr>
          <w:p w14:paraId="75BBAE68" w14:textId="77777777" w:rsidR="00231083" w:rsidRDefault="00000000">
            <w:r>
              <w:rPr>
                <w:b/>
                <w:color w:val="FFFFFF"/>
                <w:sz w:val="17"/>
              </w:rPr>
              <w:t>Ahorro anual</w:t>
            </w:r>
          </w:p>
        </w:tc>
        <w:tc>
          <w:tcPr>
            <w:tcW w:w="1224" w:type="dxa"/>
            <w:shd w:val="clear" w:color="auto" w:fill="1F4E79"/>
            <w:vAlign w:val="center"/>
          </w:tcPr>
          <w:p w14:paraId="3C1EB103" w14:textId="77777777" w:rsidR="00231083" w:rsidRDefault="00000000">
            <w:r>
              <w:rPr>
                <w:b/>
                <w:color w:val="FFFFFF"/>
                <w:sz w:val="17"/>
              </w:rPr>
              <w:t>Reducción</w:t>
            </w:r>
          </w:p>
        </w:tc>
      </w:tr>
      <w:tr w:rsidR="00231083" w14:paraId="26B1CB04" w14:textId="77777777">
        <w:trPr>
          <w:jc w:val="center"/>
        </w:trPr>
        <w:tc>
          <w:tcPr>
            <w:tcW w:w="1728" w:type="dxa"/>
            <w:vAlign w:val="center"/>
          </w:tcPr>
          <w:p w14:paraId="509DB8F7" w14:textId="77777777" w:rsidR="00231083" w:rsidRDefault="00000000">
            <w:r>
              <w:rPr>
                <w:sz w:val="17"/>
              </w:rPr>
              <w:t>10k visitas/mes</w:t>
            </w:r>
          </w:p>
        </w:tc>
        <w:tc>
          <w:tcPr>
            <w:tcW w:w="1728" w:type="dxa"/>
            <w:vAlign w:val="center"/>
          </w:tcPr>
          <w:p w14:paraId="4DCDB86B" w14:textId="77777777" w:rsidR="00231083" w:rsidRDefault="00000000">
            <w:r>
              <w:rPr>
                <w:sz w:val="17"/>
              </w:rPr>
              <w:t>USD 275.48/mes</w:t>
            </w:r>
          </w:p>
        </w:tc>
        <w:tc>
          <w:tcPr>
            <w:tcW w:w="1728" w:type="dxa"/>
            <w:vAlign w:val="center"/>
          </w:tcPr>
          <w:p w14:paraId="6828BA42" w14:textId="77777777" w:rsidR="00231083" w:rsidRDefault="00000000">
            <w:r>
              <w:rPr>
                <w:sz w:val="17"/>
              </w:rPr>
              <w:t>USD 77.95/mes</w:t>
            </w:r>
          </w:p>
        </w:tc>
        <w:tc>
          <w:tcPr>
            <w:tcW w:w="1728" w:type="dxa"/>
            <w:vAlign w:val="center"/>
          </w:tcPr>
          <w:p w14:paraId="7D7E6A90" w14:textId="77777777" w:rsidR="00231083" w:rsidRDefault="00000000">
            <w:r>
              <w:rPr>
                <w:sz w:val="17"/>
              </w:rPr>
              <w:t>USD 197.53</w:t>
            </w:r>
          </w:p>
        </w:tc>
        <w:tc>
          <w:tcPr>
            <w:tcW w:w="1728" w:type="dxa"/>
            <w:vAlign w:val="center"/>
          </w:tcPr>
          <w:p w14:paraId="75CB086D" w14:textId="77777777" w:rsidR="00231083" w:rsidRDefault="00000000">
            <w:r>
              <w:rPr>
                <w:sz w:val="17"/>
              </w:rPr>
              <w:t>USD 2,370.40</w:t>
            </w:r>
          </w:p>
        </w:tc>
        <w:tc>
          <w:tcPr>
            <w:tcW w:w="1728" w:type="dxa"/>
            <w:vAlign w:val="center"/>
          </w:tcPr>
          <w:p w14:paraId="090F3004" w14:textId="77777777" w:rsidR="00231083" w:rsidRDefault="00000000">
            <w:r>
              <w:rPr>
                <w:sz w:val="17"/>
              </w:rPr>
              <w:t>71.7%</w:t>
            </w:r>
          </w:p>
        </w:tc>
      </w:tr>
      <w:tr w:rsidR="00231083" w14:paraId="145ADC38" w14:textId="77777777">
        <w:trPr>
          <w:jc w:val="center"/>
        </w:trPr>
        <w:tc>
          <w:tcPr>
            <w:tcW w:w="1728" w:type="dxa"/>
            <w:vAlign w:val="center"/>
          </w:tcPr>
          <w:p w14:paraId="0DC62FD3" w14:textId="77777777" w:rsidR="00231083" w:rsidRDefault="00000000">
            <w:r>
              <w:rPr>
                <w:sz w:val="17"/>
              </w:rPr>
              <w:t>100k visitas/mes</w:t>
            </w:r>
          </w:p>
        </w:tc>
        <w:tc>
          <w:tcPr>
            <w:tcW w:w="1728" w:type="dxa"/>
            <w:vAlign w:val="center"/>
          </w:tcPr>
          <w:p w14:paraId="07255D31" w14:textId="77777777" w:rsidR="00231083" w:rsidRDefault="00000000">
            <w:r>
              <w:rPr>
                <w:sz w:val="17"/>
              </w:rPr>
              <w:t>USD 298.42/mes</w:t>
            </w:r>
          </w:p>
        </w:tc>
        <w:tc>
          <w:tcPr>
            <w:tcW w:w="1728" w:type="dxa"/>
            <w:vAlign w:val="center"/>
          </w:tcPr>
          <w:p w14:paraId="3F74C25E" w14:textId="77777777" w:rsidR="00231083" w:rsidRDefault="00000000">
            <w:r>
              <w:rPr>
                <w:sz w:val="17"/>
              </w:rPr>
              <w:t>USD 99.91/mes</w:t>
            </w:r>
          </w:p>
        </w:tc>
        <w:tc>
          <w:tcPr>
            <w:tcW w:w="1728" w:type="dxa"/>
            <w:vAlign w:val="center"/>
          </w:tcPr>
          <w:p w14:paraId="7D51785F" w14:textId="77777777" w:rsidR="00231083" w:rsidRDefault="00000000">
            <w:r>
              <w:rPr>
                <w:sz w:val="17"/>
              </w:rPr>
              <w:t>USD 198.51</w:t>
            </w:r>
          </w:p>
        </w:tc>
        <w:tc>
          <w:tcPr>
            <w:tcW w:w="1728" w:type="dxa"/>
            <w:vAlign w:val="center"/>
          </w:tcPr>
          <w:p w14:paraId="3983C7C1" w14:textId="77777777" w:rsidR="00231083" w:rsidRDefault="00000000">
            <w:r>
              <w:rPr>
                <w:sz w:val="17"/>
              </w:rPr>
              <w:t>USD 2,382.08</w:t>
            </w:r>
          </w:p>
        </w:tc>
        <w:tc>
          <w:tcPr>
            <w:tcW w:w="1728" w:type="dxa"/>
            <w:vAlign w:val="center"/>
          </w:tcPr>
          <w:p w14:paraId="0F92F8AE" w14:textId="77777777" w:rsidR="00231083" w:rsidRDefault="00000000">
            <w:r>
              <w:rPr>
                <w:sz w:val="17"/>
              </w:rPr>
              <w:t>66.5%</w:t>
            </w:r>
          </w:p>
        </w:tc>
      </w:tr>
      <w:tr w:rsidR="00231083" w14:paraId="6B177761" w14:textId="77777777">
        <w:trPr>
          <w:jc w:val="center"/>
        </w:trPr>
        <w:tc>
          <w:tcPr>
            <w:tcW w:w="1728" w:type="dxa"/>
            <w:vAlign w:val="center"/>
          </w:tcPr>
          <w:p w14:paraId="7CBEFBE0" w14:textId="77777777" w:rsidR="00231083" w:rsidRDefault="00000000">
            <w:r>
              <w:rPr>
                <w:sz w:val="17"/>
              </w:rPr>
              <w:t>1M visitas/mes</w:t>
            </w:r>
          </w:p>
        </w:tc>
        <w:tc>
          <w:tcPr>
            <w:tcW w:w="1728" w:type="dxa"/>
            <w:vAlign w:val="center"/>
          </w:tcPr>
          <w:p w14:paraId="45D1AEAB" w14:textId="77777777" w:rsidR="00231083" w:rsidRDefault="00000000">
            <w:r>
              <w:rPr>
                <w:sz w:val="17"/>
              </w:rPr>
              <w:t>USD 527.81/mes</w:t>
            </w:r>
          </w:p>
        </w:tc>
        <w:tc>
          <w:tcPr>
            <w:tcW w:w="1728" w:type="dxa"/>
            <w:vAlign w:val="center"/>
          </w:tcPr>
          <w:p w14:paraId="1826BE59" w14:textId="77777777" w:rsidR="00231083" w:rsidRDefault="00000000">
            <w:r>
              <w:rPr>
                <w:sz w:val="17"/>
              </w:rPr>
              <w:t>USD 319.57/mes</w:t>
            </w:r>
          </w:p>
        </w:tc>
        <w:tc>
          <w:tcPr>
            <w:tcW w:w="1728" w:type="dxa"/>
            <w:vAlign w:val="center"/>
          </w:tcPr>
          <w:p w14:paraId="21612936" w14:textId="77777777" w:rsidR="00231083" w:rsidRDefault="00000000">
            <w:r>
              <w:rPr>
                <w:sz w:val="17"/>
              </w:rPr>
              <w:t>USD 208.24</w:t>
            </w:r>
          </w:p>
        </w:tc>
        <w:tc>
          <w:tcPr>
            <w:tcW w:w="1728" w:type="dxa"/>
            <w:vAlign w:val="center"/>
          </w:tcPr>
          <w:p w14:paraId="2776BE08" w14:textId="77777777" w:rsidR="00231083" w:rsidRDefault="00000000">
            <w:r>
              <w:rPr>
                <w:sz w:val="17"/>
              </w:rPr>
              <w:t>USD 2,498.93</w:t>
            </w:r>
          </w:p>
        </w:tc>
        <w:tc>
          <w:tcPr>
            <w:tcW w:w="1728" w:type="dxa"/>
            <w:vAlign w:val="center"/>
          </w:tcPr>
          <w:p w14:paraId="11650257" w14:textId="77777777" w:rsidR="00231083" w:rsidRDefault="00000000">
            <w:r>
              <w:rPr>
                <w:sz w:val="17"/>
              </w:rPr>
              <w:t>39.5%</w:t>
            </w:r>
          </w:p>
        </w:tc>
      </w:tr>
      <w:tr w:rsidR="00231083" w14:paraId="685551C8" w14:textId="77777777">
        <w:trPr>
          <w:jc w:val="center"/>
        </w:trPr>
        <w:tc>
          <w:tcPr>
            <w:tcW w:w="1728" w:type="dxa"/>
            <w:vAlign w:val="center"/>
          </w:tcPr>
          <w:p w14:paraId="7E4BB1C8" w14:textId="77777777" w:rsidR="00231083" w:rsidRDefault="00000000">
            <w:r>
              <w:rPr>
                <w:sz w:val="17"/>
              </w:rPr>
              <w:t>TPS promedio</w:t>
            </w:r>
          </w:p>
        </w:tc>
        <w:tc>
          <w:tcPr>
            <w:tcW w:w="1728" w:type="dxa"/>
            <w:vAlign w:val="center"/>
          </w:tcPr>
          <w:p w14:paraId="38F03513" w14:textId="77777777" w:rsidR="00231083" w:rsidRDefault="00000000">
            <w:r>
              <w:rPr>
                <w:sz w:val="17"/>
              </w:rPr>
              <w:t>USD 305.96/mes</w:t>
            </w:r>
          </w:p>
        </w:tc>
        <w:tc>
          <w:tcPr>
            <w:tcW w:w="1728" w:type="dxa"/>
            <w:vAlign w:val="center"/>
          </w:tcPr>
          <w:p w14:paraId="7230F7A3" w14:textId="77777777" w:rsidR="00231083" w:rsidRDefault="00000000">
            <w:r>
              <w:rPr>
                <w:sz w:val="17"/>
              </w:rPr>
              <w:t>USD 107.14/mes</w:t>
            </w:r>
          </w:p>
        </w:tc>
        <w:tc>
          <w:tcPr>
            <w:tcW w:w="1728" w:type="dxa"/>
            <w:vAlign w:val="center"/>
          </w:tcPr>
          <w:p w14:paraId="5B990AF8" w14:textId="77777777" w:rsidR="00231083" w:rsidRDefault="00000000">
            <w:r>
              <w:rPr>
                <w:sz w:val="17"/>
              </w:rPr>
              <w:t>USD 198.83</w:t>
            </w:r>
          </w:p>
        </w:tc>
        <w:tc>
          <w:tcPr>
            <w:tcW w:w="1728" w:type="dxa"/>
            <w:vAlign w:val="center"/>
          </w:tcPr>
          <w:p w14:paraId="1946B585" w14:textId="77777777" w:rsidR="00231083" w:rsidRDefault="00000000">
            <w:r>
              <w:rPr>
                <w:sz w:val="17"/>
              </w:rPr>
              <w:t>USD 2,385.93</w:t>
            </w:r>
          </w:p>
        </w:tc>
        <w:tc>
          <w:tcPr>
            <w:tcW w:w="1728" w:type="dxa"/>
            <w:vAlign w:val="center"/>
          </w:tcPr>
          <w:p w14:paraId="48AE7899" w14:textId="77777777" w:rsidR="00231083" w:rsidRDefault="00000000">
            <w:r>
              <w:rPr>
                <w:sz w:val="17"/>
              </w:rPr>
              <w:t>65.0%</w:t>
            </w:r>
          </w:p>
        </w:tc>
      </w:tr>
    </w:tbl>
    <w:p w14:paraId="2C2F5B72" w14:textId="77777777" w:rsidR="00231083" w:rsidRDefault="00231083"/>
    <w:p w14:paraId="2FD3EC92" w14:textId="77777777" w:rsidR="00231083" w:rsidRDefault="00000000">
      <w:pPr>
        <w:pStyle w:val="Ttulo2"/>
        <w:spacing w:before="80" w:after="80"/>
      </w:pPr>
      <w:r>
        <w:t>Interpretación</w:t>
      </w:r>
    </w:p>
    <w:p w14:paraId="34928CB7" w14:textId="77777777" w:rsidR="00231083" w:rsidRDefault="00000000">
      <w:pPr>
        <w:spacing w:after="120" w:line="252" w:lineRule="auto"/>
      </w:pPr>
      <w:r>
        <w:t>Mover el frontend a Blob Storage + Front Door no implica eliminar nodos necesariamente, porque el backend sigue ejecutándose en AKS. El ahorro económico se concentra en dejar de servir contenido estático desde AKS/Application Gateway y en liberar capacidad marginal del cluster.</w:t>
      </w:r>
    </w:p>
    <w:p w14:paraId="752D0B17" w14:textId="77777777" w:rsidR="00231083" w:rsidRDefault="00000000">
      <w:pPr>
        <w:spacing w:after="120" w:line="252" w:lineRule="auto"/>
      </w:pPr>
      <w:r>
        <w:t>Con los supuestos actuales, el modelo evidencia ahorros entre 39.5% y 71.7% según el volumen de tráfico. En escenarios de bajo y medio tráfico la reducción es mayor porque el costo fijo de Front Door se comparte entre varios frontends y el costo de Blob Storage es marginal. En escenarios de tráfico alto, el ahorro se reduce por el incremento del costo de transferencia por Front Door.</w:t>
      </w:r>
    </w:p>
    <w:p w14:paraId="5C0F5D8D" w14:textId="77777777" w:rsidR="00231083" w:rsidRDefault="00000000">
      <w:pPr>
        <w:pStyle w:val="Ttulo2"/>
        <w:spacing w:before="80" w:after="80"/>
      </w:pPr>
      <w:r>
        <w:t>Conclusión</w:t>
      </w:r>
    </w:p>
    <w:p w14:paraId="5484CF26" w14:textId="77777777" w:rsidR="00231083" w:rsidRDefault="00000000">
      <w:pPr>
        <w:spacing w:after="120" w:line="252" w:lineRule="auto"/>
      </w:pPr>
      <w:r>
        <w:t>La calculadora muestra una ventaja económica estimada del escenario Blob Storage + Front Door compartido frente al modelo AKS + Application Gateway para servir frontend estático. La evidencia debe interpretarse como estimación técnica bajo supuestos explícitos, no como costo contractual ni ahorro garantizado.</w:t>
      </w:r>
    </w:p>
    <w:p w14:paraId="060BD859" w14:textId="77777777" w:rsidR="00231083" w:rsidRDefault="00000000">
      <w:pPr>
        <w:pStyle w:val="Ttulo1"/>
        <w:spacing w:before="160" w:after="80"/>
      </w:pPr>
      <w:r>
        <w:t>3. Revisión de pipelines actuales</w:t>
      </w:r>
    </w:p>
    <w:p w14:paraId="0F778542" w14:textId="77777777" w:rsidR="00231083" w:rsidRDefault="00000000">
      <w:pPr>
        <w:pStyle w:val="Ttulo2"/>
        <w:spacing w:before="80" w:after="80"/>
      </w:pPr>
      <w:r>
        <w:t>Fuente de la evidencia</w:t>
      </w:r>
    </w:p>
    <w:p w14:paraId="773FEDEB" w14:textId="77777777" w:rsidR="00231083" w:rsidRDefault="00000000">
      <w:pPr>
        <w:spacing w:after="120" w:line="252" w:lineRule="auto"/>
      </w:pPr>
      <w:r>
        <w:t>La base utilizada corresponde a información suministrada por DevOps, capturas del pipeline actual, descripción técnica del build FE+BE y métricas extraídas desde Azure DevOps.</w:t>
      </w:r>
    </w:p>
    <w:p w14:paraId="6A97525F" w14:textId="77777777" w:rsidR="00231083" w:rsidRDefault="00000000">
      <w:pPr>
        <w:pStyle w:val="Ttulo2"/>
        <w:spacing w:before="80" w:after="80"/>
      </w:pPr>
      <w:r>
        <w:t>Mapa del pipeline actual</w:t>
      </w:r>
    </w:p>
    <w:tbl>
      <w:tblPr>
        <w:tblStyle w:val="Tablaconcuadrcula"/>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368"/>
      </w:tblGrid>
      <w:tr w:rsidR="00231083" w14:paraId="2CAB953B" w14:textId="77777777">
        <w:tc>
          <w:tcPr>
            <w:tcW w:w="10368" w:type="dxa"/>
            <w:shd w:val="clear" w:color="auto" w:fill="F2F2F2"/>
          </w:tcPr>
          <w:p w14:paraId="4A3FE60C" w14:textId="77777777" w:rsidR="00231083" w:rsidRDefault="00000000">
            <w:pPr>
              <w:spacing w:after="60"/>
            </w:pPr>
            <w:r>
              <w:rPr>
                <w:b/>
                <w:color w:val="1F4E79"/>
                <w:sz w:val="18"/>
              </w:rPr>
              <w:t>Flujo general</w:t>
            </w:r>
          </w:p>
          <w:p w14:paraId="1069248B" w14:textId="77777777" w:rsidR="00231083" w:rsidRDefault="00000000">
            <w:r>
              <w:rPr>
                <w:rFonts w:ascii="Consolas" w:eastAsia="Consolas" w:hAnsi="Consolas"/>
                <w:sz w:val="17"/>
              </w:rPr>
              <w:t>Build → Test → Package → Deploy → Post-deploy</w:t>
            </w:r>
          </w:p>
        </w:tc>
      </w:tr>
    </w:tbl>
    <w:p w14:paraId="4D88BCC5" w14:textId="77777777" w:rsidR="00231083" w:rsidRDefault="00231083"/>
    <w:tbl>
      <w:tblPr>
        <w:tblStyle w:val="Tablaconcuadrcula"/>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368"/>
      </w:tblGrid>
      <w:tr w:rsidR="00231083" w14:paraId="43F0977A" w14:textId="77777777">
        <w:tc>
          <w:tcPr>
            <w:tcW w:w="10368" w:type="dxa"/>
            <w:shd w:val="clear" w:color="auto" w:fill="F2F2F2"/>
          </w:tcPr>
          <w:p w14:paraId="11BE9E39" w14:textId="77777777" w:rsidR="00231083" w:rsidRDefault="00000000">
            <w:pPr>
              <w:spacing w:after="60"/>
            </w:pPr>
            <w:r>
              <w:rPr>
                <w:b/>
                <w:color w:val="1F4E79"/>
                <w:sz w:val="18"/>
              </w:rPr>
              <w:t>Flujo operativo observado</w:t>
            </w:r>
          </w:p>
          <w:p w14:paraId="58C89D37" w14:textId="77777777" w:rsidR="00231083" w:rsidRDefault="00000000">
            <w:r>
              <w:rPr>
                <w:rFonts w:ascii="Consolas" w:eastAsia="Consolas" w:hAnsi="Consolas"/>
                <w:sz w:val="17"/>
              </w:rPr>
              <w:t>Commit en develop/test</w:t>
            </w:r>
          </w:p>
          <w:p w14:paraId="23441CC7" w14:textId="77777777" w:rsidR="00231083" w:rsidRDefault="00000000">
            <w:r>
              <w:rPr>
                <w:rFonts w:ascii="Consolas" w:eastAsia="Consolas" w:hAnsi="Consolas"/>
                <w:sz w:val="17"/>
              </w:rPr>
              <w:t>↓</w:t>
            </w:r>
          </w:p>
          <w:p w14:paraId="0710B0F3" w14:textId="77777777" w:rsidR="00231083" w:rsidRDefault="00000000">
            <w:r>
              <w:rPr>
                <w:rFonts w:ascii="Consolas" w:eastAsia="Consolas" w:hAnsi="Consolas"/>
                <w:sz w:val="17"/>
              </w:rPr>
              <w:lastRenderedPageBreak/>
              <w:t>Build del backend</w:t>
            </w:r>
          </w:p>
          <w:p w14:paraId="266105AA" w14:textId="77777777" w:rsidR="00231083" w:rsidRDefault="00000000">
            <w:r>
              <w:rPr>
                <w:rFonts w:ascii="Consolas" w:eastAsia="Consolas" w:hAnsi="Consolas"/>
                <w:sz w:val="17"/>
              </w:rPr>
              <w:t>↓</w:t>
            </w:r>
          </w:p>
          <w:p w14:paraId="732304C0" w14:textId="77777777" w:rsidR="00231083" w:rsidRDefault="00000000">
            <w:r>
              <w:rPr>
                <w:rFonts w:ascii="Consolas" w:eastAsia="Consolas" w:hAnsi="Consolas"/>
                <w:sz w:val="17"/>
              </w:rPr>
              <w:t>Pruebas unitarias y análisis de calidad del backend</w:t>
            </w:r>
          </w:p>
          <w:p w14:paraId="217A2A38" w14:textId="77777777" w:rsidR="00231083" w:rsidRDefault="00000000">
            <w:r>
              <w:rPr>
                <w:rFonts w:ascii="Consolas" w:eastAsia="Consolas" w:hAnsi="Consolas"/>
                <w:sz w:val="17"/>
              </w:rPr>
              <w:t>↓</w:t>
            </w:r>
          </w:p>
          <w:p w14:paraId="66B2728B" w14:textId="77777777" w:rsidR="00231083" w:rsidRDefault="00000000">
            <w:r>
              <w:rPr>
                <w:rFonts w:ascii="Consolas" w:eastAsia="Consolas" w:hAnsi="Consolas"/>
                <w:sz w:val="17"/>
              </w:rPr>
              <w:t>Instalación Node.js / npm</w:t>
            </w:r>
          </w:p>
          <w:p w14:paraId="66E13448" w14:textId="77777777" w:rsidR="00231083" w:rsidRDefault="00000000">
            <w:r>
              <w:rPr>
                <w:rFonts w:ascii="Consolas" w:eastAsia="Consolas" w:hAnsi="Consolas"/>
                <w:sz w:val="17"/>
              </w:rPr>
              <w:t>↓</w:t>
            </w:r>
          </w:p>
          <w:p w14:paraId="689F9CAC" w14:textId="77777777" w:rsidR="00231083" w:rsidRDefault="00000000">
            <w:r>
              <w:rPr>
                <w:rFonts w:ascii="Consolas" w:eastAsia="Consolas" w:hAnsi="Consolas"/>
                <w:sz w:val="17"/>
              </w:rPr>
              <w:t>Pruebas y build del frontend</w:t>
            </w:r>
          </w:p>
          <w:p w14:paraId="4E4A6F9D" w14:textId="77777777" w:rsidR="00231083" w:rsidRDefault="00000000">
            <w:r>
              <w:rPr>
                <w:rFonts w:ascii="Consolas" w:eastAsia="Consolas" w:hAnsi="Consolas"/>
                <w:sz w:val="17"/>
              </w:rPr>
              <w:t>↓</w:t>
            </w:r>
          </w:p>
          <w:p w14:paraId="18A8C0EA" w14:textId="77777777" w:rsidR="00231083" w:rsidRDefault="00000000">
            <w:r>
              <w:rPr>
                <w:rFonts w:ascii="Consolas" w:eastAsia="Consolas" w:hAnsi="Consolas"/>
                <w:sz w:val="17"/>
              </w:rPr>
              <w:t>Publicación de artefacto único</w:t>
            </w:r>
          </w:p>
          <w:p w14:paraId="1CFD938C" w14:textId="77777777" w:rsidR="00231083" w:rsidRDefault="00000000">
            <w:r>
              <w:rPr>
                <w:rFonts w:ascii="Consolas" w:eastAsia="Consolas" w:hAnsi="Consolas"/>
                <w:sz w:val="17"/>
              </w:rPr>
              <w:t>↓</w:t>
            </w:r>
          </w:p>
          <w:p w14:paraId="471220B9" w14:textId="77777777" w:rsidR="00231083" w:rsidRDefault="00000000">
            <w:r>
              <w:rPr>
                <w:rFonts w:ascii="Consolas" w:eastAsia="Consolas" w:hAnsi="Consolas"/>
                <w:sz w:val="17"/>
              </w:rPr>
              <w:t>Construcción de imagen Docker única</w:t>
            </w:r>
          </w:p>
          <w:p w14:paraId="1D7E4242" w14:textId="77777777" w:rsidR="00231083" w:rsidRDefault="00000000">
            <w:r>
              <w:rPr>
                <w:rFonts w:ascii="Consolas" w:eastAsia="Consolas" w:hAnsi="Consolas"/>
                <w:sz w:val="17"/>
              </w:rPr>
              <w:t>↓</w:t>
            </w:r>
          </w:p>
          <w:p w14:paraId="0FC0AAC8" w14:textId="77777777" w:rsidR="00231083" w:rsidRDefault="00000000">
            <w:r>
              <w:rPr>
                <w:rFonts w:ascii="Consolas" w:eastAsia="Consolas" w:hAnsi="Consolas"/>
                <w:sz w:val="17"/>
              </w:rPr>
              <w:t>Despliegue en AKS</w:t>
            </w:r>
          </w:p>
          <w:p w14:paraId="6D647519" w14:textId="77777777" w:rsidR="00231083" w:rsidRDefault="00000000">
            <w:r>
              <w:rPr>
                <w:rFonts w:ascii="Consolas" w:eastAsia="Consolas" w:hAnsi="Consolas"/>
                <w:sz w:val="17"/>
              </w:rPr>
              <w:t>↓</w:t>
            </w:r>
          </w:p>
          <w:p w14:paraId="41ED33FF" w14:textId="77777777" w:rsidR="00231083" w:rsidRDefault="00000000">
            <w:r>
              <w:rPr>
                <w:rFonts w:ascii="Consolas" w:eastAsia="Consolas" w:hAnsi="Consolas"/>
                <w:sz w:val="17"/>
              </w:rPr>
              <w:t>Post-deploy</w:t>
            </w:r>
          </w:p>
        </w:tc>
      </w:tr>
    </w:tbl>
    <w:p w14:paraId="7FEFF4FD" w14:textId="77777777" w:rsidR="00231083" w:rsidRDefault="00231083"/>
    <w:p w14:paraId="33968DAA" w14:textId="77777777" w:rsidR="00231083" w:rsidRDefault="00000000">
      <w:pPr>
        <w:pStyle w:val="Ttulo2"/>
        <w:spacing w:before="80" w:after="80"/>
      </w:pPr>
      <w:r>
        <w:t>Dependencias acopladas FE+BE</w:t>
      </w:r>
    </w:p>
    <w:p w14:paraId="31C5810F" w14:textId="77777777" w:rsidR="00231083" w:rsidRDefault="00000000">
      <w:pPr>
        <w:spacing w:after="120" w:line="252" w:lineRule="auto"/>
      </w:pPr>
      <w:r>
        <w:t>Frontend y backend están acoplados dentro del mismo ciclo de construcción. El frontend se compila dentro del flujo del backend, queda en wwwroot y se sirve con Kestrel.</w:t>
      </w:r>
    </w:p>
    <w:p w14:paraId="00F4EF2D" w14:textId="77777777" w:rsidR="00231083" w:rsidRDefault="00000000">
      <w:pPr>
        <w:spacing w:after="120" w:line="252" w:lineRule="auto"/>
      </w:pPr>
      <w:r>
        <w:t>No existe pipeline, artefacto, versionamiento, despliegue ni rollback independiente para frontend.</w:t>
      </w:r>
    </w:p>
    <w:tbl>
      <w:tblPr>
        <w:tblStyle w:val="Tablaconcuadrcula"/>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368"/>
      </w:tblGrid>
      <w:tr w:rsidR="00231083" w14:paraId="61B10745" w14:textId="77777777">
        <w:tc>
          <w:tcPr>
            <w:tcW w:w="10368" w:type="dxa"/>
            <w:shd w:val="clear" w:color="auto" w:fill="F2F2F2"/>
          </w:tcPr>
          <w:p w14:paraId="4F8832D7" w14:textId="77777777" w:rsidR="00231083" w:rsidRDefault="00000000">
            <w:pPr>
              <w:spacing w:after="60"/>
            </w:pPr>
            <w:r>
              <w:rPr>
                <w:b/>
                <w:color w:val="1F4E79"/>
                <w:sz w:val="18"/>
              </w:rPr>
              <w:t>Relación operativa actual</w:t>
            </w:r>
          </w:p>
          <w:p w14:paraId="3713435D" w14:textId="77777777" w:rsidR="00231083" w:rsidRDefault="00000000">
            <w:r>
              <w:rPr>
                <w:rFonts w:ascii="Consolas" w:eastAsia="Consolas" w:hAnsi="Consolas"/>
                <w:sz w:val="17"/>
              </w:rPr>
              <w:t>Cambio en frontend → build completo FE+BE → artefacto único → imagen única → deploy completo</w:t>
            </w:r>
          </w:p>
          <w:p w14:paraId="790C233E" w14:textId="77777777" w:rsidR="00231083" w:rsidRDefault="00000000">
            <w:r>
              <w:rPr>
                <w:rFonts w:ascii="Consolas" w:eastAsia="Consolas" w:hAnsi="Consolas"/>
                <w:sz w:val="17"/>
              </w:rPr>
              <w:t>Cambio en backend → build completo FE+BE → artefacto único → imagen única → deploy completo</w:t>
            </w:r>
          </w:p>
        </w:tc>
      </w:tr>
    </w:tbl>
    <w:p w14:paraId="5F70C4BF" w14:textId="77777777" w:rsidR="00231083" w:rsidRDefault="00231083"/>
    <w:p w14:paraId="0438B5B2" w14:textId="77777777" w:rsidR="00231083" w:rsidRDefault="00000000">
      <w:pPr>
        <w:pStyle w:val="Ttulo2"/>
        <w:spacing w:before="80" w:after="80"/>
      </w:pPr>
      <w:r>
        <w:t>Cuellos de botella</w:t>
      </w:r>
    </w:p>
    <w:p w14:paraId="0E9F2D22" w14:textId="77777777" w:rsidR="00231083" w:rsidRDefault="00000000">
      <w:pPr>
        <w:spacing w:after="120" w:line="252" w:lineRule="auto"/>
      </w:pPr>
      <w:r>
        <w:t>El principal cuello de botella es la existencia de un build único para componentes con ciclos de cambio distintos. El pipeline ejecuta frontend y backend en la misma cadena, aun cuando el cambio afecte solo uno de los componentes.</w:t>
      </w:r>
    </w:p>
    <w:tbl>
      <w:tblPr>
        <w:tblStyle w:val="Tablaconcuadrcula"/>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5582"/>
        <w:gridCol w:w="5002"/>
      </w:tblGrid>
      <w:tr w:rsidR="00231083" w14:paraId="018B21C0" w14:textId="77777777">
        <w:trPr>
          <w:jc w:val="center"/>
        </w:trPr>
        <w:tc>
          <w:tcPr>
            <w:tcW w:w="5760" w:type="dxa"/>
            <w:shd w:val="clear" w:color="auto" w:fill="1F4E79"/>
            <w:vAlign w:val="center"/>
          </w:tcPr>
          <w:p w14:paraId="0B931F10" w14:textId="77777777" w:rsidR="00231083" w:rsidRDefault="00000000">
            <w:r>
              <w:rPr>
                <w:b/>
                <w:color w:val="FFFFFF"/>
                <w:sz w:val="17"/>
              </w:rPr>
              <w:t>Métrica</w:t>
            </w:r>
          </w:p>
        </w:tc>
        <w:tc>
          <w:tcPr>
            <w:tcW w:w="2880" w:type="dxa"/>
            <w:shd w:val="clear" w:color="auto" w:fill="1F4E79"/>
            <w:vAlign w:val="center"/>
          </w:tcPr>
          <w:p w14:paraId="261B54A6" w14:textId="77777777" w:rsidR="00231083" w:rsidRDefault="00000000">
            <w:r>
              <w:rPr>
                <w:b/>
                <w:color w:val="FFFFFF"/>
                <w:sz w:val="17"/>
              </w:rPr>
              <w:t>Valor</w:t>
            </w:r>
          </w:p>
        </w:tc>
      </w:tr>
      <w:tr w:rsidR="00231083" w14:paraId="38F6A8F0" w14:textId="77777777">
        <w:trPr>
          <w:jc w:val="center"/>
        </w:trPr>
        <w:tc>
          <w:tcPr>
            <w:tcW w:w="5184" w:type="dxa"/>
            <w:vAlign w:val="center"/>
          </w:tcPr>
          <w:p w14:paraId="519A7421" w14:textId="77777777" w:rsidR="00231083" w:rsidRDefault="00000000">
            <w:r>
              <w:rPr>
                <w:sz w:val="17"/>
              </w:rPr>
              <w:t>Monolito FE+BE</w:t>
            </w:r>
          </w:p>
        </w:tc>
        <w:tc>
          <w:tcPr>
            <w:tcW w:w="5184" w:type="dxa"/>
            <w:vAlign w:val="center"/>
          </w:tcPr>
          <w:p w14:paraId="2D65E45E" w14:textId="77777777" w:rsidR="00231083" w:rsidRDefault="00000000">
            <w:r>
              <w:rPr>
                <w:sz w:val="17"/>
              </w:rPr>
              <w:t>4m 16s</w:t>
            </w:r>
          </w:p>
        </w:tc>
      </w:tr>
      <w:tr w:rsidR="00231083" w14:paraId="7B069E57" w14:textId="77777777">
        <w:trPr>
          <w:jc w:val="center"/>
        </w:trPr>
        <w:tc>
          <w:tcPr>
            <w:tcW w:w="5184" w:type="dxa"/>
            <w:vAlign w:val="center"/>
          </w:tcPr>
          <w:p w14:paraId="69BBE144" w14:textId="77777777" w:rsidR="00231083" w:rsidRDefault="00000000">
            <w:r>
              <w:rPr>
                <w:sz w:val="17"/>
              </w:rPr>
              <w:t>Backend independiente</w:t>
            </w:r>
          </w:p>
        </w:tc>
        <w:tc>
          <w:tcPr>
            <w:tcW w:w="5184" w:type="dxa"/>
            <w:vAlign w:val="center"/>
          </w:tcPr>
          <w:p w14:paraId="67BDE4FD" w14:textId="77777777" w:rsidR="00231083" w:rsidRDefault="00000000">
            <w:r>
              <w:rPr>
                <w:sz w:val="17"/>
              </w:rPr>
              <w:t>1m 39s</w:t>
            </w:r>
          </w:p>
        </w:tc>
      </w:tr>
      <w:tr w:rsidR="00231083" w14:paraId="195D83F0" w14:textId="77777777">
        <w:trPr>
          <w:jc w:val="center"/>
        </w:trPr>
        <w:tc>
          <w:tcPr>
            <w:tcW w:w="5184" w:type="dxa"/>
            <w:vAlign w:val="center"/>
          </w:tcPr>
          <w:p w14:paraId="47F5670B" w14:textId="77777777" w:rsidR="00231083" w:rsidRDefault="00000000">
            <w:r>
              <w:rPr>
                <w:sz w:val="17"/>
              </w:rPr>
              <w:t>Frontend PoC</w:t>
            </w:r>
          </w:p>
        </w:tc>
        <w:tc>
          <w:tcPr>
            <w:tcW w:w="5184" w:type="dxa"/>
            <w:vAlign w:val="center"/>
          </w:tcPr>
          <w:p w14:paraId="2C7ED927" w14:textId="77777777" w:rsidR="00231083" w:rsidRDefault="00000000">
            <w:r>
              <w:rPr>
                <w:sz w:val="17"/>
              </w:rPr>
              <w:t>1m 15s</w:t>
            </w:r>
          </w:p>
        </w:tc>
      </w:tr>
    </w:tbl>
    <w:p w14:paraId="339B4EB4" w14:textId="77777777" w:rsidR="00231083" w:rsidRDefault="00231083"/>
    <w:p w14:paraId="682711ED" w14:textId="77777777" w:rsidR="00231083" w:rsidRDefault="00000000">
      <w:pPr>
        <w:spacing w:after="120" w:line="252" w:lineRule="auto"/>
      </w:pPr>
      <w:r>
        <w:t>Esto evidencia que el modelo monolítico obliga a pagar el costo completo de build aunque el cambio sea localizado. Para un cambio exclusivamente de frontend, la reducción potencial aproximada es 70.7%. Para un cambio exclusivamente de backend, la reducción estimada es 61.4%.</w:t>
      </w:r>
    </w:p>
    <w:p w14:paraId="3DE79654" w14:textId="77777777" w:rsidR="00231083" w:rsidRDefault="00000000">
      <w:pPr>
        <w:spacing w:after="120" w:line="252" w:lineRule="auto"/>
      </w:pPr>
      <w:r>
        <w:t>Además, el pipeline actual ejecuta jobs de forma secuencial. Las tareas del backend y del frontend podrían separarse o ejecutarse en pipelines independientes, pero el diseño actual obliga a consolidar todo en una única unidad de publicación.</w:t>
      </w:r>
    </w:p>
    <w:p w14:paraId="787ED733" w14:textId="77777777" w:rsidR="00231083" w:rsidRDefault="00000000">
      <w:pPr>
        <w:pStyle w:val="Ttulo2"/>
        <w:spacing w:before="80" w:after="80"/>
      </w:pPr>
      <w:r>
        <w:t>Environments bloqueados por cambios menores</w:t>
      </w:r>
    </w:p>
    <w:p w14:paraId="3512B2B1" w14:textId="77777777" w:rsidR="00231083" w:rsidRDefault="00000000">
      <w:pPr>
        <w:spacing w:after="120" w:line="252" w:lineRule="auto"/>
      </w:pPr>
      <w:r>
        <w:t>El modelo actual puede bloquear ambientes completos por cambios menores. Una modificación pequeña en frontend puede quedar bloqueada por fallas en backend y viceversa, aunque no exista dependencia funcional directa entre los cambios.</w:t>
      </w:r>
    </w:p>
    <w:p w14:paraId="295E112F" w14:textId="77777777" w:rsidR="00231083" w:rsidRDefault="00000000">
      <w:pPr>
        <w:pStyle w:val="Listaconvietas"/>
        <w:spacing w:after="30"/>
      </w:pPr>
      <w:r>
        <w:t>Falla en build backend.</w:t>
      </w:r>
    </w:p>
    <w:p w14:paraId="18C60C99" w14:textId="77777777" w:rsidR="00231083" w:rsidRDefault="00000000">
      <w:pPr>
        <w:pStyle w:val="Listaconvietas"/>
        <w:spacing w:after="30"/>
      </w:pPr>
      <w:r>
        <w:t>Falla en pruebas unitarias.</w:t>
      </w:r>
    </w:p>
    <w:p w14:paraId="00DDF8DE" w14:textId="77777777" w:rsidR="00231083" w:rsidRDefault="00000000">
      <w:pPr>
        <w:pStyle w:val="Listaconvietas"/>
        <w:spacing w:after="30"/>
      </w:pPr>
      <w:r>
        <w:t>Falla en análisis SonarCloud backend.</w:t>
      </w:r>
    </w:p>
    <w:p w14:paraId="5EA1015D" w14:textId="77777777" w:rsidR="00231083" w:rsidRDefault="00000000">
      <w:pPr>
        <w:pStyle w:val="Listaconvietas"/>
        <w:spacing w:after="30"/>
      </w:pPr>
      <w:r>
        <w:t>Falla en restauración de dependencias npm.</w:t>
      </w:r>
    </w:p>
    <w:p w14:paraId="61BE26C6" w14:textId="77777777" w:rsidR="00231083" w:rsidRDefault="00000000">
      <w:pPr>
        <w:pStyle w:val="Listaconvietas"/>
        <w:spacing w:after="30"/>
      </w:pPr>
      <w:r>
        <w:t>Falla en pruebas frontend.</w:t>
      </w:r>
    </w:p>
    <w:p w14:paraId="56E26500" w14:textId="77777777" w:rsidR="00231083" w:rsidRDefault="00000000">
      <w:pPr>
        <w:pStyle w:val="Listaconvietas"/>
        <w:spacing w:after="30"/>
      </w:pPr>
      <w:r>
        <w:t>Falla en análisis SonarCloud frontend.</w:t>
      </w:r>
    </w:p>
    <w:p w14:paraId="4649A07E" w14:textId="77777777" w:rsidR="00231083" w:rsidRDefault="00000000">
      <w:pPr>
        <w:pStyle w:val="Listaconvietas"/>
        <w:spacing w:after="30"/>
      </w:pPr>
      <w:r>
        <w:t>Falla en npm run build.</w:t>
      </w:r>
    </w:p>
    <w:p w14:paraId="119EE668" w14:textId="77777777" w:rsidR="00231083" w:rsidRDefault="00000000">
      <w:pPr>
        <w:pStyle w:val="Listaconvietas"/>
        <w:spacing w:after="30"/>
      </w:pPr>
      <w:r>
        <w:lastRenderedPageBreak/>
        <w:t>Falla en publicación del artefacto.</w:t>
      </w:r>
    </w:p>
    <w:p w14:paraId="17F9D516" w14:textId="77777777" w:rsidR="00231083" w:rsidRDefault="00000000">
      <w:pPr>
        <w:spacing w:after="120" w:line="252" w:lineRule="auto"/>
      </w:pPr>
      <w:r>
        <w:t>Esto incrementa el riesgo operativo, porque la publicación queda condicionada al éxito de todos los componentes, incluso cuando no todos fueron modificados.</w:t>
      </w:r>
    </w:p>
    <w:p w14:paraId="66707466" w14:textId="77777777" w:rsidR="00231083" w:rsidRDefault="00000000">
      <w:pPr>
        <w:pStyle w:val="Ttulo2"/>
        <w:spacing w:before="80" w:after="80"/>
      </w:pPr>
      <w:r>
        <w:t>Análisis del artefacto</w:t>
      </w:r>
    </w:p>
    <w:tbl>
      <w:tblPr>
        <w:tblStyle w:val="Tablaconcuadrcula"/>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368"/>
      </w:tblGrid>
      <w:tr w:rsidR="00231083" w14:paraId="31F033E2" w14:textId="77777777">
        <w:tc>
          <w:tcPr>
            <w:tcW w:w="10368" w:type="dxa"/>
            <w:shd w:val="clear" w:color="auto" w:fill="F2F2F2"/>
          </w:tcPr>
          <w:p w14:paraId="032E4ADE" w14:textId="77777777" w:rsidR="00231083" w:rsidRDefault="00000000">
            <w:pPr>
              <w:spacing w:after="60"/>
            </w:pPr>
            <w:r>
              <w:rPr>
                <w:b/>
                <w:color w:val="1F4E79"/>
                <w:sz w:val="18"/>
              </w:rPr>
              <w:t>Unidad de publicación actual</w:t>
            </w:r>
          </w:p>
          <w:p w14:paraId="21FAEA03" w14:textId="77777777" w:rsidR="00231083" w:rsidRDefault="00000000">
            <w:r>
              <w:rPr>
                <w:rFonts w:ascii="Consolas" w:eastAsia="Consolas" w:hAnsi="Consolas"/>
                <w:sz w:val="17"/>
              </w:rPr>
              <w:t>Frontend + Backend → artefacto único → Dockerfile único → imagen única → contenedor único en AKS</w:t>
            </w:r>
          </w:p>
        </w:tc>
      </w:tr>
    </w:tbl>
    <w:p w14:paraId="670337D2" w14:textId="77777777" w:rsidR="00231083" w:rsidRDefault="00231083"/>
    <w:p w14:paraId="01816183" w14:textId="77777777" w:rsidR="00231083" w:rsidRDefault="00000000">
      <w:pPr>
        <w:spacing w:after="120" w:line="252" w:lineRule="auto"/>
      </w:pPr>
      <w:r>
        <w:t>El pipeline genera un artefacto único FE+BE que luego se usa para construir una única imagen. El backend .NET es el punto de entrada y el frontend queda embebido dentro del mismo contenedor.</w:t>
      </w:r>
    </w:p>
    <w:p w14:paraId="5B86997B" w14:textId="77777777" w:rsidR="00231083" w:rsidRDefault="00000000">
      <w:pPr>
        <w:spacing w:after="120" w:line="252" w:lineRule="auto"/>
      </w:pPr>
      <w:r>
        <w:t>Esta estructura incrementa la dependencia entre componentes y amplía el impacto de cualquier cambio. No existe artefacto estático independiente del frontend, ni imagen backend desacoplada del frontend, ni posibilidad de publicar únicamente los archivos estáticos del frontend en un servicio especializado como Blob Storage + Front Door.</w:t>
      </w:r>
    </w:p>
    <w:p w14:paraId="55BAFB0B" w14:textId="77777777" w:rsidR="00231083" w:rsidRDefault="00000000">
      <w:pPr>
        <w:pStyle w:val="Ttulo2"/>
        <w:spacing w:before="80" w:after="80"/>
      </w:pPr>
      <w:r>
        <w:t>Revisión de triggers</w:t>
      </w:r>
    </w:p>
    <w:p w14:paraId="013DC7DE" w14:textId="77777777" w:rsidR="00231083" w:rsidRDefault="00000000">
      <w:pPr>
        <w:spacing w:after="120" w:line="252" w:lineRule="auto"/>
      </w:pPr>
      <w:r>
        <w:t>Los triggers identificados corresponden a develop y test. No existen filtros por carpeta.</w:t>
      </w:r>
    </w:p>
    <w:tbl>
      <w:tblPr>
        <w:tblStyle w:val="Tablaconcuadrcula"/>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368"/>
      </w:tblGrid>
      <w:tr w:rsidR="00231083" w14:paraId="58D08D4B" w14:textId="77777777">
        <w:tc>
          <w:tcPr>
            <w:tcW w:w="10368" w:type="dxa"/>
            <w:shd w:val="clear" w:color="auto" w:fill="F2F2F2"/>
          </w:tcPr>
          <w:p w14:paraId="3A292E38" w14:textId="77777777" w:rsidR="00231083" w:rsidRDefault="00000000">
            <w:pPr>
              <w:spacing w:after="60"/>
            </w:pPr>
            <w:r>
              <w:rPr>
                <w:b/>
                <w:color w:val="1F4E79"/>
                <w:sz w:val="18"/>
              </w:rPr>
              <w:t>Comportamiento actual</w:t>
            </w:r>
          </w:p>
          <w:p w14:paraId="58DEF861" w14:textId="77777777" w:rsidR="00231083" w:rsidRDefault="00000000">
            <w:r>
              <w:rPr>
                <w:rFonts w:ascii="Consolas" w:eastAsia="Consolas" w:hAnsi="Consolas"/>
                <w:sz w:val="17"/>
              </w:rPr>
              <w:t>Cambio en frontend → dispara pipeline completo</w:t>
            </w:r>
          </w:p>
          <w:p w14:paraId="7CEB84F7" w14:textId="77777777" w:rsidR="00231083" w:rsidRDefault="00000000">
            <w:r>
              <w:rPr>
                <w:rFonts w:ascii="Consolas" w:eastAsia="Consolas" w:hAnsi="Consolas"/>
                <w:sz w:val="17"/>
              </w:rPr>
              <w:t>Cambio en backend → dispara pipeline completo</w:t>
            </w:r>
          </w:p>
          <w:p w14:paraId="7258EEDD" w14:textId="77777777" w:rsidR="00231083" w:rsidRDefault="00000000">
            <w:r>
              <w:rPr>
                <w:rFonts w:ascii="Consolas" w:eastAsia="Consolas" w:hAnsi="Consolas"/>
                <w:sz w:val="17"/>
              </w:rPr>
              <w:t>Cambio en configuración → dispara pipeline completo</w:t>
            </w:r>
          </w:p>
        </w:tc>
      </w:tr>
    </w:tbl>
    <w:p w14:paraId="53C95D92" w14:textId="77777777" w:rsidR="00231083" w:rsidRDefault="00231083"/>
    <w:p w14:paraId="6F179662" w14:textId="77777777" w:rsidR="00231083" w:rsidRDefault="00000000">
      <w:pPr>
        <w:spacing w:after="120" w:line="252" w:lineRule="auto"/>
      </w:pPr>
      <w:r>
        <w:t>Al no existir filtros por carpeta, cualquier cambio sobre las ramas configuradas ejecuta el flujo completo de build, test, package y deploy. Esto impide optimizar la entrega continua por componente.</w:t>
      </w:r>
    </w:p>
    <w:p w14:paraId="76F12077" w14:textId="77777777" w:rsidR="00231083" w:rsidRDefault="00000000">
      <w:pPr>
        <w:pStyle w:val="Ttulo2"/>
        <w:spacing w:before="80" w:after="80"/>
      </w:pPr>
      <w:r>
        <w:t>Limitaciones identificadas</w:t>
      </w:r>
    </w:p>
    <w:p w14:paraId="1B77609B" w14:textId="77777777" w:rsidR="00231083" w:rsidRDefault="00000000">
      <w:pPr>
        <w:pStyle w:val="Listaconvietas"/>
        <w:spacing w:after="30"/>
      </w:pPr>
      <w:r>
        <w:t>No existe build independiente del frontend.</w:t>
      </w:r>
    </w:p>
    <w:p w14:paraId="4DC1D906" w14:textId="77777777" w:rsidR="00231083" w:rsidRDefault="00000000">
      <w:pPr>
        <w:pStyle w:val="Listaconvietas"/>
        <w:spacing w:after="30"/>
      </w:pPr>
      <w:r>
        <w:t>No existe build independiente del backend dentro del monolito.</w:t>
      </w:r>
    </w:p>
    <w:p w14:paraId="20AF964B" w14:textId="77777777" w:rsidR="00231083" w:rsidRDefault="00000000">
      <w:pPr>
        <w:pStyle w:val="Listaconvietas"/>
        <w:spacing w:after="30"/>
      </w:pPr>
      <w:r>
        <w:t>No hay artefactos separados para frontend y backend.</w:t>
      </w:r>
    </w:p>
    <w:p w14:paraId="0B25904B" w14:textId="77777777" w:rsidR="00231083" w:rsidRDefault="00000000">
      <w:pPr>
        <w:pStyle w:val="Listaconvietas"/>
        <w:spacing w:after="30"/>
      </w:pPr>
      <w:r>
        <w:t>No hay versionamiento independiente FE/BE.</w:t>
      </w:r>
    </w:p>
    <w:p w14:paraId="3B1D46F1" w14:textId="77777777" w:rsidR="00231083" w:rsidRDefault="00000000">
      <w:pPr>
        <w:pStyle w:val="Listaconvietas"/>
        <w:spacing w:after="30"/>
      </w:pPr>
      <w:r>
        <w:t>No hay triggers por carpeta.</w:t>
      </w:r>
    </w:p>
    <w:p w14:paraId="6D376024" w14:textId="77777777" w:rsidR="00231083" w:rsidRDefault="00000000">
      <w:pPr>
        <w:pStyle w:val="Listaconvietas"/>
        <w:spacing w:after="30"/>
      </w:pPr>
      <w:r>
        <w:t>No hay despliegue independiente del frontend.</w:t>
      </w:r>
    </w:p>
    <w:p w14:paraId="0070480F" w14:textId="77777777" w:rsidR="00231083" w:rsidRDefault="00000000">
      <w:pPr>
        <w:pStyle w:val="Listaconvietas"/>
        <w:spacing w:after="30"/>
      </w:pPr>
      <w:r>
        <w:t>No hay rollback exclusivo del frontend.</w:t>
      </w:r>
    </w:p>
    <w:p w14:paraId="6E89080A" w14:textId="77777777" w:rsidR="00231083" w:rsidRDefault="00000000">
      <w:pPr>
        <w:pStyle w:val="Listaconvietas"/>
        <w:spacing w:after="30"/>
      </w:pPr>
      <w:r>
        <w:t>El frontend queda embebido dentro del backend y servido por Kestrel.</w:t>
      </w:r>
    </w:p>
    <w:p w14:paraId="1A06685D" w14:textId="77777777" w:rsidR="00231083" w:rsidRDefault="00000000">
      <w:pPr>
        <w:pStyle w:val="Listaconvietas"/>
        <w:spacing w:after="30"/>
      </w:pPr>
      <w:r>
        <w:t>El artefacto final obliga a reconstruir y desplegar la unidad completa.</w:t>
      </w:r>
    </w:p>
    <w:p w14:paraId="02DE790D" w14:textId="77777777" w:rsidR="00231083" w:rsidRDefault="00000000">
      <w:pPr>
        <w:pStyle w:val="Listaconvietas"/>
        <w:spacing w:after="30"/>
      </w:pPr>
      <w:r>
        <w:t>La plantilla de pipeline debe contemplar el caso especial de modulith con frontend embebido.</w:t>
      </w:r>
    </w:p>
    <w:p w14:paraId="2BD6A338" w14:textId="77777777" w:rsidR="00231083" w:rsidRDefault="00000000">
      <w:pPr>
        <w:pStyle w:val="Listaconvietas"/>
        <w:spacing w:after="30"/>
      </w:pPr>
      <w:r>
        <w:t>El caching por componente queda limitado por la dependencia del artefacto final FE+BE.</w:t>
      </w:r>
    </w:p>
    <w:p w14:paraId="6440575D" w14:textId="77777777" w:rsidR="00231083" w:rsidRDefault="00000000">
      <w:pPr>
        <w:pStyle w:val="Ttulo2"/>
        <w:spacing w:before="80" w:after="80"/>
      </w:pPr>
      <w:r>
        <w:t>Hallazgos DevOps</w:t>
      </w:r>
    </w:p>
    <w:p w14:paraId="13646839" w14:textId="77777777" w:rsidR="00231083" w:rsidRDefault="00000000">
      <w:pPr>
        <w:pStyle w:val="Listaconvietas"/>
        <w:spacing w:after="30"/>
      </w:pPr>
      <w:r>
        <w:t>Riesgo de regresión por acoplamiento entre frontend y backend.</w:t>
      </w:r>
    </w:p>
    <w:p w14:paraId="0DFF1998" w14:textId="77777777" w:rsidR="00231083" w:rsidRDefault="00000000">
      <w:pPr>
        <w:pStyle w:val="Listaconvietas"/>
        <w:spacing w:after="30"/>
      </w:pPr>
      <w:r>
        <w:t>Falta de escalabilidad del pipeline para nuevas iniciativas.</w:t>
      </w:r>
    </w:p>
    <w:p w14:paraId="0E858941" w14:textId="77777777" w:rsidR="00231083" w:rsidRDefault="00000000">
      <w:pPr>
        <w:pStyle w:val="Listaconvietas"/>
        <w:spacing w:after="30"/>
      </w:pPr>
      <w:r>
        <w:t>Necesidad de plantillas específicas para modulith con frontend embebido.</w:t>
      </w:r>
    </w:p>
    <w:p w14:paraId="33EF3C76" w14:textId="77777777" w:rsidR="00231083" w:rsidRDefault="00000000">
      <w:pPr>
        <w:pStyle w:val="Listaconvietas"/>
        <w:spacing w:after="30"/>
      </w:pPr>
      <w:r>
        <w:t>Imposibilidad de reutilizar directamente plantillas estándar de APIs .NET.</w:t>
      </w:r>
    </w:p>
    <w:p w14:paraId="7BEF3708" w14:textId="77777777" w:rsidR="00231083" w:rsidRDefault="00000000">
      <w:pPr>
        <w:pStyle w:val="Listaconvietas"/>
        <w:spacing w:after="30"/>
      </w:pPr>
      <w:r>
        <w:t>Mayor complejidad para separar responsabilidades de build y deploy.</w:t>
      </w:r>
    </w:p>
    <w:p w14:paraId="231F28A4" w14:textId="77777777" w:rsidR="00231083" w:rsidRDefault="00000000">
      <w:pPr>
        <w:pStyle w:val="Listaconvietas"/>
        <w:spacing w:after="30"/>
      </w:pPr>
      <w:r>
        <w:t>Rollback más lento en desarrollo y certificación, al requerir relanzar el pipeline completo.</w:t>
      </w:r>
    </w:p>
    <w:p w14:paraId="7D66E36E" w14:textId="77777777" w:rsidR="00231083" w:rsidRDefault="00000000">
      <w:pPr>
        <w:pStyle w:val="Listaconvietas"/>
        <w:spacing w:after="30"/>
      </w:pPr>
      <w:r>
        <w:t>En producción, el rollback se realiza a nivel de AKS/manifiesto, pero no existe rollback independiente del frontend.</w:t>
      </w:r>
    </w:p>
    <w:p w14:paraId="6F2FFA94" w14:textId="77777777" w:rsidR="00231083" w:rsidRDefault="00000000">
      <w:pPr>
        <w:spacing w:after="120" w:line="252" w:lineRule="auto"/>
      </w:pPr>
      <w:r>
        <w:t>Estos hallazgos evidencian que el problema no se limita al tiempo de ejecución del pipeline. También afecta la mantenibilidad, reutilización de plantillas, gestión de cambios, rollback y escalabilidad operativa del proceso CI/CD.</w:t>
      </w:r>
    </w:p>
    <w:p w14:paraId="1EACF747" w14:textId="77777777" w:rsidR="00231083" w:rsidRDefault="00000000">
      <w:pPr>
        <w:pStyle w:val="Ttulo2"/>
        <w:spacing w:before="80" w:after="80"/>
      </w:pPr>
      <w:r>
        <w:lastRenderedPageBreak/>
        <w:t>Conclusión</w:t>
      </w:r>
    </w:p>
    <w:p w14:paraId="6C972DD7" w14:textId="77777777" w:rsidR="00231083" w:rsidRDefault="00000000">
      <w:pPr>
        <w:spacing w:after="120" w:line="252" w:lineRule="auto"/>
      </w:pPr>
      <w:r>
        <w:t>La revisión evidencia que el pipeline actual ejecuta un build completo incluso cuando los cambios afectan solo frontend o solo backend. Esto introduce sobrecosto operativo en compilación, mayor dependencia entre componentes, mayor probabilidad de bloqueo por fallas no relacionadas y menor capacidad de rollback granular.</w:t>
      </w:r>
    </w:p>
    <w:p w14:paraId="7EC68325" w14:textId="77777777" w:rsidR="00231083" w:rsidRDefault="00000000">
      <w:pPr>
        <w:spacing w:after="120" w:line="252" w:lineRule="auto"/>
      </w:pPr>
      <w:r>
        <w:t>La evidencia técnica disponible es consistente con una separación FE/BE para reducir tiempos de build por componente y con la habilitación de Blob Storage + Front Door como mecanismo especializado para servir frontend estático. Esta conclusión se apoya en métricas observadas, revisión del pipeline actual y estimaciones de costos bajo supuestos explícitos.</w:t>
      </w:r>
    </w:p>
    <w:sectPr w:rsidR="00231083"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8253A" w14:textId="77777777" w:rsidR="00741E79" w:rsidRDefault="00741E79">
      <w:pPr>
        <w:spacing w:after="0" w:line="240" w:lineRule="auto"/>
      </w:pPr>
      <w:r>
        <w:separator/>
      </w:r>
    </w:p>
  </w:endnote>
  <w:endnote w:type="continuationSeparator" w:id="0">
    <w:p w14:paraId="67DCF397" w14:textId="77777777" w:rsidR="00741E79" w:rsidRDefault="00741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2FA08" w14:textId="77777777" w:rsidR="00231083" w:rsidRDefault="00000000">
    <w:pPr>
      <w:pStyle w:val="Piedepgina"/>
      <w:jc w:val="center"/>
    </w:pPr>
    <w:r>
      <w:rPr>
        <w:color w:val="808080"/>
        <w:sz w:val="16"/>
      </w:rPr>
      <w:t>Documento base de evidencia técnica — Frontend estático / ADR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E0C36" w14:textId="77777777" w:rsidR="00741E79" w:rsidRDefault="00741E79">
      <w:pPr>
        <w:spacing w:after="0" w:line="240" w:lineRule="auto"/>
      </w:pPr>
      <w:r>
        <w:separator/>
      </w:r>
    </w:p>
  </w:footnote>
  <w:footnote w:type="continuationSeparator" w:id="0">
    <w:p w14:paraId="4DF628A5" w14:textId="77777777" w:rsidR="00741E79" w:rsidRDefault="00741E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63139324">
    <w:abstractNumId w:val="8"/>
  </w:num>
  <w:num w:numId="2" w16cid:durableId="1024089462">
    <w:abstractNumId w:val="6"/>
  </w:num>
  <w:num w:numId="3" w16cid:durableId="676807029">
    <w:abstractNumId w:val="5"/>
  </w:num>
  <w:num w:numId="4" w16cid:durableId="1271469054">
    <w:abstractNumId w:val="4"/>
  </w:num>
  <w:num w:numId="5" w16cid:durableId="1711025745">
    <w:abstractNumId w:val="7"/>
  </w:num>
  <w:num w:numId="6" w16cid:durableId="1798989887">
    <w:abstractNumId w:val="3"/>
  </w:num>
  <w:num w:numId="7" w16cid:durableId="700588117">
    <w:abstractNumId w:val="2"/>
  </w:num>
  <w:num w:numId="8" w16cid:durableId="1648389855">
    <w:abstractNumId w:val="1"/>
  </w:num>
  <w:num w:numId="9" w16cid:durableId="201794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069"/>
    <w:rsid w:val="00034616"/>
    <w:rsid w:val="0006063C"/>
    <w:rsid w:val="0015074B"/>
    <w:rsid w:val="001D30B6"/>
    <w:rsid w:val="00231083"/>
    <w:rsid w:val="0029639D"/>
    <w:rsid w:val="00326F90"/>
    <w:rsid w:val="00741E7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425F19"/>
  <w14:defaultImageDpi w14:val="300"/>
  <w15:docId w15:val="{238F4BDB-B104-410B-8BC7-1227305C2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1975</Words>
  <Characters>11342</Characters>
  <Application>Microsoft Office Word</Application>
  <DocSecurity>0</DocSecurity>
  <Lines>354</Lines>
  <Paragraphs>332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Ricardo Andres Leyva</cp:lastModifiedBy>
  <cp:revision>2</cp:revision>
  <dcterms:created xsi:type="dcterms:W3CDTF">2013-12-23T23:15:00Z</dcterms:created>
  <dcterms:modified xsi:type="dcterms:W3CDTF">2026-06-09T17:08:00Z</dcterms:modified>
  <cp:category/>
</cp:coreProperties>
</file>