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</w:pPr>
      <w:r>
        <w:t>Reading room handbook</w:t>
      </w:r>
    </w:p>
    <w:p>
      <w:r>
        <w:t>The reading room is open on weekday afternoons.</w:t>
      </w:r>
    </w:p>
    <w:p>
      <w:pPr>
        <w:outlineLvl w:val="0"/>
      </w:pPr>
      <w:r>
        <w:t>Before you arrive</w:t>
      </w:r>
    </w:p>
    <w:p>
      <w:r>
        <w:t>Order material at least one working day ahead.</w:t>
      </w:r>
    </w:p>
    <w:p>
      <w:r>
        <w:t>Bring photographic identification.</w:t>
      </w:r>
    </w:p>
    <w:p>
      <w:pPr>
        <w:outlineLvl w:val="0"/>
      </w:pPr>
      <w:r>
        <w:t>In the room</w:t>
      </w:r>
    </w:p>
    <w:p>
      <w:r>
        <w:t>Pencils only, and one box on the desk at a time.</w:t>
      </w:r>
    </w:p>
    <w:p>
      <w:r>
        <w:t>Photography without flash is permitted.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-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numbering" Target="numbering.xml"/></Relationships>
</file>