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Workforce Suite User Guide</w:t>
      </w:r>
    </w:p>
    <w:p>
      <w:r>
        <w:t>This guide explains everyday work in Workforce HR, Workforce Payroll and Workforce Employee for Android. Your company supplies the applications and accounts. The screens available to you depend on your assigned responsibilities and company settings.</w:t>
      </w:r>
    </w:p>
    <w:p>
      <w:pPr>
        <w:pStyle w:val="Heading1"/>
        <w:pageBreakBefore w:val="0"/>
      </w:pPr>
      <w:r>
        <w:t>Getting started</w:t>
      </w:r>
    </w:p>
    <w:tbl>
      <w:tblPr>
        <w:tblW w:type="auto" w:w="0"/>
        <w:tblLayout w:type="fixed"/>
        <w:tblLook w:firstColumn="1" w:firstRow="1" w:lastColumn="0" w:lastRow="0" w:noHBand="0" w:noVBand="1" w:val="04A0"/>
      </w:tblPr>
      <w:tblGrid>
        <w:gridCol w:w="2952"/>
        <w:gridCol w:w="7128"/>
      </w:tblGrid>
      <w:tr>
        <w:trPr>
          <w:cantSplit/>
          <w:tblHeader/>
        </w:trPr>
        <w:tc>
          <w:tcPr>
            <w:tcW w:type="dxa" w:w="2952"/>
            <w:vAlign w:val="center"/>
            <w:tcMar>
              <w:top w:w="80" w:type="dxa"/>
              <w:bottom w:w="80" w:type="dxa"/>
              <w:left w:w="100" w:type="dxa"/>
              <w:right w:w="100" w:type="dxa"/>
            </w:tcMar>
            <w:shd w:fill="087E83"/>
          </w:tcPr>
          <w:p>
            <w:pPr>
              <w:spacing w:after="0" w:line="252" w:lineRule="auto"/>
            </w:pPr>
            <w:r>
              <w:rPr>
                <w:b/>
                <w:color w:val="FFFFFF"/>
                <w:sz w:val="21"/>
              </w:rPr>
              <w:t>Application</w:t>
            </w:r>
          </w:p>
        </w:tc>
        <w:tc>
          <w:tcPr>
            <w:tcW w:type="dxa" w:w="7128"/>
            <w:vAlign w:val="center"/>
            <w:tcMar>
              <w:top w:w="80" w:type="dxa"/>
              <w:bottom w:w="80" w:type="dxa"/>
              <w:left w:w="100" w:type="dxa"/>
              <w:right w:w="100" w:type="dxa"/>
            </w:tcMar>
            <w:shd w:fill="087E83"/>
          </w:tcPr>
          <w:p>
            <w:pPr>
              <w:spacing w:after="0" w:line="252" w:lineRule="auto"/>
            </w:pPr>
            <w:r>
              <w:rPr>
                <w:b/>
                <w:color w:val="FFFFFF"/>
                <w:sz w:val="21"/>
              </w:rPr>
              <w:t>Use it for</w:t>
            </w:r>
          </w:p>
        </w:tc>
      </w:tr>
      <w:tr>
        <w:trPr>
          <w:cantSplit/>
        </w:trPr>
        <w:tc>
          <w:tcPr>
            <w:tcW w:type="dxa" w:w="2952"/>
            <w:vAlign w:val="center"/>
            <w:tcMar>
              <w:top w:w="80" w:type="dxa"/>
              <w:bottom w:w="80" w:type="dxa"/>
              <w:left w:w="100" w:type="dxa"/>
              <w:right w:w="100" w:type="dxa"/>
            </w:tcMar>
          </w:tcPr>
          <w:p>
            <w:pPr>
              <w:spacing w:after="0" w:line="252" w:lineRule="auto"/>
            </w:pPr>
            <w:r>
              <w:rPr>
                <w:sz w:val="21"/>
              </w:rPr>
              <w:t>Workforce HR</w:t>
            </w:r>
          </w:p>
        </w:tc>
        <w:tc>
          <w:tcPr>
            <w:tcW w:type="dxa" w:w="7128"/>
            <w:vAlign w:val="center"/>
            <w:tcMar>
              <w:top w:w="80" w:type="dxa"/>
              <w:bottom w:w="80" w:type="dxa"/>
              <w:left w:w="100" w:type="dxa"/>
              <w:right w:w="100" w:type="dxa"/>
            </w:tcMar>
          </w:tcPr>
          <w:p>
            <w:pPr>
              <w:spacing w:after="0" w:line="252" w:lineRule="auto"/>
            </w:pPr>
            <w:r>
              <w:rPr>
                <w:sz w:val="21"/>
              </w:rPr>
              <w:t>Employee records, hiring, attendance and leave administration, Development, employee support and HR reports</w:t>
            </w:r>
          </w:p>
        </w:tc>
      </w:tr>
      <w:tr>
        <w:trPr>
          <w:cantSplit/>
        </w:trPr>
        <w:tc>
          <w:tcPr>
            <w:tcW w:type="dxa" w:w="2952"/>
            <w:vAlign w:val="center"/>
            <w:tcMar>
              <w:top w:w="80" w:type="dxa"/>
              <w:bottom w:w="80" w:type="dxa"/>
              <w:left w:w="100" w:type="dxa"/>
              <w:right w:w="100" w:type="dxa"/>
            </w:tcMar>
          </w:tcPr>
          <w:p>
            <w:pPr>
              <w:spacing w:after="0" w:line="252" w:lineRule="auto"/>
            </w:pPr>
            <w:r>
              <w:rPr>
                <w:sz w:val="21"/>
              </w:rPr>
              <w:t>Workforce Payroll</w:t>
            </w:r>
          </w:p>
        </w:tc>
        <w:tc>
          <w:tcPr>
            <w:tcW w:type="dxa" w:w="7128"/>
            <w:vAlign w:val="center"/>
            <w:tcMar>
              <w:top w:w="80" w:type="dxa"/>
              <w:bottom w:w="80" w:type="dxa"/>
              <w:left w:w="100" w:type="dxa"/>
              <w:right w:w="100" w:type="dxa"/>
            </w:tcMar>
          </w:tcPr>
          <w:p>
            <w:pPr>
              <w:spacing w:after="0" w:line="252" w:lineRule="auto"/>
            </w:pPr>
            <w:r>
              <w:rPr>
                <w:sz w:val="21"/>
              </w:rPr>
              <w:t>Salary setup, pay preparation, independent approval, payslips, payment records and payroll reporting</w:t>
            </w:r>
          </w:p>
        </w:tc>
      </w:tr>
      <w:tr>
        <w:trPr>
          <w:cantSplit/>
        </w:trPr>
        <w:tc>
          <w:tcPr>
            <w:tcW w:type="dxa" w:w="2952"/>
            <w:vAlign w:val="center"/>
            <w:tcMar>
              <w:top w:w="80" w:type="dxa"/>
              <w:bottom w:w="80" w:type="dxa"/>
              <w:left w:w="100" w:type="dxa"/>
              <w:right w:w="100" w:type="dxa"/>
            </w:tcMar>
          </w:tcPr>
          <w:p>
            <w:pPr>
              <w:spacing w:after="0" w:line="252" w:lineRule="auto"/>
            </w:pPr>
            <w:r>
              <w:rPr>
                <w:sz w:val="21"/>
              </w:rPr>
              <w:t>Workforce Employee for Android</w:t>
            </w:r>
          </w:p>
        </w:tc>
        <w:tc>
          <w:tcPr>
            <w:tcW w:type="dxa" w:w="7128"/>
            <w:vAlign w:val="center"/>
            <w:tcMar>
              <w:top w:w="80" w:type="dxa"/>
              <w:bottom w:w="80" w:type="dxa"/>
              <w:left w:w="100" w:type="dxa"/>
              <w:right w:w="100" w:type="dxa"/>
            </w:tcMar>
          </w:tcPr>
          <w:p>
            <w:pPr>
              <w:spacing w:after="0" w:line="252" w:lineRule="auto"/>
            </w:pPr>
            <w:r>
              <w:rPr>
                <w:sz w:val="21"/>
              </w:rPr>
              <w:t>Your own attendance, leave, payslips, service requests, profile and notifications</w:t>
            </w:r>
          </w:p>
        </w:tc>
      </w:tr>
    </w:tbl>
    <w:p>
      <w:pPr>
        <w:spacing w:after="0"/>
      </w:pPr>
    </w:p>
    <w:p>
      <w:pPr>
        <w:pStyle w:val="Heading2"/>
      </w:pPr>
      <w:r>
        <w:t>Sign in</w:t>
      </w:r>
    </w:p>
    <w:p>
      <w:pPr>
        <w:spacing w:after="80"/>
        <w:ind w:left="288" w:hanging="288"/>
      </w:pPr>
      <w:r>
        <w:t>1. Open the application supplied for your company.</w:t>
      </w:r>
    </w:p>
    <w:p>
      <w:pPr>
        <w:spacing w:after="80"/>
        <w:ind w:left="288" w:hanging="288"/>
      </w:pPr>
      <w:r>
        <w:t>2. Enter your company account email and password.</w:t>
      </w:r>
    </w:p>
    <w:p>
      <w:pPr>
        <w:spacing w:after="80"/>
        <w:ind w:left="288" w:hanging="288"/>
      </w:pPr>
      <w:r>
        <w:t xml:space="preserve">3. Press Enter on desktop or select </w:t>
      </w:r>
      <w:r>
        <w:rPr>
          <w:b/>
        </w:rPr>
        <w:t>Sign in</w:t>
      </w:r>
      <w:r>
        <w:t>. Complete any account-confirmation requirement communicated by your administrator.</w:t>
      </w:r>
    </w:p>
    <w:p>
      <w:pPr>
        <w:spacing w:after="80"/>
        <w:ind w:left="288" w:hanging="288"/>
      </w:pPr>
      <w:r>
        <w:t>4. Review the company name and your profile before recording work.</w:t>
      </w:r>
    </w:p>
    <w:p>
      <w:r>
        <w:t>You do not need to choose a database or enter a company connection. Contact your administrator if the company branding or account is incorrect. Ordinary Employee accounts use the Android application; desktop access requires staff responsibilities.</w:t>
      </w:r>
    </w:p>
    <w:p>
      <w:r>
        <w:t>Each app signs in independently. Authentication stays in memory. Save your changes before signing out or closing an app. After process termination, sign in again.</w:t>
      </w:r>
    </w:p>
    <w:p>
      <w:pPr>
        <w:pStyle w:val="Heading2"/>
      </w:pPr>
      <w:r>
        <w:t>Find your work</w:t>
      </w:r>
    </w:p>
    <w:p>
      <w:r>
        <w:t xml:space="preserve">Start with </w:t>
      </w:r>
      <w:r>
        <w:rPr>
          <w:b/>
        </w:rPr>
        <w:t>Overview</w:t>
      </w:r>
      <w:r>
        <w:t xml:space="preserve"> in Workforce HR. Open the relevant workspace from the sidebar; personal and assigned work appears according to your permissions. Select the circular profile control for personal details. Notification links open permitted records.</w:t>
      </w:r>
    </w:p>
    <w:p>
      <w:r>
        <w:t>Workforce Payroll has its own financial navigation. Staff using Workforce Employee receive the same own-record view as any other employee.</w:t>
      </w:r>
    </w:p>
    <w:p>
      <w:pPr>
        <w:pStyle w:val="Heading1"/>
        <w:pageBreakBefore/>
      </w:pPr>
      <w:r>
        <w:t>Employee records and accounts</w:t>
      </w:r>
    </w:p>
    <w:p>
      <w:pPr>
        <w:pStyle w:val="Heading2"/>
      </w:pPr>
      <w:r>
        <w:t>Open or update an employee</w:t>
      </w:r>
    </w:p>
    <w:p>
      <w:pPr>
        <w:spacing w:after="80"/>
        <w:ind w:left="288" w:hanging="288"/>
      </w:pPr>
      <w:r>
        <w:t xml:space="preserve">1. In Workforce HR, open </w:t>
      </w:r>
      <w:r>
        <w:rPr>
          <w:b/>
        </w:rPr>
        <w:t>Employees</w:t>
      </w:r>
      <w:r>
        <w:t xml:space="preserve"> and find the person in the directory.</w:t>
      </w:r>
    </w:p>
    <w:p>
      <w:pPr>
        <w:spacing w:after="80"/>
        <w:ind w:left="288" w:hanging="288"/>
      </w:pPr>
      <w:r>
        <w:t xml:space="preserve">2. Select the employee or </w:t>
      </w:r>
      <w:r>
        <w:rPr>
          <w:b/>
        </w:rPr>
        <w:t>Edit employee</w:t>
      </w:r>
      <w:r>
        <w:t xml:space="preserve"> to open the record.</w:t>
      </w:r>
    </w:p>
    <w:p>
      <w:pPr>
        <w:spacing w:after="80"/>
        <w:ind w:left="288" w:hanging="288"/>
      </w:pPr>
      <w:r>
        <w:t xml:space="preserve">3. Review </w:t>
      </w:r>
      <w:r>
        <w:rPr>
          <w:b/>
        </w:rPr>
        <w:t>Employment</w:t>
      </w:r>
      <w:r>
        <w:t xml:space="preserve">, contact details and emergency contact information. Record department, job title, joining date, employment type, location and </w:t>
      </w:r>
      <w:r>
        <w:rPr>
          <w:b/>
        </w:rPr>
        <w:t>Reports to</w:t>
      </w:r>
      <w:r>
        <w:t xml:space="preserve"> where known.</w:t>
      </w:r>
    </w:p>
    <w:p>
      <w:pPr>
        <w:spacing w:after="80"/>
        <w:ind w:left="288" w:hanging="288"/>
      </w:pPr>
      <w:r>
        <w:t>4. Save the changes. If another user changed the record, refresh and review the latest values before saving again.</w:t>
      </w:r>
    </w:p>
    <w:p>
      <w:r>
        <w:t>Employment history retains earlier saved values. Correct an error by saving the correct information; do not try to overwrite the original timeline entry.</w:t>
      </w:r>
    </w:p>
    <w:p>
      <w:pPr>
        <w:pStyle w:val="Heading2"/>
      </w:pPr>
      <w:r>
        <w:t>Documents and digital 201 files</w:t>
      </w:r>
    </w:p>
    <w:p>
      <w:r>
        <w:t xml:space="preserve">Open a saved employee and select </w:t>
      </w:r>
      <w:r>
        <w:rPr>
          <w:b/>
        </w:rPr>
        <w:t>Documents</w:t>
      </w:r>
      <w:r>
        <w:t>. Add a category, description and the appropriate file. Supported types include PDF, images and DOCX, within the displayed limits. Download or archive documents from the same record. Archiving preserves history; private personnel files are available only to permitted HR staff.</w:t>
      </w:r>
    </w:p>
    <w:p>
      <w:pPr>
        <w:pStyle w:val="Heading2"/>
      </w:pPr>
      <w:r>
        <w:t>Account Manager</w:t>
      </w:r>
    </w:p>
    <w:p>
      <w:r>
        <w:t xml:space="preserve">Only Administrators can open </w:t>
      </w:r>
      <w:r>
        <w:rPr>
          <w:b/>
        </w:rPr>
        <w:t>Account Manager</w:t>
      </w:r>
      <w:r>
        <w:t>. Employee records and sign-in access are related but distinct: importing or creating an employee record alone does not automatically create a sign-in account.</w:t>
      </w:r>
    </w:p>
    <w:tbl>
      <w:tblPr>
        <w:tblW w:type="auto" w:w="0"/>
        <w:tblLayout w:type="fixed"/>
        <w:tblLook w:firstColumn="1" w:firstRow="1" w:lastColumn="0" w:lastRow="0" w:noHBand="0" w:noVBand="1" w:val="04A0"/>
      </w:tblPr>
      <w:tblGrid>
        <w:gridCol w:w="2952"/>
        <w:gridCol w:w="7128"/>
      </w:tblGrid>
      <w:tr>
        <w:trPr>
          <w:cantSplit/>
          <w:tblHeader/>
        </w:trPr>
        <w:tc>
          <w:tcPr>
            <w:tcW w:type="dxa" w:w="2952"/>
            <w:vAlign w:val="center"/>
            <w:tcMar>
              <w:top w:w="80" w:type="dxa"/>
              <w:bottom w:w="80" w:type="dxa"/>
              <w:left w:w="100" w:type="dxa"/>
              <w:right w:w="100" w:type="dxa"/>
            </w:tcMar>
            <w:shd w:fill="087E83"/>
          </w:tcPr>
          <w:p>
            <w:pPr>
              <w:spacing w:after="0" w:line="252" w:lineRule="auto"/>
            </w:pPr>
            <w:r>
              <w:rPr>
                <w:b/>
                <w:color w:val="FFFFFF"/>
                <w:sz w:val="21"/>
              </w:rPr>
              <w:t>Responsibility</w:t>
            </w:r>
          </w:p>
        </w:tc>
        <w:tc>
          <w:tcPr>
            <w:tcW w:type="dxa" w:w="7128"/>
            <w:vAlign w:val="center"/>
            <w:tcMar>
              <w:top w:w="80" w:type="dxa"/>
              <w:bottom w:w="80" w:type="dxa"/>
              <w:left w:w="100" w:type="dxa"/>
              <w:right w:w="100" w:type="dxa"/>
            </w:tcMar>
            <w:shd w:fill="087E83"/>
          </w:tcPr>
          <w:p>
            <w:pPr>
              <w:spacing w:after="0" w:line="252" w:lineRule="auto"/>
            </w:pPr>
            <w:r>
              <w:rPr>
                <w:b/>
                <w:color w:val="FFFFFF"/>
                <w:sz w:val="21"/>
              </w:rPr>
              <w:t>Main scope</w:t>
            </w:r>
          </w:p>
        </w:tc>
      </w:tr>
      <w:tr>
        <w:trPr>
          <w:cantSplit/>
        </w:trPr>
        <w:tc>
          <w:tcPr>
            <w:tcW w:type="dxa" w:w="2952"/>
            <w:vAlign w:val="center"/>
            <w:tcMar>
              <w:top w:w="80" w:type="dxa"/>
              <w:bottom w:w="80" w:type="dxa"/>
              <w:left w:w="100" w:type="dxa"/>
              <w:right w:w="100" w:type="dxa"/>
            </w:tcMar>
          </w:tcPr>
          <w:p>
            <w:pPr>
              <w:spacing w:after="0" w:line="252" w:lineRule="auto"/>
            </w:pPr>
            <w:r>
              <w:rPr>
                <w:sz w:val="21"/>
              </w:rPr>
              <w:t>Administrator</w:t>
            </w:r>
          </w:p>
        </w:tc>
        <w:tc>
          <w:tcPr>
            <w:tcW w:type="dxa" w:w="7128"/>
            <w:vAlign w:val="center"/>
            <w:tcMar>
              <w:top w:w="80" w:type="dxa"/>
              <w:bottom w:w="80" w:type="dxa"/>
              <w:left w:w="100" w:type="dxa"/>
              <w:right w:w="100" w:type="dxa"/>
            </w:tcMar>
          </w:tcPr>
          <w:p>
            <w:pPr>
              <w:spacing w:after="0" w:line="252" w:lineRule="auto"/>
            </w:pPr>
            <w:r>
              <w:rPr>
                <w:sz w:val="21"/>
              </w:rPr>
              <w:t>Company and account administration, protected oversight and independent financial approval</w:t>
            </w:r>
          </w:p>
        </w:tc>
      </w:tr>
      <w:tr>
        <w:trPr>
          <w:cantSplit/>
        </w:trPr>
        <w:tc>
          <w:tcPr>
            <w:tcW w:type="dxa" w:w="2952"/>
            <w:vAlign w:val="center"/>
            <w:tcMar>
              <w:top w:w="80" w:type="dxa"/>
              <w:bottom w:w="80" w:type="dxa"/>
              <w:left w:w="100" w:type="dxa"/>
              <w:right w:w="100" w:type="dxa"/>
            </w:tcMar>
          </w:tcPr>
          <w:p>
            <w:pPr>
              <w:spacing w:after="0" w:line="252" w:lineRule="auto"/>
            </w:pPr>
            <w:r>
              <w:rPr>
                <w:sz w:val="21"/>
              </w:rPr>
              <w:t>HR Generalist</w:t>
            </w:r>
          </w:p>
        </w:tc>
        <w:tc>
          <w:tcPr>
            <w:tcW w:type="dxa" w:w="7128"/>
            <w:vAlign w:val="center"/>
            <w:tcMar>
              <w:top w:w="80" w:type="dxa"/>
              <w:bottom w:w="80" w:type="dxa"/>
              <w:left w:w="100" w:type="dxa"/>
              <w:right w:w="100" w:type="dxa"/>
            </w:tcMar>
          </w:tcPr>
          <w:p>
            <w:pPr>
              <w:spacing w:after="0" w:line="252" w:lineRule="auto"/>
            </w:pPr>
            <w:r>
              <w:rPr>
                <w:sz w:val="21"/>
              </w:rPr>
              <w:t>Personnel, contact details, time and leave, and operational HR work</w:t>
            </w:r>
          </w:p>
        </w:tc>
      </w:tr>
      <w:tr>
        <w:trPr>
          <w:cantSplit/>
        </w:trPr>
        <w:tc>
          <w:tcPr>
            <w:tcW w:type="dxa" w:w="2952"/>
            <w:vAlign w:val="center"/>
            <w:tcMar>
              <w:top w:w="80" w:type="dxa"/>
              <w:bottom w:w="80" w:type="dxa"/>
              <w:left w:w="100" w:type="dxa"/>
              <w:right w:w="100" w:type="dxa"/>
            </w:tcMar>
          </w:tcPr>
          <w:p>
            <w:pPr>
              <w:spacing w:after="0" w:line="252" w:lineRule="auto"/>
            </w:pPr>
            <w:r>
              <w:rPr>
                <w:sz w:val="21"/>
              </w:rPr>
              <w:t>Recruiter</w:t>
            </w:r>
          </w:p>
        </w:tc>
        <w:tc>
          <w:tcPr>
            <w:tcW w:type="dxa" w:w="7128"/>
            <w:vAlign w:val="center"/>
            <w:tcMar>
              <w:top w:w="80" w:type="dxa"/>
              <w:bottom w:w="80" w:type="dxa"/>
              <w:left w:w="100" w:type="dxa"/>
              <w:right w:w="100" w:type="dxa"/>
            </w:tcMar>
          </w:tcPr>
          <w:p>
            <w:pPr>
              <w:spacing w:after="0" w:line="252" w:lineRule="auto"/>
            </w:pPr>
            <w:r>
              <w:rPr>
                <w:sz w:val="21"/>
              </w:rPr>
              <w:t>Applicants, offers and onboarding</w:t>
            </w:r>
          </w:p>
        </w:tc>
      </w:tr>
      <w:tr>
        <w:trPr>
          <w:cantSplit/>
        </w:trPr>
        <w:tc>
          <w:tcPr>
            <w:tcW w:type="dxa" w:w="2952"/>
            <w:vAlign w:val="center"/>
            <w:tcMar>
              <w:top w:w="80" w:type="dxa"/>
              <w:bottom w:w="80" w:type="dxa"/>
              <w:left w:w="100" w:type="dxa"/>
              <w:right w:w="100" w:type="dxa"/>
            </w:tcMar>
          </w:tcPr>
          <w:p>
            <w:pPr>
              <w:spacing w:after="0" w:line="252" w:lineRule="auto"/>
            </w:pPr>
            <w:r>
              <w:rPr>
                <w:sz w:val="21"/>
              </w:rPr>
              <w:t>Learning and Performance Officer</w:t>
            </w:r>
          </w:p>
        </w:tc>
        <w:tc>
          <w:tcPr>
            <w:tcW w:type="dxa" w:w="7128"/>
            <w:vAlign w:val="center"/>
            <w:tcMar>
              <w:top w:w="80" w:type="dxa"/>
              <w:bottom w:w="80" w:type="dxa"/>
              <w:left w:w="100" w:type="dxa"/>
              <w:right w:w="100" w:type="dxa"/>
            </w:tcMar>
          </w:tcPr>
          <w:p>
            <w:pPr>
              <w:spacing w:after="0" w:line="252" w:lineRule="auto"/>
            </w:pPr>
            <w:r>
              <w:rPr>
                <w:sz w:val="21"/>
              </w:rPr>
              <w:t>Goals, appraisals, learning and certifications</w:t>
            </w:r>
          </w:p>
        </w:tc>
      </w:tr>
      <w:tr>
        <w:trPr>
          <w:cantSplit/>
        </w:trPr>
        <w:tc>
          <w:tcPr>
            <w:tcW w:type="dxa" w:w="2952"/>
            <w:vAlign w:val="center"/>
            <w:tcMar>
              <w:top w:w="80" w:type="dxa"/>
              <w:bottom w:w="80" w:type="dxa"/>
              <w:left w:w="100" w:type="dxa"/>
              <w:right w:w="100" w:type="dxa"/>
            </w:tcMar>
          </w:tcPr>
          <w:p>
            <w:pPr>
              <w:spacing w:after="0" w:line="252" w:lineRule="auto"/>
            </w:pPr>
            <w:r>
              <w:rPr>
                <w:sz w:val="21"/>
              </w:rPr>
              <w:t>Payroll Officer</w:t>
            </w:r>
          </w:p>
        </w:tc>
        <w:tc>
          <w:tcPr>
            <w:tcW w:type="dxa" w:w="7128"/>
            <w:vAlign w:val="center"/>
            <w:tcMar>
              <w:top w:w="80" w:type="dxa"/>
              <w:bottom w:w="80" w:type="dxa"/>
              <w:left w:w="100" w:type="dxa"/>
              <w:right w:w="100" w:type="dxa"/>
            </w:tcMar>
          </w:tcPr>
          <w:p>
            <w:pPr>
              <w:spacing w:after="0" w:line="252" w:lineRule="auto"/>
            </w:pPr>
            <w:r>
              <w:rPr>
                <w:sz w:val="21"/>
              </w:rPr>
              <w:t>Financial preparation and reporting in Workforce Payroll</w:t>
            </w:r>
          </w:p>
        </w:tc>
      </w:tr>
      <w:tr>
        <w:trPr>
          <w:cantSplit/>
        </w:trPr>
        <w:tc>
          <w:tcPr>
            <w:tcW w:type="dxa" w:w="2952"/>
            <w:vAlign w:val="center"/>
            <w:tcMar>
              <w:top w:w="80" w:type="dxa"/>
              <w:bottom w:w="80" w:type="dxa"/>
              <w:left w:w="100" w:type="dxa"/>
              <w:right w:w="100" w:type="dxa"/>
            </w:tcMar>
          </w:tcPr>
          <w:p>
            <w:pPr>
              <w:spacing w:after="0" w:line="252" w:lineRule="auto"/>
            </w:pPr>
            <w:r>
              <w:rPr>
                <w:sz w:val="21"/>
              </w:rPr>
              <w:t>Manager</w:t>
            </w:r>
          </w:p>
        </w:tc>
        <w:tc>
          <w:tcPr>
            <w:tcW w:type="dxa" w:w="7128"/>
            <w:vAlign w:val="center"/>
            <w:tcMar>
              <w:top w:w="80" w:type="dxa"/>
              <w:bottom w:w="80" w:type="dxa"/>
              <w:left w:w="100" w:type="dxa"/>
              <w:right w:w="100" w:type="dxa"/>
            </w:tcMar>
          </w:tcPr>
          <w:p>
            <w:pPr>
              <w:spacing w:after="0" w:line="252" w:lineRule="auto"/>
            </w:pPr>
            <w:r>
              <w:rPr>
                <w:sz w:val="21"/>
              </w:rPr>
              <w:t>Own work, current direct reports and specifically assigned reviews</w:t>
            </w:r>
          </w:p>
        </w:tc>
      </w:tr>
      <w:tr>
        <w:trPr>
          <w:cantSplit/>
        </w:trPr>
        <w:tc>
          <w:tcPr>
            <w:tcW w:type="dxa" w:w="2952"/>
            <w:vAlign w:val="center"/>
            <w:tcMar>
              <w:top w:w="80" w:type="dxa"/>
              <w:bottom w:w="80" w:type="dxa"/>
              <w:left w:w="100" w:type="dxa"/>
              <w:right w:w="100" w:type="dxa"/>
            </w:tcMar>
          </w:tcPr>
          <w:p>
            <w:pPr>
              <w:spacing w:after="0" w:line="252" w:lineRule="auto"/>
            </w:pPr>
            <w:r>
              <w:rPr>
                <w:sz w:val="21"/>
              </w:rPr>
              <w:t>Employee</w:t>
            </w:r>
          </w:p>
        </w:tc>
        <w:tc>
          <w:tcPr>
            <w:tcW w:type="dxa" w:w="7128"/>
            <w:vAlign w:val="center"/>
            <w:tcMar>
              <w:top w:w="80" w:type="dxa"/>
              <w:bottom w:w="80" w:type="dxa"/>
              <w:left w:w="100" w:type="dxa"/>
              <w:right w:w="100" w:type="dxa"/>
            </w:tcMar>
          </w:tcPr>
          <w:p>
            <w:pPr>
              <w:spacing w:after="0" w:line="252" w:lineRule="auto"/>
            </w:pPr>
            <w:r>
              <w:rPr>
                <w:sz w:val="21"/>
              </w:rPr>
              <w:t>Own information and requests in Workforce Employee</w:t>
            </w:r>
          </w:p>
        </w:tc>
      </w:tr>
    </w:tbl>
    <w:p>
      <w:pPr>
        <w:spacing w:after="0"/>
      </w:pPr>
    </w:p>
    <w:p>
      <w:r>
        <w:t xml:space="preserve">Use </w:t>
      </w:r>
      <w:r>
        <w:rPr>
          <w:b/>
        </w:rPr>
        <w:t>Manage access</w:t>
      </w:r>
      <w:r>
        <w:t xml:space="preserve"> to change responsibilities or enabled sign-in, with a reason. Use </w:t>
      </w:r>
      <w:r>
        <w:rPr>
          <w:b/>
        </w:rPr>
        <w:t>Access history</w:t>
      </w:r>
      <w:r>
        <w:t xml:space="preserve"> to review earlier changes. Disable sign-in when access must stop; archive employment when appropriate while retaining historical records. Responsibilities can be combined, but each workflow still enforces its own limits.</w:t>
      </w:r>
    </w:p>
    <w:p>
      <w:pPr>
        <w:pStyle w:val="Heading1"/>
        <w:pageBreakBefore/>
      </w:pPr>
      <w:r>
        <w:t>Hiring and separation</w:t>
      </w:r>
    </w:p>
    <w:p>
      <w:pPr>
        <w:pStyle w:val="Heading2"/>
      </w:pPr>
      <w:r>
        <w:t>Follow an application</w:t>
      </w:r>
    </w:p>
    <w:p>
      <w:r>
        <w:t xml:space="preserve">Recruiting staff use </w:t>
      </w:r>
      <w:r>
        <w:rPr>
          <w:b/>
        </w:rPr>
        <w:t>Hiring</w:t>
      </w:r>
      <w:r>
        <w:t xml:space="preserve"> to maintain applicant information, application status, résumé files and private recruiting notes. Keep factual dates and supporting documents with the appropriate applicant. An application does not create an employee account.</w:t>
      </w:r>
    </w:p>
    <w:p>
      <w:pPr>
        <w:spacing w:after="80"/>
        <w:ind w:left="288" w:hanging="288"/>
      </w:pPr>
      <w:r>
        <w:t>1. Create or open the applicant and review the application details.</w:t>
      </w:r>
    </w:p>
    <w:p>
      <w:pPr>
        <w:spacing w:after="80"/>
        <w:ind w:left="288" w:hanging="288"/>
      </w:pPr>
      <w:r>
        <w:t>2. Add permitted résumé or application attachments.</w:t>
      </w:r>
    </w:p>
    <w:p>
      <w:pPr>
        <w:spacing w:after="80"/>
        <w:ind w:left="288" w:hanging="288"/>
      </w:pPr>
      <w:r>
        <w:t>3. Schedule an interview and assign the responsible interviewer.</w:t>
      </w:r>
    </w:p>
    <w:p>
      <w:pPr>
        <w:spacing w:after="80"/>
        <w:ind w:left="288" w:hanging="288"/>
      </w:pPr>
      <w:r>
        <w:t>4. Record feedback against the assigned interview. Managers see their assigned work rather than the complete private applicant record.</w:t>
      </w:r>
    </w:p>
    <w:p>
      <w:pPr>
        <w:pStyle w:val="Heading2"/>
      </w:pPr>
      <w:r>
        <w:t>Offers and onboarding</w:t>
      </w:r>
    </w:p>
    <w:p>
      <w:r>
        <w:t>Prepare an offer with the reviewed employment and pay terms. Submit it for the required independent approval. Record delivery and acceptance or decline from actual evidence; saving a record does not send an offer to the candidate.</w:t>
      </w:r>
    </w:p>
    <w:p>
      <w:r>
        <w:t>Convert an accepted offer through the hiring workflow. The conversion creates the employee record and standard onboarding tasks without duplicating an earlier successful conversion. Review the resulting employment and contact information, assign tasks and track their completion. Sign-in provisioning remains a separate Administrator action.</w:t>
      </w:r>
    </w:p>
    <w:p>
      <w:pPr>
        <w:pStyle w:val="Heading2"/>
      </w:pPr>
      <w:r>
        <w:t>Exit and clearance</w:t>
      </w:r>
    </w:p>
    <w:p>
      <w:r>
        <w:t>Open the employee's exit workflow, enter the actual last working date and assign clearance tasks. Review the readiness information and complete or resolve required items before finalizing. Keep reasons and factual completion dates in the record.</w:t>
      </w:r>
    </w:p>
    <w:p>
      <w:r>
        <w:t>Archiving and disabling access preserve personnel and workflow history. Final pay is handled separately in Workforce Payroll. A clearance item, account status or employee archive must not be treated as proof that a payment has been made.</w:t>
      </w:r>
    </w:p>
    <w:p>
      <w:pPr>
        <w:pStyle w:val="Heading1"/>
        <w:pageBreakBefore/>
      </w:pPr>
      <w:r>
        <w:t>Attendance and leave</w:t>
      </w:r>
    </w:p>
    <w:p>
      <w:pPr>
        <w:pStyle w:val="Heading2"/>
      </w:pPr>
      <w:r>
        <w:t>Review daily attendance</w:t>
      </w:r>
    </w:p>
    <w:p>
      <w:r>
        <w:t xml:space="preserve">Open </w:t>
      </w:r>
      <w:r>
        <w:rPr>
          <w:b/>
        </w:rPr>
        <w:t>Attendance</w:t>
      </w:r>
      <w:r>
        <w:t xml:space="preserve"> in Workforce HR and choose a date from the calendar. Review recorded check-ins, open shifts and completed records. A missing punch alone does not establish an absence. Employees normally record their own punches in Android.</w:t>
      </w:r>
    </w:p>
    <w:p>
      <w:r>
        <w:t>HR can record a justified exception or past attendance for an employee with no record. Enter the correct work date, times and reason. For an existing record, review the current values before saving a correction. History retains the change.</w:t>
      </w:r>
    </w:p>
    <w:p>
      <w:pPr>
        <w:pStyle w:val="Heading2"/>
      </w:pPr>
      <w:r>
        <w:t>Review requests and overtime</w:t>
      </w:r>
    </w:p>
    <w:p>
      <w:pPr>
        <w:spacing w:after="80"/>
        <w:ind w:left="288" w:hanging="288"/>
      </w:pPr>
      <w:r>
        <w:t>1. Open the correction or overtime request queue.</w:t>
      </w:r>
    </w:p>
    <w:p>
      <w:pPr>
        <w:spacing w:after="80"/>
        <w:ind w:left="288" w:hanging="288"/>
      </w:pPr>
      <w:r>
        <w:t>2. Compare the proposal with recorded attendance, shift and break information.</w:t>
      </w:r>
    </w:p>
    <w:p>
      <w:pPr>
        <w:spacing w:after="80"/>
        <w:ind w:left="288" w:hanging="288"/>
      </w:pPr>
      <w:r>
        <w:t>3. Enter the review note and approve or reject only when you are an eligible reviewer.</w:t>
      </w:r>
    </w:p>
    <w:p>
      <w:pPr>
        <w:spacing w:after="80"/>
        <w:ind w:left="288" w:hanging="288"/>
      </w:pPr>
      <w:r>
        <w:t>4. Read the retained decision history. Submission alone does not change a recorded punch or establish payable overtime.</w:t>
      </w:r>
    </w:p>
    <w:p>
      <w:r>
        <w:t>An overtime request records reviewed minutes. Payroll preparation still reviews the relevant attendance and premium sources. A change to attendance can require another review of the earlier overtime basis.</w:t>
      </w:r>
    </w:p>
    <w:p>
      <w:pPr>
        <w:pStyle w:val="Heading2"/>
      </w:pPr>
      <w:r>
        <w:t>Configure leave and balances</w:t>
      </w:r>
    </w:p>
    <w:p>
      <w:r>
        <w:t>Permitted HR staff maintain leave types, holidays, workweeks, half-days, accrual, carryover and approval steps. Use dated policy versions for changes that take effect later. Filed requests retain their original charge dates and approval plan.</w:t>
      </w:r>
    </w:p>
    <w:p>
      <w:r>
        <w:t xml:space="preserve">For opening balances, choose the effective date and review the existing entitlement, usage, reservations and expiring carry. Preview entered or imported values before posting. Use </w:t>
      </w:r>
      <w:r>
        <w:rPr>
          <w:b/>
        </w:rPr>
        <w:t>credit adjustments</w:t>
      </w:r>
      <w:r>
        <w:t xml:space="preserve"> for a reviewed delta; a remaining balance is not the same thing as a credit to add.</w:t>
      </w:r>
    </w:p>
    <w:p>
      <w:pPr>
        <w:pStyle w:val="Heading2"/>
      </w:pPr>
      <w:r>
        <w:t>Approve or cancel leave</w:t>
      </w:r>
    </w:p>
    <w:p>
      <w:r>
        <w:t>Review the request's charge dates, quantity, balance and approval history. Only the current eligible reviewer can decide a step; self-approval is blocked. A request stays pending until its required steps are complete. Cancellation requires a reason and follows the request's date and status rules.</w:t>
      </w:r>
    </w:p>
    <w:p>
      <w:r>
        <w:t xml:space="preserve">Administrators configure temporary substitutes through </w:t>
      </w:r>
      <w:r>
        <w:rPr>
          <w:b/>
        </w:rPr>
        <w:t>Approval delegation</w:t>
      </w:r>
      <w:r>
        <w:t>. Delegation covers the selected operational workflow and dates; it does not grant account administration or payroll approval.</w:t>
      </w:r>
    </w:p>
    <w:p>
      <w:pPr>
        <w:pStyle w:val="Heading1"/>
        <w:pageBreakBefore/>
      </w:pPr>
      <w:r>
        <w:t>Development and employee support</w:t>
      </w:r>
    </w:p>
    <w:p>
      <w:pPr>
        <w:pStyle w:val="Heading2"/>
      </w:pPr>
      <w:r>
        <w:t>Goals appraisals and learning</w:t>
      </w:r>
    </w:p>
    <w:p>
      <w:r>
        <w:t xml:space="preserve">Open </w:t>
      </w:r>
      <w:r>
        <w:rPr>
          <w:b/>
        </w:rPr>
        <w:t>Employees &gt; Development</w:t>
      </w:r>
      <w:r>
        <w:t xml:space="preserve"> for Goals, Appraisals, learning records, certifications and Career plans. The Learning and Performance responsibility administers the combined workspace; Managers retain current-team and assigned scopes.</w:t>
      </w:r>
    </w:p>
    <w:p>
      <w:r>
        <w:t>Define factual goals, review cycles and assigned reviewers. Eligible staff record progress through the permitted controls. Review the goal snapshots before submitting an appraisal. Published reviews preserve their original facts; later progress changes do not rewrite them. Keep confidential HR notes separate from feedback shared with the employee.</w:t>
      </w:r>
    </w:p>
    <w:p>
      <w:r>
        <w:t>Record training dates, progress and completion outcomes. Maintain certificate issue and expiry dates from supporting facts. Link private evidence only through the permitted document workflow. Career plans describe development targets and milestones; completing a plan does not change salary, job title or department.</w:t>
      </w:r>
    </w:p>
    <w:p>
      <w:pPr>
        <w:pStyle w:val="Heading2"/>
      </w:pPr>
      <w:r>
        <w:t>Confidential employee relations</w:t>
      </w:r>
    </w:p>
    <w:p>
      <w:r>
        <w:t xml:space="preserve">Open </w:t>
      </w:r>
      <w:r>
        <w:rPr>
          <w:b/>
        </w:rPr>
        <w:t>Employees &gt; Employee relations</w:t>
      </w:r>
      <w:r>
        <w:t xml:space="preserve"> to maintain a confidential case. Record the category, priority, description and follow-up dates. Add factual notes and complete follow-ups before resolving or closing a case.</w:t>
      </w:r>
    </w:p>
    <w:p>
      <w:r>
        <w:t>Administrators oversee cases and assign handlers. HR Generalists see their assigned cases. A reporting relationship or Payroll role does not grant case access. Case states are internal tracking records rather than automatic disciplinary decisions.</w:t>
      </w:r>
    </w:p>
    <w:p>
      <w:pPr>
        <w:pStyle w:val="Heading2"/>
      </w:pPr>
      <w:r>
        <w:t>Services and benefits</w:t>
      </w:r>
    </w:p>
    <w:p>
      <w:r>
        <w:t xml:space="preserve">Use </w:t>
      </w:r>
      <w:r>
        <w:rPr>
          <w:b/>
        </w:rPr>
        <w:t>Employee services</w:t>
      </w:r>
      <w:r>
        <w:t xml:space="preserve"> to route requests to the correct handling staff member, set due dates and record outcomes. Shared messages are visible to the requester; do not place confidential case notes in a service thread. Requesters can follow their own requests and respond through Workforce Employee.</w:t>
      </w:r>
    </w:p>
    <w:p>
      <w:r>
        <w:t xml:space="preserve">In </w:t>
      </w:r>
      <w:r>
        <w:rPr>
          <w:b/>
        </w:rPr>
        <w:t>Benefits</w:t>
      </w:r>
      <w:r>
        <w:t>, maintain plan guidance, record eligibility review, enroll employees and manage permitted dependents and coverage dates. Keep the reason for each change. An enrollment record does not itself contact an insurer or change payroll amounts. Review any monetary effect separately in Workforce Payroll.</w:t>
      </w:r>
    </w:p>
    <w:p>
      <w:pPr>
        <w:pStyle w:val="Heading1"/>
        <w:pageBreakBefore/>
      </w:pPr>
      <w:r>
        <w:t>Preparing payroll</w:t>
      </w:r>
    </w:p>
    <w:p>
      <w:r>
        <w:t>Open Workforce Payroll using a current Payroll Officer or Administrator account. Use the company's supported pay period and reviewed rule pack. Financial preparation and independent approval are different responsibilities even when several duties are assigned to one account.</w:t>
      </w:r>
    </w:p>
    <w:p>
      <w:pPr>
        <w:pStyle w:val="Heading2"/>
      </w:pPr>
      <w:r>
        <w:t>Set up inputs</w:t>
      </w:r>
    </w:p>
    <w:p>
      <w:r>
        <w:t>Maintain the salary basis and recurring allowances or deductions for each employee. Check employment dates, coverage and the evidence behind any change. Benefits administration records do not automatically become salary or deduction items.</w:t>
      </w:r>
    </w:p>
    <w:p>
      <w:r>
        <w:t>Review payroll holiday classifications and the applicable statutory reference information. Premium calculations depend on the reviewed attendance, work dates, classification and employee basis; selecting a label is not a substitute for evidence.</w:t>
      </w:r>
    </w:p>
    <w:p>
      <w:pPr>
        <w:pStyle w:val="Heading2"/>
      </w:pPr>
      <w:r>
        <w:t>Prepare a monthly register or cutoff</w:t>
      </w:r>
    </w:p>
    <w:p>
      <w:pPr>
        <w:spacing w:after="80"/>
        <w:ind w:left="288" w:hanging="288"/>
      </w:pPr>
      <w:r>
        <w:t>1. Create the period, title and planned pay date.</w:t>
      </w:r>
    </w:p>
    <w:p>
      <w:pPr>
        <w:spacing w:after="80"/>
        <w:ind w:left="288" w:hanging="288"/>
      </w:pPr>
      <w:r>
        <w:t>2. Add employees and load their current source information.</w:t>
      </w:r>
    </w:p>
    <w:p>
      <w:pPr>
        <w:spacing w:after="80"/>
        <w:ind w:left="288" w:hanging="288"/>
      </w:pPr>
      <w:r>
        <w:t>3. Review actual coverage, attendance proposals, leave, holidays, overtime, night minutes and any documented exceptions.</w:t>
      </w:r>
    </w:p>
    <w:p>
      <w:pPr>
        <w:spacing w:after="80"/>
        <w:ind w:left="288" w:hanging="288"/>
      </w:pPr>
      <w:r>
        <w:t>4. Check allowances, deductions, contributions, withholding and net pay. Missing attendance does not automatically justify a salary deduction.</w:t>
      </w:r>
    </w:p>
    <w:p>
      <w:pPr>
        <w:spacing w:after="80"/>
        <w:ind w:left="288" w:hanging="288"/>
      </w:pPr>
      <w:r>
        <w:t>5. Save each worksheet and confirm that the included and omitted employees are correct.</w:t>
      </w:r>
    </w:p>
    <w:p>
      <w:pPr>
        <w:spacing w:after="80"/>
        <w:ind w:left="288" w:hanging="288"/>
      </w:pPr>
      <w:r>
        <w:t>6. Submit the reviewed register for independent approval.</w:t>
      </w:r>
    </w:p>
    <w:p>
      <w:r>
        <w:t>A source change can invalidate a saved review. Refresh and assess the new facts before resubmitting. Resolve negative net pay and incomplete required inputs rather than editing an issued payslip later.</w:t>
      </w:r>
    </w:p>
    <w:p>
      <w:pPr>
        <w:pStyle w:val="Heading2"/>
      </w:pPr>
      <w:r>
        <w:t>Other pay workflows</w:t>
      </w:r>
    </w:p>
    <w:p>
      <w:r>
        <w:t xml:space="preserve">Use the dedicated </w:t>
      </w:r>
      <w:r>
        <w:rPr>
          <w:b/>
        </w:rPr>
        <w:t>13th-month pay</w:t>
      </w:r>
      <w:r>
        <w:t xml:space="preserve">, </w:t>
      </w:r>
      <w:r>
        <w:rPr>
          <w:b/>
        </w:rPr>
        <w:t>Annual tax</w:t>
      </w:r>
      <w:r>
        <w:t xml:space="preserve">, </w:t>
      </w:r>
      <w:r>
        <w:rPr>
          <w:b/>
        </w:rPr>
        <w:t>Final pay</w:t>
      </w:r>
      <w:r>
        <w:t xml:space="preserve"> or </w:t>
      </w:r>
      <w:r>
        <w:rPr>
          <w:b/>
        </w:rPr>
        <w:t>Amendments</w:t>
      </w:r>
      <w:r>
        <w:t xml:space="preserve"> workflow for those obligations. They have their own coverage, payment-date, evidence and independent-review controls. A general allowance or a second register must not be used to duplicate a source already handled by one of those workflows.</w:t>
      </w:r>
    </w:p>
    <w:p>
      <w:pPr>
        <w:pStyle w:val="Heading1"/>
        <w:pageBreakBefore/>
      </w:pPr>
      <w:r>
        <w:t>Approval payments and corrections</w:t>
      </w:r>
    </w:p>
    <w:p>
      <w:pPr>
        <w:pStyle w:val="Heading2"/>
      </w:pPr>
      <w:r>
        <w:t>Independent review</w:t>
      </w:r>
    </w:p>
    <w:p>
      <w:r>
        <w:t>An eligible Administrator opens the submitted worksheet, checks source freshness, coverage, exceptions and totals, and either returns it with a reason or approves it. The approver must satisfy the workflow's creator, preparer and submitter exclusions. Do not reuse another person's account to bypass those checks.</w:t>
      </w:r>
    </w:p>
    <w:p>
      <w:r>
        <w:t>Approval creates an immutable issued statement. The statement can then appear in the recipient's own payslip view. Approval is not a payment receipt.</w:t>
      </w:r>
    </w:p>
    <w:p>
      <w:pPr>
        <w:pStyle w:val="Heading2"/>
      </w:pPr>
      <w:r>
        <w:t>Record a payment</w:t>
      </w:r>
    </w:p>
    <w:p>
      <w:pPr>
        <w:spacing w:after="80"/>
        <w:ind w:left="288" w:hanging="288"/>
      </w:pPr>
      <w:r>
        <w:t>1. Open the approved run or statement and select the intended recipient.</w:t>
      </w:r>
    </w:p>
    <w:p>
      <w:pPr>
        <w:spacing w:after="80"/>
        <w:ind w:left="288" w:hanging="288"/>
      </w:pPr>
      <w:r>
        <w:t>2. Check the exact amount and whether an earlier receipt already exists.</w:t>
      </w:r>
    </w:p>
    <w:p>
      <w:pPr>
        <w:spacing w:after="80"/>
        <w:ind w:left="288" w:hanging="288"/>
      </w:pPr>
      <w:r>
        <w:t>3. An Administrator records the actual payment date and reference from evidence.</w:t>
      </w:r>
    </w:p>
    <w:p>
      <w:pPr>
        <w:spacing w:after="80"/>
        <w:ind w:left="288" w:hanging="288"/>
      </w:pPr>
      <w:r>
        <w:t>4. Confirm the recipient's receipt and the outstanding status of other recipients.</w:t>
      </w:r>
    </w:p>
    <w:p>
      <w:r>
        <w:t>Recording payment does not transfer money. One person's receipt does not mark a coworker paid. The run remains partly outstanding until its required recipients have individual receipts. Do not infer a person's receipt date from batch status.</w:t>
      </w:r>
    </w:p>
    <w:p>
      <w:pPr>
        <w:pStyle w:val="Heading2"/>
      </w:pPr>
      <w:r>
        <w:t>Correct issued pay</w:t>
      </w:r>
    </w:p>
    <w:p>
      <w:r>
        <w:t xml:space="preserve">Use </w:t>
      </w:r>
      <w:r>
        <w:rPr>
          <w:b/>
        </w:rPr>
        <w:t>Amendments</w:t>
      </w:r>
      <w:r>
        <w:t xml:space="preserve"> for a controlled linked adjustment to an eligible original statement. Review the original, the corrected difference and receipt-year treatment. Submit the supplement for independent approval, then record its own settlement. The original payslip and its receipt remain unchanged.</w:t>
      </w:r>
    </w:p>
    <w:p>
      <w:r>
        <w:t>An unpaid statement may have a reasoned withdrawal route when its workflow permits rescheduling. A completed payment is not an editable draft or an automatic reversal.</w:t>
      </w:r>
    </w:p>
    <w:p>
      <w:pPr>
        <w:pStyle w:val="Heading2"/>
      </w:pPr>
      <w:r>
        <w:t>Final pay and tax advice</w:t>
      </w:r>
    </w:p>
    <w:p>
      <w:r>
        <w:t>Review service end, payment date, included unpaid sources and tax advice separately. Previously settled sources must not be counted again as new cash. Follow explicit cross-year controls where separation and payment fall in different years. Approved advice, employee archiving and clearance completion do not establish payment.</w:t>
      </w:r>
    </w:p>
    <w:p>
      <w:pPr>
        <w:pStyle w:val="Heading1"/>
        <w:pageBreakBefore/>
      </w:pPr>
      <w:r>
        <w:t>Reports files and government review</w:t>
      </w:r>
    </w:p>
    <w:p>
      <w:pPr>
        <w:pStyle w:val="Heading2"/>
      </w:pPr>
      <w:r>
        <w:t>HR reports</w:t>
      </w:r>
    </w:p>
    <w:p>
      <w:r>
        <w:t xml:space="preserve">In Workforce HR, open </w:t>
      </w:r>
      <w:r>
        <w:rPr>
          <w:b/>
        </w:rPr>
        <w:t>Reports</w:t>
      </w:r>
      <w:r>
        <w:t>, choose the period and permitted filters, and generate the preview. Review attendance and leave summaries, headcount groups or workforce trends. Save or select custom columns where available, then export a new CSV or Excel file.</w:t>
      </w:r>
    </w:p>
    <w:p>
      <w:r>
        <w:t xml:space="preserve">Administrators can open </w:t>
      </w:r>
      <w:r>
        <w:rPr>
          <w:b/>
        </w:rPr>
        <w:t>Reports &gt; Leadership</w:t>
      </w:r>
      <w:r>
        <w:t xml:space="preserve"> for aggregate oversight. The report describes recorded facts and current workflow states. Missing attendance is not inferred absence, and current group counts do not reconstruct past headcount.</w:t>
      </w:r>
    </w:p>
    <w:p>
      <w:pPr>
        <w:pStyle w:val="Heading2"/>
      </w:pPr>
      <w:r>
        <w:t>Payroll and government records</w:t>
      </w:r>
    </w:p>
    <w:p>
      <w:r>
        <w:t xml:space="preserve">Workforce Payroll provides financial reports, individual payment history and </w:t>
      </w:r>
      <w:r>
        <w:rPr>
          <w:b/>
        </w:rPr>
        <w:t>Government</w:t>
      </w:r>
      <w:r>
        <w:t xml:space="preserve"> review. Choose the agency and coverage or receipt period as required. Review registration details, original pay sources, contribution allocations, unknown amounts and recorded remittances before generating a worksheet.</w:t>
      </w:r>
    </w:p>
    <w:p>
      <w:r>
        <w:t>An internal CSV, Excel worksheet, reference draft or passing file preflight is not an official return or proof of validator acceptance. A remittance entry records an evidenced payment; it does not initiate one. Preserve unresolved information rather than replacing it with zero to force a complete total.</w:t>
      </w:r>
    </w:p>
    <w:p>
      <w:pPr>
        <w:pStyle w:val="Heading2"/>
      </w:pPr>
      <w:r>
        <w:t>Import files</w:t>
      </w:r>
    </w:p>
    <w:p>
      <w:pPr>
        <w:spacing w:after="80"/>
        <w:ind w:left="288" w:hanging="288"/>
      </w:pPr>
      <w:r>
        <w:t>1. Download the template from the corresponding employee, opening-balance, attendance or leave import screen.</w:t>
      </w:r>
    </w:p>
    <w:p>
      <w:pPr>
        <w:spacing w:after="80"/>
        <w:ind w:left="288" w:hanging="288"/>
      </w:pPr>
      <w:r>
        <w:t>2. Preserve its headers and keep codes and phone numbers as text.</w:t>
      </w:r>
    </w:p>
    <w:p>
      <w:pPr>
        <w:spacing w:after="80"/>
        <w:ind w:left="288" w:hanging="288"/>
      </w:pPr>
      <w:r>
        <w:t>3. Select the file and review every preview error using the original row numbers.</w:t>
      </w:r>
    </w:p>
    <w:p>
      <w:pPr>
        <w:spacing w:after="80"/>
        <w:ind w:left="288" w:hanging="288"/>
      </w:pPr>
      <w:r>
        <w:t>4. Correct the source and preview again before posting.</w:t>
      </w:r>
    </w:p>
    <w:p>
      <w:pPr>
        <w:spacing w:after="80"/>
        <w:ind w:left="288" w:hanging="288"/>
      </w:pPr>
      <w:r>
        <w:t>5. Check the posted result and retained batch history before trying another submission.</w:t>
      </w:r>
    </w:p>
    <w:p>
      <w:r>
        <w:t>Attendance imports create correction requests, and leave imports create requests subject to normal review. An imported request is not an approved record. Employee imports do not create sign-in accounts. Formulas, macros, external connections and unsupported worksheet structures are rejected.</w:t>
      </w:r>
    </w:p>
    <w:p>
      <w:pPr>
        <w:pStyle w:val="Heading1"/>
        <w:pageBreakBefore/>
      </w:pPr>
      <w:r>
        <w:t>Workforce Employee for Android</w:t>
      </w:r>
    </w:p>
    <w:p>
      <w:r>
        <w:t>Sign in with your company account. Your Home screen summarizes your own workday, employment details and latest published pay information. Staff accounts receive this same own-only view.</w:t>
      </w:r>
    </w:p>
    <w:p>
      <w:pPr>
        <w:pStyle w:val="Heading2"/>
      </w:pPr>
      <w:r>
        <w:t>Attendance and leave</w:t>
      </w:r>
    </w:p>
    <w:p>
      <w:r>
        <w:t xml:space="preserve">Use </w:t>
      </w:r>
      <w:r>
        <w:rPr>
          <w:b/>
        </w:rPr>
        <w:t>Check in</w:t>
      </w:r>
      <w:r>
        <w:t xml:space="preserve"> when starting and </w:t>
      </w:r>
      <w:r>
        <w:rPr>
          <w:b/>
        </w:rPr>
        <w:t>Check out</w:t>
      </w:r>
      <w:r>
        <w:t xml:space="preserve"> when finishing. Routine punches use company server time. Use the saved break controls for the shift. For a missing or incorrect punch, open </w:t>
      </w:r>
      <w:r>
        <w:rPr>
          <w:b/>
        </w:rPr>
        <w:t>Attendance</w:t>
      </w:r>
      <w:r>
        <w:t>, choose the work date and submit a correction with the proposed times and reason. Request overtime from the corresponding form. Proposals remain separate from recorded attendance until an eligible review.</w:t>
      </w:r>
    </w:p>
    <w:p>
      <w:r>
        <w:t xml:space="preserve">In </w:t>
      </w:r>
      <w:r>
        <w:rPr>
          <w:b/>
        </w:rPr>
        <w:t>Leave</w:t>
      </w:r>
      <w:r>
        <w:t>, choose the leave type, dates and full-day or half-day option. Review the displayed charge and balance before submitting. Follow the approval history and use cancellation only where the saved status and dates allow it.</w:t>
      </w:r>
    </w:p>
    <w:p>
      <w:pPr>
        <w:pStyle w:val="Heading2"/>
      </w:pPr>
      <w:r>
        <w:t>Payslips and service requests</w:t>
      </w:r>
    </w:p>
    <w:p>
      <w:r>
        <w:t xml:space="preserve">Open </w:t>
      </w:r>
      <w:r>
        <w:rPr>
          <w:b/>
        </w:rPr>
        <w:t>Payslips</w:t>
      </w:r>
      <w:r>
        <w:t xml:space="preserve"> to review your published statements and recorded payment status. Use the available export or print action to save a deliberate personal copy. An issued statement and a payment receipt are different facts.</w:t>
      </w:r>
    </w:p>
    <w:p>
      <w:r>
        <w:t xml:space="preserve">Use </w:t>
      </w:r>
      <w:r>
        <w:rPr>
          <w:b/>
        </w:rPr>
        <w:t>Services</w:t>
      </w:r>
      <w:r>
        <w:t xml:space="preserve"> to request employment documents, information updates, benefits support or general HR help. Read the shared responses and reply in the same thread. Submitting a requested change does not automatically edit your employment record.</w:t>
      </w:r>
    </w:p>
    <w:p>
      <w:pPr>
        <w:pStyle w:val="Heading2"/>
      </w:pPr>
      <w:r>
        <w:t>Profile and alerts</w:t>
      </w:r>
    </w:p>
    <w:p>
      <w:r>
        <w:t xml:space="preserve">Open </w:t>
      </w:r>
      <w:r>
        <w:rPr>
          <w:b/>
        </w:rPr>
        <w:t>Profile</w:t>
      </w:r>
      <w:r>
        <w:t xml:space="preserve"> from your circular profile control. Employment fields are read-only; contact HR for corrections. You can update permitted contact and emergency details and choose a profile photo. Review account, password and session controls carefully.</w:t>
      </w:r>
    </w:p>
    <w:p>
      <w:r>
        <w:t xml:space="preserve">Open the notification Inbox for personal reminders. In </w:t>
      </w:r>
      <w:r>
        <w:rPr>
          <w:b/>
        </w:rPr>
        <w:t>Device alerts</w:t>
      </w:r>
      <w:r>
        <w:t xml:space="preserve">, select </w:t>
      </w:r>
      <w:r>
        <w:rPr>
          <w:b/>
        </w:rPr>
        <w:t>Enable alerts</w:t>
      </w:r>
      <w:r>
        <w:t xml:space="preserve">, allow Android's notification permission and use </w:t>
      </w:r>
      <w:r>
        <w:rPr>
          <w:b/>
        </w:rPr>
        <w:t>Send test alert</w:t>
      </w:r>
      <w:r>
        <w:t xml:space="preserve">. Alerts contain a generic hint; sign in to read private details. Android power and notification settings can affect reception. </w:t>
      </w:r>
      <w:r>
        <w:rPr>
          <w:b/>
        </w:rPr>
        <w:t>Sign out</w:t>
      </w:r>
      <w:r>
        <w:t xml:space="preserve"> or </w:t>
      </w:r>
      <w:r>
        <w:rPr>
          <w:b/>
        </w:rPr>
        <w:t>Disable alerts</w:t>
      </w:r>
      <w:r>
        <w:t xml:space="preserve"> turns off device reception; closing the app retains an existing alert opt-in.</w:t>
      </w:r>
    </w:p>
    <w:p>
      <w:pPr>
        <w:pStyle w:val="Heading1"/>
        <w:pageBreakBefore/>
      </w:pPr>
      <w:r>
        <w:t>Settings and troubleshooting</w:t>
      </w:r>
    </w:p>
    <w:p>
      <w:pPr>
        <w:pStyle w:val="Heading2"/>
      </w:pPr>
      <w:r>
        <w:t>Company and personal settings</w:t>
      </w:r>
    </w:p>
    <w:p>
      <w:r>
        <w:t xml:space="preserve">Administrators maintain the company name, logo, time zone and permitted defaults in </w:t>
      </w:r>
      <w:r>
        <w:rPr>
          <w:b/>
        </w:rPr>
        <w:t>Settings</w:t>
      </w:r>
      <w:r>
        <w:t>. Optional workspace visibility changes presentation, not server permissions or historical records. Assign responsibilities through Account Manager.</w:t>
      </w:r>
    </w:p>
    <w:p>
      <w:r>
        <w:t>Use display preferences for desktop light or dark appearance and supported scaling. Android follows device appearance. Profile photos and company logos serve different purposes: the profile identifies the person, while company branding identifies the deployment.</w:t>
      </w:r>
    </w:p>
    <w:p>
      <w:r>
        <w:t>Save your work before installing a company update. Keep each application on its own update path and use only a package supplied for that company. A source-code download is not a configured installer.</w:t>
      </w:r>
    </w:p>
    <w:p>
      <w:pPr>
        <w:pStyle w:val="Heading2"/>
      </w:pPr>
      <w:r>
        <w:t>Common situations</w:t>
      </w:r>
    </w:p>
    <w:tbl>
      <w:tblPr>
        <w:tblW w:type="auto" w:w="0"/>
        <w:tblLayout w:type="fixed"/>
        <w:tblLook w:firstColumn="1" w:firstRow="1" w:lastColumn="0" w:lastRow="0" w:noHBand="0" w:noVBand="1" w:val="04A0"/>
      </w:tblPr>
      <w:tblGrid>
        <w:gridCol w:w="2952"/>
        <w:gridCol w:w="7128"/>
      </w:tblGrid>
      <w:tr>
        <w:trPr>
          <w:cantSplit/>
          <w:tblHeader/>
        </w:trPr>
        <w:tc>
          <w:tcPr>
            <w:tcW w:type="dxa" w:w="2952"/>
            <w:vAlign w:val="center"/>
            <w:tcMar>
              <w:top w:w="80" w:type="dxa"/>
              <w:bottom w:w="80" w:type="dxa"/>
              <w:left w:w="100" w:type="dxa"/>
              <w:right w:w="100" w:type="dxa"/>
            </w:tcMar>
            <w:shd w:fill="087E83"/>
          </w:tcPr>
          <w:p>
            <w:pPr>
              <w:spacing w:after="0" w:line="252" w:lineRule="auto"/>
            </w:pPr>
            <w:r>
              <w:rPr>
                <w:b/>
                <w:color w:val="FFFFFF"/>
                <w:sz w:val="21"/>
              </w:rPr>
              <w:t>Situation</w:t>
            </w:r>
          </w:p>
        </w:tc>
        <w:tc>
          <w:tcPr>
            <w:tcW w:type="dxa" w:w="7128"/>
            <w:vAlign w:val="center"/>
            <w:tcMar>
              <w:top w:w="80" w:type="dxa"/>
              <w:bottom w:w="80" w:type="dxa"/>
              <w:left w:w="100" w:type="dxa"/>
              <w:right w:w="100" w:type="dxa"/>
            </w:tcMar>
            <w:shd w:fill="087E83"/>
          </w:tcPr>
          <w:p>
            <w:pPr>
              <w:spacing w:after="0" w:line="252" w:lineRule="auto"/>
            </w:pPr>
            <w:r>
              <w:rPr>
                <w:b/>
                <w:color w:val="FFFFFF"/>
                <w:sz w:val="21"/>
              </w:rPr>
              <w:t>What to do</w:t>
            </w:r>
          </w:p>
        </w:tc>
      </w:tr>
      <w:tr>
        <w:trPr>
          <w:cantSplit/>
        </w:trPr>
        <w:tc>
          <w:tcPr>
            <w:tcW w:type="dxa" w:w="2952"/>
            <w:vAlign w:val="center"/>
            <w:tcMar>
              <w:top w:w="80" w:type="dxa"/>
              <w:bottom w:w="80" w:type="dxa"/>
              <w:left w:w="100" w:type="dxa"/>
              <w:right w:w="100" w:type="dxa"/>
            </w:tcMar>
          </w:tcPr>
          <w:p>
            <w:pPr>
              <w:spacing w:after="0" w:line="252" w:lineRule="auto"/>
            </w:pPr>
            <w:r>
              <w:rPr>
                <w:sz w:val="21"/>
              </w:rPr>
              <w:t>A workspace is missing</w:t>
            </w:r>
          </w:p>
        </w:tc>
        <w:tc>
          <w:tcPr>
            <w:tcW w:type="dxa" w:w="7128"/>
            <w:vAlign w:val="center"/>
            <w:tcMar>
              <w:top w:w="80" w:type="dxa"/>
              <w:bottom w:w="80" w:type="dxa"/>
              <w:left w:w="100" w:type="dxa"/>
              <w:right w:w="100" w:type="dxa"/>
            </w:tcMar>
          </w:tcPr>
          <w:p>
            <w:pPr>
              <w:spacing w:after="0" w:line="252" w:lineRule="auto"/>
            </w:pPr>
            <w:r>
              <w:rPr>
                <w:sz w:val="21"/>
              </w:rPr>
              <w:t>Check your assigned responsibility and the company's optional-section settings with an Administrator.</w:t>
            </w:r>
          </w:p>
        </w:tc>
      </w:tr>
      <w:tr>
        <w:trPr>
          <w:cantSplit/>
        </w:trPr>
        <w:tc>
          <w:tcPr>
            <w:tcW w:type="dxa" w:w="2952"/>
            <w:vAlign w:val="center"/>
            <w:tcMar>
              <w:top w:w="80" w:type="dxa"/>
              <w:bottom w:w="80" w:type="dxa"/>
              <w:left w:w="100" w:type="dxa"/>
              <w:right w:w="100" w:type="dxa"/>
            </w:tcMar>
          </w:tcPr>
          <w:p>
            <w:pPr>
              <w:spacing w:after="0" w:line="252" w:lineRule="auto"/>
            </w:pPr>
            <w:r>
              <w:rPr>
                <w:sz w:val="21"/>
              </w:rPr>
              <w:t>Desktop sign-in is refused</w:t>
            </w:r>
          </w:p>
        </w:tc>
        <w:tc>
          <w:tcPr>
            <w:tcW w:type="dxa" w:w="7128"/>
            <w:vAlign w:val="center"/>
            <w:tcMar>
              <w:top w:w="80" w:type="dxa"/>
              <w:bottom w:w="80" w:type="dxa"/>
              <w:left w:w="100" w:type="dxa"/>
              <w:right w:w="100" w:type="dxa"/>
            </w:tcMar>
          </w:tcPr>
          <w:p>
            <w:pPr>
              <w:spacing w:after="0" w:line="252" w:lineRule="auto"/>
            </w:pPr>
            <w:r>
              <w:rPr>
                <w:sz w:val="21"/>
              </w:rPr>
              <w:t>Confirm that staff access is enabled. Ordinary Employees use Workforce Employee.</w:t>
            </w:r>
          </w:p>
        </w:tc>
      </w:tr>
      <w:tr>
        <w:trPr>
          <w:cantSplit/>
        </w:trPr>
        <w:tc>
          <w:tcPr>
            <w:tcW w:type="dxa" w:w="2952"/>
            <w:vAlign w:val="center"/>
            <w:tcMar>
              <w:top w:w="80" w:type="dxa"/>
              <w:bottom w:w="80" w:type="dxa"/>
              <w:left w:w="100" w:type="dxa"/>
              <w:right w:w="100" w:type="dxa"/>
            </w:tcMar>
          </w:tcPr>
          <w:p>
            <w:pPr>
              <w:spacing w:after="0" w:line="252" w:lineRule="auto"/>
            </w:pPr>
            <w:r>
              <w:rPr>
                <w:sz w:val="21"/>
              </w:rPr>
              <w:t>A record changed while you were editing</w:t>
            </w:r>
          </w:p>
        </w:tc>
        <w:tc>
          <w:tcPr>
            <w:tcW w:type="dxa" w:w="7128"/>
            <w:vAlign w:val="center"/>
            <w:tcMar>
              <w:top w:w="80" w:type="dxa"/>
              <w:bottom w:w="80" w:type="dxa"/>
              <w:left w:w="100" w:type="dxa"/>
              <w:right w:w="100" w:type="dxa"/>
            </w:tcMar>
          </w:tcPr>
          <w:p>
            <w:pPr>
              <w:spacing w:after="0" w:line="252" w:lineRule="auto"/>
            </w:pPr>
            <w:r>
              <w:rPr>
                <w:sz w:val="21"/>
              </w:rPr>
              <w:t>Refresh, compare the saved values and review your draft before retrying.</w:t>
            </w:r>
          </w:p>
        </w:tc>
      </w:tr>
      <w:tr>
        <w:trPr>
          <w:cantSplit/>
        </w:trPr>
        <w:tc>
          <w:tcPr>
            <w:tcW w:type="dxa" w:w="2952"/>
            <w:vAlign w:val="center"/>
            <w:tcMar>
              <w:top w:w="80" w:type="dxa"/>
              <w:bottom w:w="80" w:type="dxa"/>
              <w:left w:w="100" w:type="dxa"/>
              <w:right w:w="100" w:type="dxa"/>
            </w:tcMar>
          </w:tcPr>
          <w:p>
            <w:pPr>
              <w:spacing w:after="0" w:line="252" w:lineRule="auto"/>
            </w:pPr>
            <w:r>
              <w:rPr>
                <w:sz w:val="21"/>
              </w:rPr>
              <w:t>A save has an uncertain result</w:t>
            </w:r>
          </w:p>
        </w:tc>
        <w:tc>
          <w:tcPr>
            <w:tcW w:type="dxa" w:w="7128"/>
            <w:vAlign w:val="center"/>
            <w:tcMar>
              <w:top w:w="80" w:type="dxa"/>
              <w:bottom w:w="80" w:type="dxa"/>
              <w:left w:w="100" w:type="dxa"/>
              <w:right w:w="100" w:type="dxa"/>
            </w:tcMar>
          </w:tcPr>
          <w:p>
            <w:pPr>
              <w:spacing w:after="0" w:line="252" w:lineRule="auto"/>
            </w:pPr>
            <w:r>
              <w:rPr>
                <w:sz w:val="21"/>
              </w:rPr>
              <w:t>Use the offered status check or exact retry. Avoid creating another copy until the first result is known.</w:t>
            </w:r>
          </w:p>
        </w:tc>
      </w:tr>
      <w:tr>
        <w:trPr>
          <w:cantSplit/>
        </w:trPr>
        <w:tc>
          <w:tcPr>
            <w:tcW w:type="dxa" w:w="2952"/>
            <w:vAlign w:val="center"/>
            <w:tcMar>
              <w:top w:w="80" w:type="dxa"/>
              <w:bottom w:w="80" w:type="dxa"/>
              <w:left w:w="100" w:type="dxa"/>
              <w:right w:w="100" w:type="dxa"/>
            </w:tcMar>
          </w:tcPr>
          <w:p>
            <w:pPr>
              <w:spacing w:after="0" w:line="252" w:lineRule="auto"/>
            </w:pPr>
            <w:r>
              <w:rPr>
                <w:sz w:val="21"/>
              </w:rPr>
              <w:t>A period or balance is unavailable</w:t>
            </w:r>
          </w:p>
        </w:tc>
        <w:tc>
          <w:tcPr>
            <w:tcW w:type="dxa" w:w="7128"/>
            <w:vAlign w:val="center"/>
            <w:tcMar>
              <w:top w:w="80" w:type="dxa"/>
              <w:bottom w:w="80" w:type="dxa"/>
              <w:left w:w="100" w:type="dxa"/>
              <w:right w:w="100" w:type="dxa"/>
            </w:tcMar>
          </w:tcPr>
          <w:p>
            <w:pPr>
              <w:spacing w:after="0" w:line="252" w:lineRule="auto"/>
            </w:pPr>
            <w:r>
              <w:rPr>
                <w:sz w:val="21"/>
              </w:rPr>
              <w:t>Check dates, current policy, coverage and required source setup rather than entering a guessed value.</w:t>
            </w:r>
          </w:p>
        </w:tc>
      </w:tr>
      <w:tr>
        <w:trPr>
          <w:cantSplit/>
        </w:trPr>
        <w:tc>
          <w:tcPr>
            <w:tcW w:type="dxa" w:w="2952"/>
            <w:vAlign w:val="center"/>
            <w:tcMar>
              <w:top w:w="80" w:type="dxa"/>
              <w:bottom w:w="80" w:type="dxa"/>
              <w:left w:w="100" w:type="dxa"/>
              <w:right w:w="100" w:type="dxa"/>
            </w:tcMar>
          </w:tcPr>
          <w:p>
            <w:pPr>
              <w:spacing w:after="0" w:line="252" w:lineRule="auto"/>
            </w:pPr>
            <w:r>
              <w:rPr>
                <w:sz w:val="21"/>
              </w:rPr>
              <w:t>An alert does not arrive</w:t>
            </w:r>
          </w:p>
        </w:tc>
        <w:tc>
          <w:tcPr>
            <w:tcW w:type="dxa" w:w="7128"/>
            <w:vAlign w:val="center"/>
            <w:tcMar>
              <w:top w:w="80" w:type="dxa"/>
              <w:bottom w:w="80" w:type="dxa"/>
              <w:left w:w="100" w:type="dxa"/>
              <w:right w:w="100" w:type="dxa"/>
            </w:tcMar>
          </w:tcPr>
          <w:p>
            <w:pPr>
              <w:spacing w:after="0" w:line="252" w:lineRule="auto"/>
            </w:pPr>
            <w:r>
              <w:rPr>
                <w:sz w:val="21"/>
              </w:rPr>
              <w:t>Check alert opt-in, Android permission, power settings and the in-app Inbox.</w:t>
            </w:r>
          </w:p>
        </w:tc>
      </w:tr>
    </w:tbl>
    <w:p>
      <w:pPr>
        <w:spacing w:after="0"/>
      </w:pPr>
    </w:p>
    <w:p>
      <w:pPr>
        <w:pStyle w:val="Heading2"/>
      </w:pPr>
      <w:r>
        <w:t>Keep the audit trail</w:t>
      </w:r>
    </w:p>
    <w:p>
      <w:r>
        <w:t>Use reasons, retained history, controlled cancellation and linked adjustments. Do not replace missing facts with invented dates or amounts. Keep sensitive exports in company-approved locations and close an app when finished. Biometric device connection controls are visible and disabled.</w:t>
      </w:r>
    </w:p>
    <w:sectPr w:rsidR="00FC693F" w:rsidRPr="0006063C" w:rsidSect="00034616">
      <w:headerReference w:type="default" r:id="rId9"/>
      <w:footerReference w:type="default" r:id="rId10"/>
      <w:pgSz w:w="12240" w:h="15840"/>
      <w:pgMar w:top="979"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68" w:val="left"/>
      </w:tabs>
    </w:pPr>
    <w:r>
      <w:rPr>
        <w:sz w:val="18"/>
      </w:rPr>
      <w:t>User guide</w:t>
      <w:tab/>
      <w:t xml:space="preserve">Page </w:t>
    </w:r>
    <w:fldSimple w:instr="PAGE">
      <w:r>
        <w:rPr>
          <w:sz w:val="18"/>
        </w:rPr>
        <w:t>1</w:t>
      </w:r>
    </w:fldSimple>
    <w:r>
      <w:rPr>
        <w:sz w:val="18"/>
      </w:rPr>
      <w:t xml:space="preserve"> of </w:t>
    </w:r>
    <w:fldSimple w:instr="NUMPAGES">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87E83"/>
        <w:sz w:val="18"/>
      </w:rPr>
      <w:t>WORKFORCE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eastAsia="Arial"/>
      <w:b/>
      <w:bCs/>
      <w:color w:val="087E83"/>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87E8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Suite User Guide</dc:title>
  <dc:subject>Everyday workflows for HR Payroll and Android employee self service</dc:subject>
  <dc:creator>Workforce Suite</dc:creator>
  <cp:keywords>Workforce HR, Workforce Payroll, Workforce Employee, user guide</cp:keywords>
  <dc:description>Markdown source SHA256 3c3e0d9381dab0c319bd4c5cef416fb8071c74f827631f88cfd7de6bcf684b7e</dc:description>
  <cp:lastModifiedBy>Workforce Suite</cp:lastModifiedBy>
  <cp:revision>1</cp:revision>
  <dcterms:created xsi:type="dcterms:W3CDTF">2026-10-30T00:00:00Z</dcterms:created>
  <dcterms:modified xsi:type="dcterms:W3CDTF">2026-10-30T00:00:00Z</dcterms:modified>
  <cp:category/>
</cp:coreProperties>
</file>