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7723572"/>
        <w:docPartObj>
          <w:docPartGallery w:val="Cover Pages"/>
          <w:docPartUnique/>
        </w:docPartObj>
      </w:sdtPr>
      <w:sdtEndPr>
        <w:rPr>
          <w:rFonts w:ascii="Cambria Math" w:hAnsi="Cambria Math"/>
          <w:i/>
        </w:rPr>
      </w:sdtEndPr>
      <w:sdtContent>
        <w:p w14:paraId="56B3A964" w14:textId="77777777" w:rsidR="00EA3AF9" w:rsidRDefault="00EA3AF9">
          <w:r>
            <w:rPr>
              <w:noProof/>
            </w:rPr>
            <mc:AlternateContent>
              <mc:Choice Requires="wpg">
                <w:drawing>
                  <wp:anchor distT="0" distB="0" distL="114300" distR="114300" simplePos="0" relativeHeight="251659264" behindDoc="0" locked="0" layoutInCell="1" allowOverlap="1" wp14:anchorId="43A47508" wp14:editId="172A8595">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14T00:00:00Z">
                                      <w:dateFormat w:val="yyyy"/>
                                      <w:lid w:val="en-US"/>
                                      <w:storeMappedDataAs w:val="dateTime"/>
                                      <w:calendar w:val="gregorian"/>
                                    </w:date>
                                  </w:sdtPr>
                                  <w:sdtEndPr/>
                                  <w:sdtContent>
                                    <w:p w14:paraId="0608FC0E" w14:textId="7AA90E84" w:rsidR="003D0505" w:rsidRDefault="003D0505">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37A2E49" w14:textId="313C9676" w:rsidR="003D0505" w:rsidRPr="00EA3AF9" w:rsidRDefault="003D0505">
                                      <w:pPr>
                                        <w:pStyle w:val="NoSpacing"/>
                                        <w:spacing w:line="360" w:lineRule="auto"/>
                                        <w:rPr>
                                          <w:color w:val="000000" w:themeColor="text1"/>
                                        </w:rPr>
                                      </w:pPr>
                                      <w:r w:rsidRPr="00EA3AF9">
                                        <w:rPr>
                                          <w:color w:val="000000" w:themeColor="text1"/>
                                          <w:lang w:val="el-GR"/>
                                        </w:rPr>
                                        <w:t>Τογκουσίδης Αναστάσιος</w:t>
                                      </w:r>
                                    </w:p>
                                  </w:sdtContent>
                                </w:sdt>
                                <w:sdt>
                                  <w:sdtPr>
                                    <w:rPr>
                                      <w:color w:val="000000" w:themeColor="text1"/>
                                    </w:rPr>
                                    <w:alias w:val="Company"/>
                                    <w:id w:val="1760174317"/>
                                    <w:dataBinding w:prefixMappings="xmlns:ns0='http://schemas.openxmlformats.org/officeDocument/2006/extended-properties'" w:xpath="/ns0:Properties[1]/ns0:Company[1]" w:storeItemID="{6668398D-A668-4E3E-A5EB-62B293D839F1}"/>
                                    <w:text/>
                                  </w:sdtPr>
                                  <w:sdtEndPr/>
                                  <w:sdtContent>
                                    <w:p w14:paraId="014E47B8" w14:textId="470D2A4F" w:rsidR="003D0505" w:rsidRPr="00EA3AF9" w:rsidRDefault="003D0505">
                                      <w:pPr>
                                        <w:pStyle w:val="NoSpacing"/>
                                        <w:spacing w:line="360" w:lineRule="auto"/>
                                        <w:rPr>
                                          <w:color w:val="000000" w:themeColor="text1"/>
                                        </w:rPr>
                                      </w:pPr>
                                      <w:r w:rsidRPr="00EA3AF9">
                                        <w:rPr>
                                          <w:color w:val="000000" w:themeColor="text1"/>
                                          <w:lang w:val="el-GR"/>
                                        </w:rPr>
                                        <w:t>ΑΕΜ: 8920</w:t>
                                      </w:r>
                                    </w:p>
                                  </w:sdtContent>
                                </w:sdt>
                                <w:p w14:paraId="3321FCDD" w14:textId="5AE33DEA" w:rsidR="003D0505" w:rsidRPr="00EA3AF9" w:rsidRDefault="003D0505">
                                  <w:pPr>
                                    <w:pStyle w:val="NoSpacing"/>
                                    <w:spacing w:line="360" w:lineRule="auto"/>
                                    <w:rPr>
                                      <w:color w:val="000000" w:themeColor="text1"/>
                                    </w:rPr>
                                  </w:pPr>
                                  <w:r>
                                    <w:rPr>
                                      <w:color w:val="000000" w:themeColor="text1"/>
                                    </w:rPr>
                                    <w:t>01</w:t>
                                  </w:r>
                                  <w:r w:rsidRPr="00EA3AF9">
                                    <w:rPr>
                                      <w:color w:val="000000" w:themeColor="text1"/>
                                      <w:lang w:val="el-GR"/>
                                    </w:rPr>
                                    <w:t>/</w:t>
                                  </w:r>
                                  <w:r>
                                    <w:rPr>
                                      <w:color w:val="000000" w:themeColor="text1"/>
                                    </w:rPr>
                                    <w:t>8</w:t>
                                  </w:r>
                                  <w:r w:rsidRPr="00EA3AF9">
                                    <w:rPr>
                                      <w:color w:val="000000" w:themeColor="text1"/>
                                    </w:rPr>
                                    <w:t>/2019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A475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14T00:00:00Z">
                                <w:dateFormat w:val="yyyy"/>
                                <w:lid w:val="en-US"/>
                                <w:storeMappedDataAs w:val="dateTime"/>
                                <w:calendar w:val="gregorian"/>
                              </w:date>
                            </w:sdtPr>
                            <w:sdtEndPr/>
                            <w:sdtContent>
                              <w:p w14:paraId="0608FC0E" w14:textId="7AA90E84" w:rsidR="003D0505" w:rsidRDefault="003D0505">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37A2E49" w14:textId="313C9676" w:rsidR="003D0505" w:rsidRPr="00EA3AF9" w:rsidRDefault="003D0505">
                                <w:pPr>
                                  <w:pStyle w:val="NoSpacing"/>
                                  <w:spacing w:line="360" w:lineRule="auto"/>
                                  <w:rPr>
                                    <w:color w:val="000000" w:themeColor="text1"/>
                                  </w:rPr>
                                </w:pPr>
                                <w:r w:rsidRPr="00EA3AF9">
                                  <w:rPr>
                                    <w:color w:val="000000" w:themeColor="text1"/>
                                    <w:lang w:val="el-GR"/>
                                  </w:rPr>
                                  <w:t>Τογκουσίδης Αναστάσιος</w:t>
                                </w:r>
                              </w:p>
                            </w:sdtContent>
                          </w:sdt>
                          <w:sdt>
                            <w:sdtPr>
                              <w:rPr>
                                <w:color w:val="000000" w:themeColor="text1"/>
                              </w:rPr>
                              <w:alias w:val="Company"/>
                              <w:id w:val="1760174317"/>
                              <w:dataBinding w:prefixMappings="xmlns:ns0='http://schemas.openxmlformats.org/officeDocument/2006/extended-properties'" w:xpath="/ns0:Properties[1]/ns0:Company[1]" w:storeItemID="{6668398D-A668-4E3E-A5EB-62B293D839F1}"/>
                              <w:text/>
                            </w:sdtPr>
                            <w:sdtEndPr/>
                            <w:sdtContent>
                              <w:p w14:paraId="014E47B8" w14:textId="470D2A4F" w:rsidR="003D0505" w:rsidRPr="00EA3AF9" w:rsidRDefault="003D0505">
                                <w:pPr>
                                  <w:pStyle w:val="NoSpacing"/>
                                  <w:spacing w:line="360" w:lineRule="auto"/>
                                  <w:rPr>
                                    <w:color w:val="000000" w:themeColor="text1"/>
                                  </w:rPr>
                                </w:pPr>
                                <w:r w:rsidRPr="00EA3AF9">
                                  <w:rPr>
                                    <w:color w:val="000000" w:themeColor="text1"/>
                                    <w:lang w:val="el-GR"/>
                                  </w:rPr>
                                  <w:t>ΑΕΜ: 8920</w:t>
                                </w:r>
                              </w:p>
                            </w:sdtContent>
                          </w:sdt>
                          <w:p w14:paraId="3321FCDD" w14:textId="5AE33DEA" w:rsidR="003D0505" w:rsidRPr="00EA3AF9" w:rsidRDefault="003D0505">
                            <w:pPr>
                              <w:pStyle w:val="NoSpacing"/>
                              <w:spacing w:line="360" w:lineRule="auto"/>
                              <w:rPr>
                                <w:color w:val="000000" w:themeColor="text1"/>
                              </w:rPr>
                            </w:pPr>
                            <w:r>
                              <w:rPr>
                                <w:color w:val="000000" w:themeColor="text1"/>
                              </w:rPr>
                              <w:t>01</w:t>
                            </w:r>
                            <w:r w:rsidRPr="00EA3AF9">
                              <w:rPr>
                                <w:color w:val="000000" w:themeColor="text1"/>
                                <w:lang w:val="el-GR"/>
                              </w:rPr>
                              <w:t>/</w:t>
                            </w:r>
                            <w:r>
                              <w:rPr>
                                <w:color w:val="000000" w:themeColor="text1"/>
                              </w:rPr>
                              <w:t>8</w:t>
                            </w:r>
                            <w:r w:rsidRPr="00EA3AF9">
                              <w:rPr>
                                <w:color w:val="000000" w:themeColor="text1"/>
                              </w:rPr>
                              <w:t>/2019</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5536F28" wp14:editId="1BBFBED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75000"/>
                              </a:schemeClr>
                            </a:solidFill>
                            <a:ln w="19050">
                              <a:solidFill>
                                <a:schemeClr val="accent1">
                                  <a:lumMod val="75000"/>
                                </a:schemeClr>
                              </a:solidFill>
                              <a:miter lim="800000"/>
                              <a:headEnd/>
                              <a:tailEnd/>
                            </a:ln>
                          </wps:spPr>
                          <wps:txbx>
                            <w:txbxContent>
                              <w:p w14:paraId="0F74CF9C" w14:textId="031FC609" w:rsidR="003D0505" w:rsidRDefault="00880818">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3D0505">
                                      <w:rPr>
                                        <w:color w:val="FFFFFF" w:themeColor="background1"/>
                                        <w:sz w:val="72"/>
                                        <w:szCs w:val="72"/>
                                        <w:lang w:val="el-GR"/>
                                      </w:rPr>
                                      <w:t>Ασαφή Συστήματα – Εργασία ΙΙ</w:t>
                                    </w:r>
                                  </w:sdtContent>
                                </w:sdt>
                                <w:r w:rsidR="003D0505">
                                  <w:rPr>
                                    <w:color w:val="FFFFFF" w:themeColor="background1"/>
                                    <w:sz w:val="72"/>
                                    <w:szCs w:val="72"/>
                                  </w:rPr>
                                  <w:t>I</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5536F2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" o:allowincell="f" fillcolor="#2f5496 [2404]" strokecolor="#2f5496 [2404]" strokeweight="1.5pt">
                    <v:textbox style="mso-fit-shape-to-text:t" inset="14.4pt,,14.4pt">
                      <w:txbxContent>
                        <w:p w14:paraId="0F74CF9C" w14:textId="031FC609" w:rsidR="003D0505" w:rsidRDefault="00880818">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3D0505">
                                <w:rPr>
                                  <w:color w:val="FFFFFF" w:themeColor="background1"/>
                                  <w:sz w:val="72"/>
                                  <w:szCs w:val="72"/>
                                  <w:lang w:val="el-GR"/>
                                </w:rPr>
                                <w:t>Ασαφή Συστήματα – Εργασία ΙΙ</w:t>
                              </w:r>
                            </w:sdtContent>
                          </w:sdt>
                          <w:r w:rsidR="003D0505">
                            <w:rPr>
                              <w:color w:val="FFFFFF" w:themeColor="background1"/>
                              <w:sz w:val="72"/>
                              <w:szCs w:val="72"/>
                            </w:rPr>
                            <w:t>I</w:t>
                          </w:r>
                        </w:p>
                      </w:txbxContent>
                    </v:textbox>
                    <w10:wrap anchorx="page" anchory="page"/>
                  </v:rect>
                </w:pict>
              </mc:Fallback>
            </mc:AlternateContent>
          </w:r>
        </w:p>
        <w:p w14:paraId="4AACE341" w14:textId="425CF737" w:rsidR="00605D51" w:rsidRPr="003D0505" w:rsidRDefault="00EA3AF9" w:rsidP="00605D51">
          <w:pPr>
            <w:pStyle w:val="Heading1"/>
          </w:pPr>
          <w:r>
            <w:rPr>
              <w:noProof/>
            </w:rPr>
            <w:drawing>
              <wp:anchor distT="0" distB="0" distL="114300" distR="114300" simplePos="0" relativeHeight="251660288" behindDoc="0" locked="0" layoutInCell="0" allowOverlap="1" wp14:anchorId="281F0EAA" wp14:editId="7A133F23">
                <wp:simplePos x="0" y="0"/>
                <wp:positionH relativeFrom="page">
                  <wp:posOffset>1984664</wp:posOffset>
                </wp:positionH>
                <wp:positionV relativeFrom="page">
                  <wp:posOffset>3429000</wp:posOffset>
                </wp:positionV>
                <wp:extent cx="5344391" cy="3049270"/>
                <wp:effectExtent l="152400" t="152400" r="161290" b="17018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9559" cy="306933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br w:type="page"/>
          </w:r>
          <w:r w:rsidR="003D0505">
            <w:lastRenderedPageBreak/>
            <w:t>Πρώτο μέρος</w:t>
          </w:r>
        </w:p>
        <w:p w14:paraId="0CAF902C" w14:textId="4727D21F" w:rsidR="00335AE8" w:rsidRDefault="00605D51" w:rsidP="0006248C">
          <w:pPr>
            <w:jc w:val="both"/>
            <w:rPr>
              <w:rFonts w:ascii="Cambria Math" w:hAnsi="Cambria Math"/>
              <w:i/>
            </w:rPr>
          </w:pPr>
          <w:r>
            <w:t xml:space="preserve">Η </w:t>
          </w:r>
          <w:r w:rsidR="003D0505">
            <w:t>τρίτη</w:t>
          </w:r>
          <w:r>
            <w:t xml:space="preserve"> εργασία πο</w:t>
          </w:r>
          <w:r w:rsidR="0006248C">
            <w:t>υ μ</w:t>
          </w:r>
          <w:r>
            <w:t xml:space="preserve">ου ανατέθηκε είναι η </w:t>
          </w:r>
          <w:r w:rsidR="0006248C">
            <w:rPr>
              <w:b/>
              <w:bCs/>
              <w:lang w:val="en-US"/>
            </w:rPr>
            <w:t>Group</w:t>
          </w:r>
          <w:r w:rsidR="0006248C" w:rsidRPr="0006248C">
            <w:rPr>
              <w:b/>
              <w:bCs/>
            </w:rPr>
            <w:t xml:space="preserve"> 3</w:t>
          </w:r>
          <w:r w:rsidR="00AF5B9E" w:rsidRPr="00AF5B9E">
            <w:rPr>
              <w:b/>
              <w:bCs/>
            </w:rPr>
            <w:t xml:space="preserve"> </w:t>
          </w:r>
          <w:r w:rsidR="0006248C">
            <w:rPr>
              <w:b/>
              <w:bCs/>
              <w:lang w:val="en-US"/>
            </w:rPr>
            <w:t>Set</w:t>
          </w:r>
          <w:r w:rsidRPr="00605D51">
            <w:rPr>
              <w:b/>
              <w:bCs/>
            </w:rPr>
            <w:t xml:space="preserve"> </w:t>
          </w:r>
          <w:r w:rsidR="0006248C" w:rsidRPr="0006248C">
            <w:rPr>
              <w:b/>
              <w:bCs/>
            </w:rPr>
            <w:t>1</w:t>
          </w:r>
          <w:r>
            <w:t xml:space="preserve">. </w:t>
          </w:r>
          <w:r w:rsidR="0006248C">
            <w:t xml:space="preserve">Η εργασία διερευνά την ικανότητα των μοντέλων </w:t>
          </w:r>
          <w:r w:rsidR="0006248C">
            <w:rPr>
              <w:lang w:val="en-US"/>
            </w:rPr>
            <w:t>TSK</w:t>
          </w:r>
          <w:r w:rsidR="0006248C" w:rsidRPr="0006248C">
            <w:t xml:space="preserve"> </w:t>
          </w:r>
          <w:r w:rsidR="0006248C">
            <w:t xml:space="preserve">να μοντελοποιούν μη γραμμικές συναρτήσεις πολλών μεταβλητών. Στο πρώτο μέρος της εργασίας επιλέγεται από το </w:t>
          </w:r>
          <w:r w:rsidR="0006248C">
            <w:rPr>
              <w:lang w:val="en-US"/>
            </w:rPr>
            <w:t>UCI</w:t>
          </w:r>
          <w:r w:rsidR="0006248C" w:rsidRPr="0006248C">
            <w:t xml:space="preserve"> </w:t>
          </w:r>
          <w:r w:rsidR="0006248C">
            <w:rPr>
              <w:lang w:val="en-US"/>
            </w:rPr>
            <w:t>Repository</w:t>
          </w:r>
          <w:r w:rsidR="0006248C">
            <w:t xml:space="preserve"> το </w:t>
          </w:r>
          <w:r w:rsidR="0006248C">
            <w:br/>
            <w:t>Cobined</w:t>
          </w:r>
          <w:r w:rsidR="0006248C" w:rsidRPr="0006248C">
            <w:t xml:space="preserve"> </w:t>
          </w:r>
          <w:r w:rsidR="0006248C">
            <w:t>Cycle</w:t>
          </w:r>
          <w:r w:rsidR="0006248C" w:rsidRPr="0006248C">
            <w:t xml:space="preserve"> </w:t>
          </w:r>
          <w:r w:rsidR="0006248C">
            <w:t>Power</w:t>
          </w:r>
          <w:r w:rsidR="0006248C" w:rsidRPr="0006248C">
            <w:t xml:space="preserve"> </w:t>
          </w:r>
          <w:r w:rsidR="0006248C">
            <w:t>Plant</w:t>
          </w:r>
          <w:r w:rsidR="0006248C" w:rsidRPr="0006248C">
            <w:t xml:space="preserve"> </w:t>
          </w:r>
          <w:r w:rsidR="0006248C">
            <w:t>(CCPP)</w:t>
          </w:r>
          <w:r w:rsidR="0006248C" w:rsidRPr="0006248C">
            <w:t xml:space="preserve"> </w:t>
          </w:r>
          <w:r w:rsidR="0006248C">
            <w:t>dataset</w:t>
          </w:r>
          <w:r w:rsidR="0006248C" w:rsidRPr="0006248C">
            <w:t xml:space="preserve"> </w:t>
          </w:r>
          <w:r w:rsidR="0006248C">
            <w:t xml:space="preserve">το οποίο περιλαμβάνει 9568 </w:t>
          </w:r>
          <w:r w:rsidR="0006248C">
            <w:rPr>
              <w:lang w:val="en-US"/>
            </w:rPr>
            <w:t>instances</w:t>
          </w:r>
          <w:r w:rsidR="0006248C">
            <w:t xml:space="preserve"> και 4 </w:t>
          </w:r>
          <w:r w:rsidR="0006248C">
            <w:rPr>
              <w:lang w:val="en-US"/>
            </w:rPr>
            <w:t>features</w:t>
          </w:r>
          <w:r w:rsidR="0006248C" w:rsidRPr="0006248C">
            <w:t xml:space="preserve">. </w:t>
          </w:r>
          <w:r w:rsidR="0006248C">
            <w:t>Από εκφωνήσεις</w:t>
          </w:r>
          <w:r w:rsidR="00AD4799" w:rsidRPr="00AD4799">
            <w:t xml:space="preserve"> </w:t>
          </w:r>
          <w:r w:rsidR="00AD4799">
            <w:t>εργασιών</w:t>
          </w:r>
          <w:r w:rsidR="0006248C">
            <w:t xml:space="preserve"> παλαιότερων ε</w:t>
          </w:r>
          <w:r w:rsidR="00AD4799">
            <w:t>τών</w:t>
          </w:r>
          <w:r w:rsidR="0006248C">
            <w:t xml:space="preserve"> που χρησιμοποιούσαν το εν λόγω </w:t>
          </w:r>
          <w:r w:rsidR="0006248C">
            <w:rPr>
              <w:lang w:val="en-US"/>
            </w:rPr>
            <w:t>data</w:t>
          </w:r>
          <w:r w:rsidR="0006248C" w:rsidRPr="0006248C">
            <w:t xml:space="preserve"> </w:t>
          </w:r>
          <w:r w:rsidR="0006248C">
            <w:rPr>
              <w:lang w:val="en-US"/>
            </w:rPr>
            <w:t>set</w:t>
          </w:r>
          <w:r w:rsidR="0006248C">
            <w:t xml:space="preserve"> φαίνεται πως </w:t>
          </w:r>
          <w:r w:rsidR="00AD4799">
            <w:t xml:space="preserve">τα </w:t>
          </w:r>
          <w:r w:rsidR="0006248C">
            <w:t>δεδομένα συλλέχθηκαν από ένα εργοστάσιο παραγωγής ηλεκτρικής ενέργειας κατά τη διάρκεια 6 ετών και χαρακτηρίζονται από τις εξής τέσσερις μεταβλητές:</w:t>
          </w:r>
        </w:p>
      </w:sdtContent>
    </w:sdt>
    <w:p w14:paraId="02B85617" w14:textId="6B7E26F9" w:rsidR="0006248C" w:rsidRPr="0006248C" w:rsidRDefault="0006248C" w:rsidP="0006248C">
      <w:pPr>
        <w:pStyle w:val="ListParagraph"/>
        <w:numPr>
          <w:ilvl w:val="0"/>
          <w:numId w:val="5"/>
        </w:numPr>
        <w:jc w:val="both"/>
        <w:rPr>
          <w:rFonts w:eastAsiaTheme="minorEastAsia"/>
          <w:iCs/>
        </w:rPr>
      </w:pPr>
      <w:r>
        <w:rPr>
          <w:iCs/>
        </w:rPr>
        <w:t xml:space="preserve">Μέση ωριαία θερμοκρασία </w:t>
      </w:r>
      <m:oMath>
        <m:r>
          <w:rPr>
            <w:rFonts w:ascii="Cambria Math" w:hAnsi="Cambria Math"/>
            <w:lang w:val="en-US"/>
          </w:rPr>
          <m:t>T</m:t>
        </m:r>
      </m:oMath>
    </w:p>
    <w:p w14:paraId="61AA190A" w14:textId="009294E1" w:rsidR="0006248C" w:rsidRPr="0006248C" w:rsidRDefault="0006248C" w:rsidP="0006248C">
      <w:pPr>
        <w:pStyle w:val="ListParagraph"/>
        <w:numPr>
          <w:ilvl w:val="0"/>
          <w:numId w:val="5"/>
        </w:numPr>
        <w:jc w:val="both"/>
        <w:rPr>
          <w:rFonts w:eastAsiaTheme="minorEastAsia"/>
          <w:iCs/>
        </w:rPr>
      </w:pPr>
      <w:r>
        <w:rPr>
          <w:rFonts w:eastAsiaTheme="minorEastAsia"/>
          <w:iCs/>
        </w:rPr>
        <w:t xml:space="preserve">Μέση ωριαία πίεση </w:t>
      </w:r>
      <m:oMath>
        <m:r>
          <w:rPr>
            <w:rFonts w:ascii="Cambria Math" w:eastAsiaTheme="minorEastAsia" w:hAnsi="Cambria Math"/>
            <w:lang w:val="en-US"/>
          </w:rPr>
          <m:t>AP</m:t>
        </m:r>
      </m:oMath>
    </w:p>
    <w:p w14:paraId="126626AD" w14:textId="73BFC7A3" w:rsidR="0006248C" w:rsidRPr="0006248C" w:rsidRDefault="0006248C" w:rsidP="0006248C">
      <w:pPr>
        <w:pStyle w:val="ListParagraph"/>
        <w:numPr>
          <w:ilvl w:val="0"/>
          <w:numId w:val="5"/>
        </w:numPr>
        <w:jc w:val="both"/>
        <w:rPr>
          <w:rFonts w:eastAsiaTheme="minorEastAsia"/>
          <w:iCs/>
        </w:rPr>
      </w:pPr>
      <w:r>
        <w:rPr>
          <w:rFonts w:eastAsiaTheme="minorEastAsia"/>
          <w:iCs/>
        </w:rPr>
        <w:t xml:space="preserve">Μέση ωριαία σχετική υγρασία </w:t>
      </w:r>
      <m:oMath>
        <m:r>
          <w:rPr>
            <w:rFonts w:ascii="Cambria Math" w:eastAsiaTheme="minorEastAsia" w:hAnsi="Cambria Math"/>
            <w:lang w:val="en-US"/>
          </w:rPr>
          <m:t>RH</m:t>
        </m:r>
      </m:oMath>
    </w:p>
    <w:p w14:paraId="1F5AB1D3" w14:textId="70DE9B9B" w:rsidR="0006248C" w:rsidRPr="00851296" w:rsidRDefault="0006248C" w:rsidP="0006248C">
      <w:pPr>
        <w:pStyle w:val="ListParagraph"/>
        <w:numPr>
          <w:ilvl w:val="0"/>
          <w:numId w:val="5"/>
        </w:numPr>
        <w:jc w:val="both"/>
        <w:rPr>
          <w:rFonts w:eastAsiaTheme="minorEastAsia"/>
          <w:iCs/>
        </w:rPr>
      </w:pPr>
      <w:r>
        <w:rPr>
          <w:rFonts w:eastAsiaTheme="minorEastAsia"/>
          <w:iCs/>
        </w:rPr>
        <w:t>Μέση ωριαία αποβολή καυ</w:t>
      </w:r>
      <w:r w:rsidR="00851296">
        <w:rPr>
          <w:rFonts w:eastAsiaTheme="minorEastAsia"/>
          <w:iCs/>
        </w:rPr>
        <w:t xml:space="preserve">σαερίων </w:t>
      </w:r>
      <m:oMath>
        <m:r>
          <w:rPr>
            <w:rFonts w:ascii="Cambria Math" w:eastAsiaTheme="minorEastAsia" w:hAnsi="Cambria Math"/>
            <w:lang w:val="en-US"/>
          </w:rPr>
          <m:t>V</m:t>
        </m:r>
      </m:oMath>
    </w:p>
    <w:p w14:paraId="126A214E" w14:textId="4F8D0EFC" w:rsidR="00851296" w:rsidRDefault="00851296" w:rsidP="00851296">
      <w:pPr>
        <w:jc w:val="both"/>
        <w:rPr>
          <w:rFonts w:eastAsiaTheme="minorEastAsia"/>
          <w:iCs/>
        </w:rPr>
      </w:pPr>
      <w:r>
        <w:rPr>
          <w:rFonts w:eastAsiaTheme="minorEastAsia"/>
          <w:iCs/>
        </w:rPr>
        <w:t xml:space="preserve">Η μεταβλητή που θεωρείται έξοδος στο σύστημα είναι η ενεργειακή απόδοση του σταθμού. Αρχικά, το σύνολο των δεδομένων διαχωρίζεται σε τρία, μη επικαλυπτόμενα υποσύνολα, το σύνολο εκπαίδευσης </w:t>
      </w:r>
      <m:oMath>
        <m:sSub>
          <m:sSubPr>
            <m:ctrlPr>
              <w:rPr>
                <w:rFonts w:ascii="Cambria Math" w:eastAsiaTheme="minorEastAsia" w:hAnsi="Cambria Math"/>
                <w:i/>
                <w:iCs/>
              </w:rPr>
            </m:ctrlPr>
          </m:sSubPr>
          <m:e>
            <m:r>
              <w:rPr>
                <w:rFonts w:ascii="Cambria Math" w:eastAsiaTheme="minorEastAsia" w:hAnsi="Cambria Math"/>
                <w:lang w:val="en-US"/>
              </w:rPr>
              <m:t>D</m:t>
            </m:r>
            <m:ctrlPr>
              <w:rPr>
                <w:rFonts w:ascii="Cambria Math" w:eastAsiaTheme="minorEastAsia" w:hAnsi="Cambria Math"/>
                <w:i/>
                <w:iCs/>
                <w:lang w:val="en-US"/>
              </w:rPr>
            </m:ctrlPr>
          </m:e>
          <m:sub>
            <m:r>
              <w:rPr>
                <w:rFonts w:ascii="Cambria Math" w:eastAsiaTheme="minorEastAsia" w:hAnsi="Cambria Math"/>
                <w:lang w:val="en-US"/>
              </w:rPr>
              <m:t>trn</m:t>
            </m:r>
          </m:sub>
        </m:sSub>
      </m:oMath>
      <w:r w:rsidRPr="00851296">
        <w:rPr>
          <w:rFonts w:eastAsiaTheme="minorEastAsia"/>
          <w:iCs/>
        </w:rPr>
        <w:t xml:space="preserve"> (</w:t>
      </w:r>
      <m:oMath>
        <m:r>
          <w:rPr>
            <w:rFonts w:ascii="Cambria Math" w:eastAsiaTheme="minorEastAsia" w:hAnsi="Cambria Math"/>
          </w:rPr>
          <m:t>60%</m:t>
        </m:r>
      </m:oMath>
      <w:r w:rsidRPr="00851296">
        <w:rPr>
          <w:rFonts w:eastAsiaTheme="minorEastAsia"/>
          <w:iCs/>
        </w:rPr>
        <w:t xml:space="preserve"> </w:t>
      </w:r>
      <w:r>
        <w:rPr>
          <w:rFonts w:eastAsiaTheme="minorEastAsia"/>
          <w:iCs/>
        </w:rPr>
        <w:t>των δειγμάτων</w:t>
      </w:r>
      <w:r w:rsidRPr="00851296">
        <w:rPr>
          <w:rFonts w:eastAsiaTheme="minorEastAsia"/>
          <w:iCs/>
        </w:rPr>
        <w:t xml:space="preserve">), </w:t>
      </w:r>
      <w:r>
        <w:rPr>
          <w:rFonts w:eastAsiaTheme="minorEastAsia"/>
          <w:iCs/>
        </w:rPr>
        <w:t xml:space="preserve">το σύνολο επικύρωσης </w:t>
      </w:r>
      <m:oMath>
        <m:sSub>
          <m:sSubPr>
            <m:ctrlPr>
              <w:rPr>
                <w:rFonts w:ascii="Cambria Math" w:eastAsiaTheme="minorEastAsia" w:hAnsi="Cambria Math"/>
                <w:i/>
                <w:iCs/>
              </w:rPr>
            </m:ctrlPr>
          </m:sSubPr>
          <m:e>
            <m:r>
              <w:rPr>
                <w:rFonts w:ascii="Cambria Math" w:eastAsiaTheme="minorEastAsia" w:hAnsi="Cambria Math"/>
                <w:lang w:val="en-US"/>
              </w:rPr>
              <m:t>D</m:t>
            </m:r>
            <m:ctrlPr>
              <w:rPr>
                <w:rFonts w:ascii="Cambria Math" w:eastAsiaTheme="minorEastAsia" w:hAnsi="Cambria Math"/>
                <w:i/>
                <w:iCs/>
                <w:lang w:val="en-US"/>
              </w:rPr>
            </m:ctrlPr>
          </m:e>
          <m:sub>
            <m:r>
              <w:rPr>
                <w:rFonts w:ascii="Cambria Math" w:eastAsiaTheme="minorEastAsia" w:hAnsi="Cambria Math"/>
                <w:lang w:val="en-US"/>
              </w:rPr>
              <m:t>val</m:t>
            </m:r>
          </m:sub>
        </m:sSub>
      </m:oMath>
      <w:r w:rsidRPr="00851296">
        <w:rPr>
          <w:rFonts w:eastAsiaTheme="minorEastAsia"/>
          <w:iCs/>
        </w:rPr>
        <w:t xml:space="preserve"> </w:t>
      </w:r>
      <w:r>
        <w:rPr>
          <w:rFonts w:eastAsiaTheme="minorEastAsia"/>
          <w:iCs/>
        </w:rPr>
        <w:t>(</w:t>
      </w:r>
      <m:oMath>
        <m:r>
          <w:rPr>
            <w:rFonts w:ascii="Cambria Math" w:eastAsiaTheme="minorEastAsia" w:hAnsi="Cambria Math"/>
          </w:rPr>
          <m:t>20%</m:t>
        </m:r>
      </m:oMath>
      <w:r>
        <w:rPr>
          <w:rFonts w:eastAsiaTheme="minorEastAsia"/>
          <w:iCs/>
        </w:rPr>
        <w:t xml:space="preserve"> των δειγμάτων) και το σύνολο ελέγχου </w:t>
      </w:r>
      <m:oMath>
        <m:sSub>
          <m:sSubPr>
            <m:ctrlPr>
              <w:rPr>
                <w:rFonts w:ascii="Cambria Math" w:eastAsiaTheme="minorEastAsia" w:hAnsi="Cambria Math"/>
                <w:i/>
                <w:iCs/>
              </w:rPr>
            </m:ctrlPr>
          </m:sSubPr>
          <m:e>
            <m:r>
              <w:rPr>
                <w:rFonts w:ascii="Cambria Math" w:eastAsiaTheme="minorEastAsia" w:hAnsi="Cambria Math"/>
                <w:lang w:val="en-US"/>
              </w:rPr>
              <m:t>D</m:t>
            </m:r>
            <m:ctrlPr>
              <w:rPr>
                <w:rFonts w:ascii="Cambria Math" w:eastAsiaTheme="minorEastAsia" w:hAnsi="Cambria Math"/>
                <w:i/>
                <w:iCs/>
                <w:lang w:val="en-US"/>
              </w:rPr>
            </m:ctrlPr>
          </m:e>
          <m:sub>
            <m:r>
              <w:rPr>
                <w:rFonts w:ascii="Cambria Math" w:eastAsiaTheme="minorEastAsia" w:hAnsi="Cambria Math"/>
                <w:lang w:val="en-US"/>
              </w:rPr>
              <m:t>c</m:t>
            </m:r>
            <m:r>
              <w:rPr>
                <w:rFonts w:ascii="Cambria Math" w:eastAsiaTheme="minorEastAsia" w:hAnsi="Cambria Math"/>
              </w:rPr>
              <m:t>h</m:t>
            </m:r>
            <m:r>
              <w:rPr>
                <w:rFonts w:ascii="Cambria Math" w:eastAsiaTheme="minorEastAsia" w:hAnsi="Cambria Math"/>
                <w:lang w:val="en-US"/>
              </w:rPr>
              <m:t>k</m:t>
            </m:r>
          </m:sub>
        </m:sSub>
      </m:oMath>
      <w:r>
        <w:rPr>
          <w:rFonts w:eastAsiaTheme="minorEastAsia"/>
          <w:iCs/>
        </w:rPr>
        <w:t xml:space="preserve"> (</w:t>
      </w:r>
      <m:oMath>
        <m:r>
          <w:rPr>
            <w:rFonts w:ascii="Cambria Math" w:eastAsiaTheme="minorEastAsia" w:hAnsi="Cambria Math"/>
          </w:rPr>
          <m:t>20%</m:t>
        </m:r>
      </m:oMath>
      <w:r>
        <w:rPr>
          <w:rFonts w:eastAsiaTheme="minorEastAsia"/>
          <w:iCs/>
        </w:rPr>
        <w:t xml:space="preserve"> των δειγμάτων)</w:t>
      </w:r>
      <w:r w:rsidRPr="00851296">
        <w:rPr>
          <w:rFonts w:eastAsiaTheme="minorEastAsia"/>
          <w:iCs/>
        </w:rPr>
        <w:t>.</w:t>
      </w:r>
      <w:r>
        <w:rPr>
          <w:rFonts w:eastAsiaTheme="minorEastAsia"/>
          <w:iCs/>
        </w:rPr>
        <w:t xml:space="preserve"> Να σημειωθεί πως το αρχικό σύνολο των δειγμάτων αναδιατάσεται με τυχαίο τρόπο πριν διαμεριστεί στα επί μέρους σύνολα.</w:t>
      </w:r>
      <w:r w:rsidRPr="00851296">
        <w:rPr>
          <w:rFonts w:eastAsiaTheme="minorEastAsia"/>
          <w:iCs/>
        </w:rPr>
        <w:t xml:space="preserve"> </w:t>
      </w:r>
      <w:r>
        <w:rPr>
          <w:rFonts w:eastAsiaTheme="minorEastAsia"/>
          <w:iCs/>
        </w:rPr>
        <w:t xml:space="preserve"> Ζητείται να εκπαιδευτούν και να συγκριθούν 4 διαφοτερικά </w:t>
      </w:r>
      <w:r>
        <w:rPr>
          <w:rFonts w:eastAsiaTheme="minorEastAsia"/>
          <w:iCs/>
          <w:lang w:val="en-US"/>
        </w:rPr>
        <w:t>TSK</w:t>
      </w:r>
      <w:r w:rsidRPr="00851296">
        <w:rPr>
          <w:rFonts w:eastAsiaTheme="minorEastAsia"/>
          <w:iCs/>
        </w:rPr>
        <w:t xml:space="preserve"> </w:t>
      </w:r>
      <w:r>
        <w:rPr>
          <w:rFonts w:eastAsiaTheme="minorEastAsia"/>
          <w:iCs/>
        </w:rPr>
        <w:t>μοντέλα που παρουσιάζονται στον πίνακα</w:t>
      </w:r>
      <w:r w:rsidR="006368B7">
        <w:rPr>
          <w:rFonts w:eastAsiaTheme="minorEastAsia"/>
          <w:iCs/>
        </w:rPr>
        <w:t xml:space="preserve"> 1</w:t>
      </w:r>
      <w:r>
        <w:rPr>
          <w:rFonts w:eastAsiaTheme="minorEastAsia"/>
          <w:iCs/>
        </w:rPr>
        <w:t>:</w:t>
      </w:r>
    </w:p>
    <w:tbl>
      <w:tblPr>
        <w:tblStyle w:val="TableGrid"/>
        <w:tblW w:w="0" w:type="auto"/>
        <w:jc w:val="center"/>
        <w:tblLook w:val="04A0" w:firstRow="1" w:lastRow="0" w:firstColumn="1" w:lastColumn="0" w:noHBand="0" w:noVBand="1"/>
      </w:tblPr>
      <w:tblGrid>
        <w:gridCol w:w="2074"/>
        <w:gridCol w:w="2074"/>
        <w:gridCol w:w="2074"/>
      </w:tblGrid>
      <w:tr w:rsidR="00851296" w14:paraId="12D3CF1B" w14:textId="77777777" w:rsidTr="006368B7">
        <w:trPr>
          <w:jc w:val="center"/>
        </w:trPr>
        <w:tc>
          <w:tcPr>
            <w:tcW w:w="2074" w:type="dxa"/>
            <w:tcBorders>
              <w:top w:val="nil"/>
              <w:left w:val="nil"/>
              <w:bottom w:val="single" w:sz="4" w:space="0" w:color="auto"/>
              <w:right w:val="nil"/>
            </w:tcBorders>
          </w:tcPr>
          <w:p w14:paraId="78662B67" w14:textId="77777777" w:rsidR="00851296" w:rsidRDefault="00851296" w:rsidP="00851296">
            <w:pPr>
              <w:jc w:val="both"/>
              <w:rPr>
                <w:rFonts w:eastAsiaTheme="minorEastAsia"/>
                <w:iCs/>
              </w:rPr>
            </w:pPr>
          </w:p>
        </w:tc>
        <w:tc>
          <w:tcPr>
            <w:tcW w:w="2074" w:type="dxa"/>
            <w:tcBorders>
              <w:left w:val="nil"/>
            </w:tcBorders>
            <w:shd w:val="clear" w:color="auto" w:fill="8EAADB" w:themeFill="accent1" w:themeFillTint="99"/>
          </w:tcPr>
          <w:p w14:paraId="029BF3E0" w14:textId="1EF9AA63" w:rsidR="00851296" w:rsidRPr="00851296" w:rsidRDefault="00851296" w:rsidP="00851296">
            <w:pPr>
              <w:jc w:val="center"/>
              <w:rPr>
                <w:rFonts w:eastAsiaTheme="minorEastAsia"/>
                <w:b/>
                <w:bCs/>
                <w:iCs/>
              </w:rPr>
            </w:pPr>
            <w:r w:rsidRPr="00851296">
              <w:rPr>
                <w:rFonts w:eastAsiaTheme="minorEastAsia"/>
                <w:b/>
                <w:bCs/>
                <w:iCs/>
              </w:rPr>
              <w:t>Πλήθος συναρτήσεων συμμετοχής</w:t>
            </w:r>
          </w:p>
        </w:tc>
        <w:tc>
          <w:tcPr>
            <w:tcW w:w="2074" w:type="dxa"/>
            <w:shd w:val="clear" w:color="auto" w:fill="8EAADB" w:themeFill="accent1" w:themeFillTint="99"/>
          </w:tcPr>
          <w:p w14:paraId="52360F3A" w14:textId="77777777" w:rsidR="00851296" w:rsidRDefault="00851296" w:rsidP="00851296">
            <w:pPr>
              <w:jc w:val="both"/>
              <w:rPr>
                <w:rFonts w:eastAsiaTheme="minorEastAsia"/>
                <w:iCs/>
              </w:rPr>
            </w:pPr>
          </w:p>
          <w:p w14:paraId="33E789C1" w14:textId="26101659" w:rsidR="00851296" w:rsidRPr="00851296" w:rsidRDefault="00851296" w:rsidP="00851296">
            <w:pPr>
              <w:jc w:val="center"/>
              <w:rPr>
                <w:rFonts w:eastAsiaTheme="minorEastAsia"/>
                <w:b/>
                <w:bCs/>
                <w:iCs/>
              </w:rPr>
            </w:pPr>
            <w:r w:rsidRPr="00851296">
              <w:rPr>
                <w:rFonts w:eastAsiaTheme="minorEastAsia"/>
                <w:b/>
                <w:bCs/>
                <w:iCs/>
              </w:rPr>
              <w:t>Μορφή εξόδου</w:t>
            </w:r>
          </w:p>
        </w:tc>
      </w:tr>
      <w:tr w:rsidR="00851296" w14:paraId="04023EB9" w14:textId="77777777" w:rsidTr="006368B7">
        <w:trPr>
          <w:jc w:val="center"/>
        </w:trPr>
        <w:tc>
          <w:tcPr>
            <w:tcW w:w="2074" w:type="dxa"/>
            <w:tcBorders>
              <w:top w:val="single" w:sz="4" w:space="0" w:color="auto"/>
            </w:tcBorders>
            <w:shd w:val="clear" w:color="auto" w:fill="8EAADB" w:themeFill="accent1" w:themeFillTint="99"/>
          </w:tcPr>
          <w:p w14:paraId="62BCF97A" w14:textId="7930F844" w:rsidR="00851296" w:rsidRPr="00851296" w:rsidRDefault="00851296" w:rsidP="00851296">
            <w:pPr>
              <w:jc w:val="center"/>
              <w:rPr>
                <w:rFonts w:eastAsiaTheme="minorEastAsia"/>
                <w:iCs/>
                <w:lang w:val="en-US"/>
              </w:rPr>
            </w:pPr>
            <w:r>
              <w:rPr>
                <w:rFonts w:eastAsiaTheme="minorEastAsia"/>
                <w:iCs/>
                <w:lang w:val="en-US"/>
              </w:rPr>
              <w:t>TSK model 1</w:t>
            </w:r>
          </w:p>
        </w:tc>
        <w:tc>
          <w:tcPr>
            <w:tcW w:w="2074" w:type="dxa"/>
          </w:tcPr>
          <w:p w14:paraId="06BB9FC8" w14:textId="2C6CB832" w:rsidR="00851296" w:rsidRPr="00851296" w:rsidRDefault="00851296" w:rsidP="00851296">
            <w:pPr>
              <w:jc w:val="center"/>
              <w:rPr>
                <w:rFonts w:eastAsiaTheme="minorEastAsia"/>
                <w:iCs/>
                <w:lang w:val="en-US"/>
              </w:rPr>
            </w:pPr>
            <w:r>
              <w:rPr>
                <w:rFonts w:eastAsiaTheme="minorEastAsia"/>
                <w:iCs/>
                <w:lang w:val="en-US"/>
              </w:rPr>
              <w:t>2</w:t>
            </w:r>
          </w:p>
        </w:tc>
        <w:tc>
          <w:tcPr>
            <w:tcW w:w="2074" w:type="dxa"/>
          </w:tcPr>
          <w:p w14:paraId="66ED62B1" w14:textId="3857A378" w:rsidR="00851296" w:rsidRPr="00851296" w:rsidRDefault="00851296" w:rsidP="00851296">
            <w:pPr>
              <w:jc w:val="center"/>
              <w:rPr>
                <w:rFonts w:eastAsiaTheme="minorEastAsia"/>
                <w:iCs/>
                <w:lang w:val="en-US"/>
              </w:rPr>
            </w:pPr>
            <w:r>
              <w:rPr>
                <w:rFonts w:eastAsiaTheme="minorEastAsia"/>
                <w:iCs/>
                <w:lang w:val="en-US"/>
              </w:rPr>
              <w:t>Singleton</w:t>
            </w:r>
          </w:p>
        </w:tc>
      </w:tr>
      <w:tr w:rsidR="00851296" w14:paraId="278ABC2B" w14:textId="77777777" w:rsidTr="006368B7">
        <w:trPr>
          <w:jc w:val="center"/>
        </w:trPr>
        <w:tc>
          <w:tcPr>
            <w:tcW w:w="2074" w:type="dxa"/>
            <w:shd w:val="clear" w:color="auto" w:fill="8EAADB" w:themeFill="accent1" w:themeFillTint="99"/>
          </w:tcPr>
          <w:p w14:paraId="43057BC4" w14:textId="5519AC8F" w:rsidR="00851296" w:rsidRPr="00851296" w:rsidRDefault="00851296" w:rsidP="00851296">
            <w:pPr>
              <w:jc w:val="center"/>
              <w:rPr>
                <w:rFonts w:eastAsiaTheme="minorEastAsia"/>
                <w:iCs/>
                <w:lang w:val="en-US"/>
              </w:rPr>
            </w:pPr>
            <w:r>
              <w:rPr>
                <w:rFonts w:eastAsiaTheme="minorEastAsia"/>
                <w:iCs/>
                <w:lang w:val="en-US"/>
              </w:rPr>
              <w:t>TSK model 2</w:t>
            </w:r>
          </w:p>
        </w:tc>
        <w:tc>
          <w:tcPr>
            <w:tcW w:w="2074" w:type="dxa"/>
          </w:tcPr>
          <w:p w14:paraId="4469D66F" w14:textId="0D120415" w:rsidR="00851296" w:rsidRPr="00851296" w:rsidRDefault="00851296" w:rsidP="00851296">
            <w:pPr>
              <w:jc w:val="center"/>
              <w:rPr>
                <w:rFonts w:eastAsiaTheme="minorEastAsia"/>
                <w:iCs/>
                <w:lang w:val="en-US"/>
              </w:rPr>
            </w:pPr>
            <w:r>
              <w:rPr>
                <w:rFonts w:eastAsiaTheme="minorEastAsia"/>
                <w:iCs/>
                <w:lang w:val="en-US"/>
              </w:rPr>
              <w:t>3</w:t>
            </w:r>
          </w:p>
        </w:tc>
        <w:tc>
          <w:tcPr>
            <w:tcW w:w="2074" w:type="dxa"/>
          </w:tcPr>
          <w:p w14:paraId="2B543E10" w14:textId="775F7BFD" w:rsidR="00851296" w:rsidRPr="00851296" w:rsidRDefault="00851296" w:rsidP="00851296">
            <w:pPr>
              <w:jc w:val="center"/>
              <w:rPr>
                <w:rFonts w:eastAsiaTheme="minorEastAsia"/>
                <w:iCs/>
                <w:lang w:val="en-US"/>
              </w:rPr>
            </w:pPr>
            <w:r>
              <w:rPr>
                <w:rFonts w:eastAsiaTheme="minorEastAsia"/>
                <w:iCs/>
                <w:lang w:val="en-US"/>
              </w:rPr>
              <w:t>Singleton</w:t>
            </w:r>
          </w:p>
        </w:tc>
      </w:tr>
      <w:tr w:rsidR="00851296" w14:paraId="75536BB2" w14:textId="77777777" w:rsidTr="006368B7">
        <w:trPr>
          <w:jc w:val="center"/>
        </w:trPr>
        <w:tc>
          <w:tcPr>
            <w:tcW w:w="2074" w:type="dxa"/>
            <w:shd w:val="clear" w:color="auto" w:fill="8EAADB" w:themeFill="accent1" w:themeFillTint="99"/>
          </w:tcPr>
          <w:p w14:paraId="2369E2AB" w14:textId="50782532" w:rsidR="00851296" w:rsidRPr="00851296" w:rsidRDefault="00851296" w:rsidP="00851296">
            <w:pPr>
              <w:jc w:val="center"/>
              <w:rPr>
                <w:rFonts w:eastAsiaTheme="minorEastAsia"/>
                <w:iCs/>
                <w:lang w:val="en-US"/>
              </w:rPr>
            </w:pPr>
            <w:r>
              <w:rPr>
                <w:rFonts w:eastAsiaTheme="minorEastAsia"/>
                <w:iCs/>
                <w:lang w:val="en-US"/>
              </w:rPr>
              <w:t>TSK model 3</w:t>
            </w:r>
          </w:p>
        </w:tc>
        <w:tc>
          <w:tcPr>
            <w:tcW w:w="2074" w:type="dxa"/>
          </w:tcPr>
          <w:p w14:paraId="302980DB" w14:textId="073357F9" w:rsidR="00851296" w:rsidRPr="00851296" w:rsidRDefault="00851296" w:rsidP="00851296">
            <w:pPr>
              <w:jc w:val="center"/>
              <w:rPr>
                <w:rFonts w:eastAsiaTheme="minorEastAsia"/>
                <w:iCs/>
                <w:lang w:val="en-US"/>
              </w:rPr>
            </w:pPr>
            <w:r>
              <w:rPr>
                <w:rFonts w:eastAsiaTheme="minorEastAsia"/>
                <w:iCs/>
                <w:lang w:val="en-US"/>
              </w:rPr>
              <w:t>2</w:t>
            </w:r>
          </w:p>
        </w:tc>
        <w:tc>
          <w:tcPr>
            <w:tcW w:w="2074" w:type="dxa"/>
          </w:tcPr>
          <w:p w14:paraId="43411704" w14:textId="72A7B4F5" w:rsidR="00851296" w:rsidRPr="00851296" w:rsidRDefault="00851296" w:rsidP="00851296">
            <w:pPr>
              <w:jc w:val="center"/>
              <w:rPr>
                <w:rFonts w:eastAsiaTheme="minorEastAsia"/>
                <w:iCs/>
                <w:lang w:val="en-US"/>
              </w:rPr>
            </w:pPr>
            <w:r>
              <w:rPr>
                <w:rFonts w:eastAsiaTheme="minorEastAsia"/>
                <w:iCs/>
                <w:lang w:val="en-US"/>
              </w:rPr>
              <w:t>Polynomial</w:t>
            </w:r>
          </w:p>
        </w:tc>
      </w:tr>
      <w:tr w:rsidR="00851296" w14:paraId="678BA7F5" w14:textId="77777777" w:rsidTr="006368B7">
        <w:trPr>
          <w:jc w:val="center"/>
        </w:trPr>
        <w:tc>
          <w:tcPr>
            <w:tcW w:w="2074" w:type="dxa"/>
            <w:shd w:val="clear" w:color="auto" w:fill="8EAADB" w:themeFill="accent1" w:themeFillTint="99"/>
          </w:tcPr>
          <w:p w14:paraId="652CF59A" w14:textId="6F29AA07" w:rsidR="00851296" w:rsidRPr="00851296" w:rsidRDefault="00851296" w:rsidP="00851296">
            <w:pPr>
              <w:jc w:val="center"/>
              <w:rPr>
                <w:rFonts w:eastAsiaTheme="minorEastAsia"/>
                <w:iCs/>
                <w:lang w:val="en-US"/>
              </w:rPr>
            </w:pPr>
            <w:r>
              <w:rPr>
                <w:rFonts w:eastAsiaTheme="minorEastAsia"/>
                <w:iCs/>
                <w:lang w:val="en-US"/>
              </w:rPr>
              <w:t>TSK model 4</w:t>
            </w:r>
          </w:p>
        </w:tc>
        <w:tc>
          <w:tcPr>
            <w:tcW w:w="2074" w:type="dxa"/>
          </w:tcPr>
          <w:p w14:paraId="08D71035" w14:textId="3DE54287" w:rsidR="00851296" w:rsidRPr="00851296" w:rsidRDefault="00851296" w:rsidP="00851296">
            <w:pPr>
              <w:jc w:val="center"/>
              <w:rPr>
                <w:rFonts w:eastAsiaTheme="minorEastAsia"/>
                <w:iCs/>
                <w:lang w:val="en-US"/>
              </w:rPr>
            </w:pPr>
            <w:r>
              <w:rPr>
                <w:rFonts w:eastAsiaTheme="minorEastAsia"/>
                <w:iCs/>
                <w:lang w:val="en-US"/>
              </w:rPr>
              <w:t>3</w:t>
            </w:r>
          </w:p>
        </w:tc>
        <w:tc>
          <w:tcPr>
            <w:tcW w:w="2074" w:type="dxa"/>
          </w:tcPr>
          <w:p w14:paraId="3D956D03" w14:textId="1ABE1689" w:rsidR="00851296" w:rsidRPr="00851296" w:rsidRDefault="00851296" w:rsidP="006368B7">
            <w:pPr>
              <w:keepNext/>
              <w:jc w:val="center"/>
              <w:rPr>
                <w:rFonts w:eastAsiaTheme="minorEastAsia"/>
                <w:iCs/>
                <w:lang w:val="en-US"/>
              </w:rPr>
            </w:pPr>
            <w:r>
              <w:rPr>
                <w:rFonts w:eastAsiaTheme="minorEastAsia"/>
                <w:iCs/>
                <w:lang w:val="en-US"/>
              </w:rPr>
              <w:t>Polynomial</w:t>
            </w:r>
          </w:p>
        </w:tc>
      </w:tr>
    </w:tbl>
    <w:p w14:paraId="11F82CA2" w14:textId="77777777" w:rsidR="006368B7" w:rsidRDefault="006368B7" w:rsidP="006368B7">
      <w:pPr>
        <w:pStyle w:val="Caption"/>
      </w:pPr>
    </w:p>
    <w:p w14:paraId="0A8F5264" w14:textId="4986951D" w:rsidR="006368B7" w:rsidRDefault="006368B7" w:rsidP="006368B7">
      <w:pPr>
        <w:pStyle w:val="Caption"/>
        <w:jc w:val="center"/>
        <w:rPr>
          <w:b/>
          <w:bCs/>
          <w:sz w:val="20"/>
        </w:rPr>
      </w:pPr>
      <w:r w:rsidRPr="006368B7">
        <w:rPr>
          <w:b/>
          <w:bCs/>
          <w:sz w:val="20"/>
        </w:rPr>
        <w:t xml:space="preserve">Πίνακας </w:t>
      </w:r>
      <w:r w:rsidRPr="006368B7">
        <w:rPr>
          <w:b/>
          <w:bCs/>
          <w:sz w:val="20"/>
        </w:rPr>
        <w:fldChar w:fldCharType="begin"/>
      </w:r>
      <w:r w:rsidRPr="006368B7">
        <w:rPr>
          <w:b/>
          <w:bCs/>
          <w:sz w:val="20"/>
        </w:rPr>
        <w:instrText xml:space="preserve"> SEQ Πίνακας \* ARABIC </w:instrText>
      </w:r>
      <w:r w:rsidRPr="006368B7">
        <w:rPr>
          <w:b/>
          <w:bCs/>
          <w:sz w:val="20"/>
        </w:rPr>
        <w:fldChar w:fldCharType="separate"/>
      </w:r>
      <w:r w:rsidR="00E30F51">
        <w:rPr>
          <w:b/>
          <w:bCs/>
          <w:noProof/>
          <w:sz w:val="20"/>
        </w:rPr>
        <w:t>1</w:t>
      </w:r>
      <w:r w:rsidRPr="006368B7">
        <w:rPr>
          <w:b/>
          <w:bCs/>
          <w:sz w:val="20"/>
        </w:rPr>
        <w:fldChar w:fldCharType="end"/>
      </w:r>
      <w:r w:rsidRPr="006368B7">
        <w:rPr>
          <w:b/>
          <w:bCs/>
          <w:sz w:val="20"/>
        </w:rPr>
        <w:t>: Πίνακας μοντέλων που θα εκπεδευτούν</w:t>
      </w:r>
    </w:p>
    <w:p w14:paraId="3F3F0FCE" w14:textId="52896274" w:rsidR="006368B7" w:rsidRPr="00AD4799" w:rsidRDefault="006368B7" w:rsidP="006368B7">
      <w:pPr>
        <w:jc w:val="both"/>
      </w:pPr>
      <w:r>
        <w:t xml:space="preserve">Για τη δημιουργία των μοντέλων χρησιμοποιείται η συνάρτηση </w:t>
      </w:r>
      <w:proofErr w:type="spellStart"/>
      <w:r w:rsidRPr="006368B7">
        <w:rPr>
          <w:rFonts w:ascii="Courier New" w:hAnsi="Courier New" w:cs="Courier New"/>
          <w:sz w:val="20"/>
          <w:lang w:val="en-US"/>
        </w:rPr>
        <w:t>genfis</w:t>
      </w:r>
      <w:proofErr w:type="spellEnd"/>
      <w:r w:rsidRPr="006368B7">
        <w:rPr>
          <w:rFonts w:ascii="Courier New" w:hAnsi="Courier New" w:cs="Courier New"/>
          <w:sz w:val="20"/>
        </w:rPr>
        <w:t>1()</w:t>
      </w:r>
      <w:r w:rsidRPr="006368B7">
        <w:t xml:space="preserve"> </w:t>
      </w:r>
      <w:r>
        <w:t xml:space="preserve">του </w:t>
      </w:r>
      <w:proofErr w:type="spellStart"/>
      <w:r>
        <w:rPr>
          <w:lang w:val="en-US"/>
        </w:rPr>
        <w:t>Matlab</w:t>
      </w:r>
      <w:proofErr w:type="spellEnd"/>
      <w:r w:rsidRPr="006368B7">
        <w:t xml:space="preserve">. </w:t>
      </w:r>
      <w:r>
        <w:t xml:space="preserve">Ο λόγος που χρησιμοποιείται η συγκεκριμένη συνάρτηση είναι επειδή μας επιτρέπει να περάσουμε εύκολα τις παραμέτρους που θέλουμε στη δημιουργία του κάθε μοντέλου. Για την εκπαίδευση των μοντέλων χρησιμοποιείται η συνάρτηση </w:t>
      </w:r>
      <w:proofErr w:type="spellStart"/>
      <w:r w:rsidRPr="006368B7">
        <w:rPr>
          <w:rFonts w:ascii="Courier New" w:hAnsi="Courier New" w:cs="Courier New"/>
          <w:sz w:val="20"/>
          <w:lang w:val="en-US"/>
        </w:rPr>
        <w:t>anfis</w:t>
      </w:r>
      <w:proofErr w:type="spellEnd"/>
      <w:r w:rsidRPr="006368B7">
        <w:rPr>
          <w:rFonts w:ascii="Courier New" w:hAnsi="Courier New" w:cs="Courier New"/>
          <w:sz w:val="20"/>
        </w:rPr>
        <w:t>()</w:t>
      </w:r>
      <w:r w:rsidRPr="006368B7">
        <w:t xml:space="preserve"> </w:t>
      </w:r>
      <w:r>
        <w:t xml:space="preserve">του </w:t>
      </w:r>
      <w:proofErr w:type="spellStart"/>
      <w:r>
        <w:rPr>
          <w:lang w:val="en-US"/>
        </w:rPr>
        <w:t>Matlab</w:t>
      </w:r>
      <w:proofErr w:type="spellEnd"/>
      <w:r>
        <w:t xml:space="preserve">, η οποία χρησιμοποιεί την υβριδική μέθοδο, </w:t>
      </w:r>
      <w:r w:rsidRPr="006368B7">
        <w:t>σύμφωνα με την οποία οι παράμετροι των συναρτήσεων συμμετοχής βελτιστοποιούνται μέσω της μεθόδου οπισθοδιάδοσης (backpropagation algorithm), ενώ οι παράμετροι της πολυωνυμικής</w:t>
      </w:r>
      <w:r>
        <w:t xml:space="preserve"> </w:t>
      </w:r>
      <w:r w:rsidRPr="006368B7">
        <w:t>συνάρτησης εξόδου</w:t>
      </w:r>
      <w:r>
        <w:t xml:space="preserve"> βελτιστοποιούνται μέσω της μεθόδου ελαχίστων τετραγώνων </w:t>
      </w:r>
      <w:r w:rsidRPr="006368B7">
        <w:t>(</w:t>
      </w:r>
      <w:r>
        <w:rPr>
          <w:lang w:val="en-US"/>
        </w:rPr>
        <w:t>Least</w:t>
      </w:r>
      <w:r w:rsidRPr="006368B7">
        <w:t xml:space="preserve"> </w:t>
      </w:r>
      <w:r>
        <w:rPr>
          <w:lang w:val="en-US"/>
        </w:rPr>
        <w:t>Squares</w:t>
      </w:r>
      <w:r w:rsidRPr="006368B7">
        <w:t xml:space="preserve"> </w:t>
      </w:r>
      <w:r>
        <w:rPr>
          <w:lang w:val="en-US"/>
        </w:rPr>
        <w:t>Algorithm</w:t>
      </w:r>
      <w:r w:rsidRPr="006368B7">
        <w:t xml:space="preserve">). </w:t>
      </w:r>
    </w:p>
    <w:p w14:paraId="63D6D015" w14:textId="77777777" w:rsidR="009C5B11" w:rsidRDefault="009C5B11" w:rsidP="006368B7">
      <w:pPr>
        <w:jc w:val="both"/>
      </w:pPr>
      <w:r>
        <w:t xml:space="preserve">Στα σχήματα 1-4 παρουσιάζονται οι συναρτήσεις συμμετοχής των εκπαιδευμένων </w:t>
      </w:r>
      <w:r>
        <w:rPr>
          <w:lang w:val="en-US"/>
        </w:rPr>
        <w:t>TSK</w:t>
      </w:r>
      <w:r w:rsidRPr="009C5B11">
        <w:t xml:space="preserve"> </w:t>
      </w:r>
      <w:r>
        <w:t>μοντέλων:</w:t>
      </w:r>
    </w:p>
    <w:p w14:paraId="066CF9AC" w14:textId="77777777" w:rsidR="009C5B11" w:rsidRDefault="009C5B11" w:rsidP="009C5B11">
      <w:pPr>
        <w:keepNext/>
        <w:jc w:val="center"/>
      </w:pPr>
      <w:r>
        <w:rPr>
          <w:noProof/>
        </w:rPr>
        <w:lastRenderedPageBreak/>
        <w:drawing>
          <wp:inline distT="0" distB="0" distL="0" distR="0" wp14:anchorId="31D92BBC" wp14:editId="48FC03FA">
            <wp:extent cx="4160520" cy="3154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1_membership_functions.png"/>
                    <pic:cNvPicPr/>
                  </pic:nvPicPr>
                  <pic:blipFill>
                    <a:blip r:embed="rId11">
                      <a:extLst>
                        <a:ext uri="{28A0092B-C50C-407E-A947-70E740481C1C}">
                          <a14:useLocalDpi xmlns:a14="http://schemas.microsoft.com/office/drawing/2010/main" val="0"/>
                        </a:ext>
                      </a:extLst>
                    </a:blip>
                    <a:stretch>
                      <a:fillRect/>
                    </a:stretch>
                  </pic:blipFill>
                  <pic:spPr>
                    <a:xfrm>
                      <a:off x="0" y="0"/>
                      <a:ext cx="4160520" cy="3154680"/>
                    </a:xfrm>
                    <a:prstGeom prst="rect">
                      <a:avLst/>
                    </a:prstGeom>
                  </pic:spPr>
                </pic:pic>
              </a:graphicData>
            </a:graphic>
          </wp:inline>
        </w:drawing>
      </w:r>
    </w:p>
    <w:p w14:paraId="1DB2F601" w14:textId="2151BC1C" w:rsidR="009C5B11" w:rsidRPr="009C5B11" w:rsidRDefault="009C5B11" w:rsidP="009C5B11">
      <w:pPr>
        <w:pStyle w:val="Caption"/>
        <w:jc w:val="center"/>
        <w:rPr>
          <w:b/>
          <w:bCs/>
          <w:sz w:val="20"/>
          <w:szCs w:val="20"/>
        </w:rPr>
      </w:pPr>
      <w:r w:rsidRPr="009C5B11">
        <w:rPr>
          <w:b/>
          <w:bCs/>
          <w:sz w:val="20"/>
          <w:szCs w:val="20"/>
        </w:rPr>
        <w:t xml:space="preserve">Σχήμα </w:t>
      </w:r>
      <w:r w:rsidRPr="009C5B11">
        <w:rPr>
          <w:b/>
          <w:bCs/>
          <w:sz w:val="20"/>
          <w:szCs w:val="20"/>
        </w:rPr>
        <w:fldChar w:fldCharType="begin"/>
      </w:r>
      <w:r w:rsidRPr="009C5B11">
        <w:rPr>
          <w:b/>
          <w:bCs/>
          <w:sz w:val="20"/>
          <w:szCs w:val="20"/>
        </w:rPr>
        <w:instrText xml:space="preserve"> SEQ Σχήμα \* ARABIC </w:instrText>
      </w:r>
      <w:r w:rsidRPr="009C5B11">
        <w:rPr>
          <w:b/>
          <w:bCs/>
          <w:sz w:val="20"/>
          <w:szCs w:val="20"/>
        </w:rPr>
        <w:fldChar w:fldCharType="separate"/>
      </w:r>
      <w:r w:rsidR="00E30F51">
        <w:rPr>
          <w:b/>
          <w:bCs/>
          <w:noProof/>
          <w:sz w:val="20"/>
          <w:szCs w:val="20"/>
        </w:rPr>
        <w:t>1</w:t>
      </w:r>
      <w:r w:rsidRPr="009C5B11">
        <w:rPr>
          <w:b/>
          <w:bCs/>
          <w:sz w:val="20"/>
          <w:szCs w:val="20"/>
        </w:rPr>
        <w:fldChar w:fldCharType="end"/>
      </w:r>
      <w:r w:rsidRPr="009C5B11">
        <w:rPr>
          <w:b/>
          <w:bCs/>
          <w:sz w:val="20"/>
          <w:szCs w:val="20"/>
        </w:rPr>
        <w:t xml:space="preserve">: Συναρτήσεις συμμετοχής εκπαιδευμένου μοντέλου </w:t>
      </w:r>
      <w:r w:rsidRPr="009C5B11">
        <w:rPr>
          <w:b/>
          <w:bCs/>
          <w:sz w:val="20"/>
          <w:szCs w:val="20"/>
          <w:lang w:val="en-US"/>
        </w:rPr>
        <w:t>TSK</w:t>
      </w:r>
      <w:r w:rsidRPr="009C5B11">
        <w:rPr>
          <w:b/>
          <w:bCs/>
          <w:sz w:val="20"/>
          <w:szCs w:val="20"/>
        </w:rPr>
        <w:t xml:space="preserve"> 1</w:t>
      </w:r>
    </w:p>
    <w:p w14:paraId="6DCA9C89" w14:textId="77777777" w:rsidR="009C5B11" w:rsidRDefault="009C5B11" w:rsidP="009C5B11">
      <w:pPr>
        <w:keepNext/>
        <w:jc w:val="center"/>
      </w:pPr>
    </w:p>
    <w:p w14:paraId="25E56FD1" w14:textId="1536AE54" w:rsidR="009C5B11" w:rsidRDefault="009C5B11" w:rsidP="009C5B11">
      <w:pPr>
        <w:keepNext/>
        <w:jc w:val="center"/>
      </w:pPr>
      <w:r>
        <w:rPr>
          <w:noProof/>
        </w:rPr>
        <w:drawing>
          <wp:inline distT="0" distB="0" distL="0" distR="0" wp14:anchorId="7DA65742" wp14:editId="7E1068AF">
            <wp:extent cx="4160520" cy="311920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1_membership_functions.png"/>
                    <pic:cNvPicPr/>
                  </pic:nvPicPr>
                  <pic:blipFill>
                    <a:blip r:embed="rId12">
                      <a:extLst>
                        <a:ext uri="{28A0092B-C50C-407E-A947-70E740481C1C}">
                          <a14:useLocalDpi xmlns:a14="http://schemas.microsoft.com/office/drawing/2010/main" val="0"/>
                        </a:ext>
                      </a:extLst>
                    </a:blip>
                    <a:stretch>
                      <a:fillRect/>
                    </a:stretch>
                  </pic:blipFill>
                  <pic:spPr>
                    <a:xfrm>
                      <a:off x="0" y="0"/>
                      <a:ext cx="4160520" cy="3119200"/>
                    </a:xfrm>
                    <a:prstGeom prst="rect">
                      <a:avLst/>
                    </a:prstGeom>
                  </pic:spPr>
                </pic:pic>
              </a:graphicData>
            </a:graphic>
          </wp:inline>
        </w:drawing>
      </w:r>
    </w:p>
    <w:p w14:paraId="6DFF7E8A" w14:textId="730D17BD" w:rsidR="009C5B11" w:rsidRPr="009C5B11" w:rsidRDefault="009C5B11" w:rsidP="009C5B11">
      <w:pPr>
        <w:pStyle w:val="Caption"/>
        <w:jc w:val="center"/>
        <w:rPr>
          <w:b/>
          <w:bCs/>
          <w:sz w:val="20"/>
          <w:szCs w:val="20"/>
        </w:rPr>
      </w:pPr>
      <w:r w:rsidRPr="009C5B11">
        <w:rPr>
          <w:b/>
          <w:bCs/>
          <w:sz w:val="20"/>
          <w:szCs w:val="20"/>
        </w:rPr>
        <w:t xml:space="preserve">Σχήμα 2: Συναρτήσεις συμμετοχής εκπαιδευμένου μοντέλου </w:t>
      </w:r>
      <w:r w:rsidRPr="009C5B11">
        <w:rPr>
          <w:b/>
          <w:bCs/>
          <w:sz w:val="20"/>
          <w:szCs w:val="20"/>
          <w:lang w:val="en-US"/>
        </w:rPr>
        <w:t>TSK</w:t>
      </w:r>
      <w:r w:rsidRPr="009C5B11">
        <w:rPr>
          <w:b/>
          <w:bCs/>
          <w:sz w:val="20"/>
          <w:szCs w:val="20"/>
        </w:rPr>
        <w:t xml:space="preserve"> 2</w:t>
      </w:r>
    </w:p>
    <w:p w14:paraId="38DDC4C4" w14:textId="77777777" w:rsidR="009C5B11" w:rsidRDefault="009C5B11" w:rsidP="009C5B11">
      <w:pPr>
        <w:keepNext/>
        <w:jc w:val="center"/>
      </w:pPr>
      <w:r>
        <w:rPr>
          <w:noProof/>
        </w:rPr>
        <w:lastRenderedPageBreak/>
        <w:drawing>
          <wp:inline distT="0" distB="0" distL="0" distR="0" wp14:anchorId="599711B4" wp14:editId="457A779F">
            <wp:extent cx="4160520" cy="311920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1_membership_functions.png"/>
                    <pic:cNvPicPr/>
                  </pic:nvPicPr>
                  <pic:blipFill>
                    <a:blip r:embed="rId13">
                      <a:extLst>
                        <a:ext uri="{28A0092B-C50C-407E-A947-70E740481C1C}">
                          <a14:useLocalDpi xmlns:a14="http://schemas.microsoft.com/office/drawing/2010/main" val="0"/>
                        </a:ext>
                      </a:extLst>
                    </a:blip>
                    <a:stretch>
                      <a:fillRect/>
                    </a:stretch>
                  </pic:blipFill>
                  <pic:spPr>
                    <a:xfrm>
                      <a:off x="0" y="0"/>
                      <a:ext cx="4160520" cy="3119200"/>
                    </a:xfrm>
                    <a:prstGeom prst="rect">
                      <a:avLst/>
                    </a:prstGeom>
                  </pic:spPr>
                </pic:pic>
              </a:graphicData>
            </a:graphic>
          </wp:inline>
        </w:drawing>
      </w:r>
    </w:p>
    <w:p w14:paraId="2ED26C72" w14:textId="4FF83A09" w:rsidR="009C5B11" w:rsidRPr="009C5B11" w:rsidRDefault="009C5B11" w:rsidP="009C5B11">
      <w:pPr>
        <w:pStyle w:val="Caption"/>
        <w:jc w:val="center"/>
        <w:rPr>
          <w:b/>
          <w:bCs/>
          <w:sz w:val="20"/>
          <w:szCs w:val="20"/>
        </w:rPr>
      </w:pPr>
      <w:r w:rsidRPr="009C5B11">
        <w:rPr>
          <w:b/>
          <w:bCs/>
          <w:sz w:val="20"/>
          <w:szCs w:val="20"/>
        </w:rPr>
        <w:t xml:space="preserve">Σχήμα 3: Συναρτήσεις συμμετοχής εκπαιδευμένου μοντέλου </w:t>
      </w:r>
      <w:r w:rsidRPr="009C5B11">
        <w:rPr>
          <w:b/>
          <w:bCs/>
          <w:sz w:val="20"/>
          <w:szCs w:val="20"/>
          <w:lang w:val="en-US"/>
        </w:rPr>
        <w:t>TSK</w:t>
      </w:r>
      <w:r w:rsidRPr="009C5B11">
        <w:rPr>
          <w:b/>
          <w:bCs/>
          <w:sz w:val="20"/>
          <w:szCs w:val="20"/>
        </w:rPr>
        <w:t xml:space="preserve"> 3</w:t>
      </w:r>
    </w:p>
    <w:p w14:paraId="42377946" w14:textId="77777777" w:rsidR="009C5B11" w:rsidRDefault="009C5B11" w:rsidP="009C5B11">
      <w:pPr>
        <w:keepNext/>
        <w:jc w:val="center"/>
      </w:pPr>
    </w:p>
    <w:p w14:paraId="6F287331" w14:textId="5854A47F" w:rsidR="009C5B11" w:rsidRDefault="009C5B11" w:rsidP="009C5B11">
      <w:pPr>
        <w:keepNext/>
        <w:jc w:val="center"/>
      </w:pPr>
      <w:r>
        <w:rPr>
          <w:noProof/>
        </w:rPr>
        <w:drawing>
          <wp:inline distT="0" distB="0" distL="0" distR="0" wp14:anchorId="6386E503" wp14:editId="104DBCE2">
            <wp:extent cx="4160520" cy="311920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1_membership_functions.png"/>
                    <pic:cNvPicPr/>
                  </pic:nvPicPr>
                  <pic:blipFill>
                    <a:blip r:embed="rId14">
                      <a:extLst>
                        <a:ext uri="{28A0092B-C50C-407E-A947-70E740481C1C}">
                          <a14:useLocalDpi xmlns:a14="http://schemas.microsoft.com/office/drawing/2010/main" val="0"/>
                        </a:ext>
                      </a:extLst>
                    </a:blip>
                    <a:stretch>
                      <a:fillRect/>
                    </a:stretch>
                  </pic:blipFill>
                  <pic:spPr>
                    <a:xfrm>
                      <a:off x="0" y="0"/>
                      <a:ext cx="4160520" cy="3119200"/>
                    </a:xfrm>
                    <a:prstGeom prst="rect">
                      <a:avLst/>
                    </a:prstGeom>
                  </pic:spPr>
                </pic:pic>
              </a:graphicData>
            </a:graphic>
          </wp:inline>
        </w:drawing>
      </w:r>
    </w:p>
    <w:p w14:paraId="7DD806B9" w14:textId="5BA4C16C" w:rsidR="009C5B11" w:rsidRPr="009C5B11" w:rsidRDefault="009C5B11" w:rsidP="009C5B11">
      <w:pPr>
        <w:pStyle w:val="Caption"/>
        <w:jc w:val="center"/>
        <w:rPr>
          <w:b/>
          <w:bCs/>
          <w:sz w:val="20"/>
          <w:szCs w:val="20"/>
        </w:rPr>
      </w:pPr>
      <w:r w:rsidRPr="009C5B11">
        <w:rPr>
          <w:b/>
          <w:bCs/>
          <w:sz w:val="20"/>
          <w:szCs w:val="20"/>
        </w:rPr>
        <w:t xml:space="preserve">Σχήμα 4: Συναρτήσεις συμμετοχής εκπαιδευμένου μοντέλου </w:t>
      </w:r>
      <w:r w:rsidRPr="009C5B11">
        <w:rPr>
          <w:b/>
          <w:bCs/>
          <w:sz w:val="20"/>
          <w:szCs w:val="20"/>
          <w:lang w:val="en-US"/>
        </w:rPr>
        <w:t>TSK</w:t>
      </w:r>
      <w:r w:rsidRPr="009C5B11">
        <w:rPr>
          <w:b/>
          <w:bCs/>
          <w:sz w:val="20"/>
          <w:szCs w:val="20"/>
        </w:rPr>
        <w:t xml:space="preserve"> 4</w:t>
      </w:r>
    </w:p>
    <w:p w14:paraId="7B92E93C" w14:textId="5CDAC0BC" w:rsidR="009C5B11" w:rsidRDefault="009C5B11" w:rsidP="006368B7">
      <w:pPr>
        <w:jc w:val="both"/>
      </w:pPr>
      <w:r>
        <w:t xml:space="preserve"> </w:t>
      </w:r>
    </w:p>
    <w:p w14:paraId="3DB5F5ED" w14:textId="5DB4C3C8" w:rsidR="009C5B11" w:rsidRDefault="009C5B11" w:rsidP="006368B7">
      <w:pPr>
        <w:jc w:val="both"/>
      </w:pPr>
      <w:r>
        <w:t>Σ</w:t>
      </w:r>
      <w:r w:rsidR="00AD4799">
        <w:t>τ</w:t>
      </w:r>
      <w:r>
        <w:t>ο σχήμα 5 παρουσιάζονται οι καμπύλες εκμάθησης των τεσσάρων μοντέλων. Τέλος, στο σχήμα 6 παρουσιάζονται τα σφάλματα πρόβλεψης του κάθε μοντέλου ξεχωριστά.</w:t>
      </w:r>
    </w:p>
    <w:p w14:paraId="4BFBCE1E" w14:textId="77777777" w:rsidR="009C5B11" w:rsidRDefault="009C5B11" w:rsidP="009C5B11">
      <w:pPr>
        <w:keepNext/>
        <w:jc w:val="center"/>
      </w:pPr>
      <w:r>
        <w:rPr>
          <w:noProof/>
        </w:rPr>
        <w:lastRenderedPageBreak/>
        <w:drawing>
          <wp:inline distT="0" distB="0" distL="0" distR="0" wp14:anchorId="79B3109A" wp14:editId="051C202D">
            <wp:extent cx="5524500" cy="3505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arning_curves.png"/>
                    <pic:cNvPicPr/>
                  </pic:nvPicPr>
                  <pic:blipFill>
                    <a:blip r:embed="rId15">
                      <a:extLst>
                        <a:ext uri="{28A0092B-C50C-407E-A947-70E740481C1C}">
                          <a14:useLocalDpi xmlns:a14="http://schemas.microsoft.com/office/drawing/2010/main" val="0"/>
                        </a:ext>
                      </a:extLst>
                    </a:blip>
                    <a:stretch>
                      <a:fillRect/>
                    </a:stretch>
                  </pic:blipFill>
                  <pic:spPr>
                    <a:xfrm>
                      <a:off x="0" y="0"/>
                      <a:ext cx="5524500" cy="3505200"/>
                    </a:xfrm>
                    <a:prstGeom prst="rect">
                      <a:avLst/>
                    </a:prstGeom>
                  </pic:spPr>
                </pic:pic>
              </a:graphicData>
            </a:graphic>
          </wp:inline>
        </w:drawing>
      </w:r>
    </w:p>
    <w:p w14:paraId="7FE28E03" w14:textId="4C1C5268" w:rsidR="009C5B11" w:rsidRDefault="009C5B11" w:rsidP="009C5B11">
      <w:pPr>
        <w:pStyle w:val="Caption"/>
        <w:jc w:val="center"/>
        <w:rPr>
          <w:b/>
          <w:bCs/>
          <w:sz w:val="20"/>
        </w:rPr>
      </w:pPr>
      <w:r w:rsidRPr="009C5B11">
        <w:rPr>
          <w:b/>
          <w:bCs/>
          <w:sz w:val="20"/>
        </w:rPr>
        <w:t xml:space="preserve">Σχήμα 5: Καμπύλες εκμάθησης των τεσσάρων </w:t>
      </w:r>
      <w:r w:rsidRPr="009C5B11">
        <w:rPr>
          <w:b/>
          <w:bCs/>
          <w:sz w:val="20"/>
          <w:lang w:val="en-US"/>
        </w:rPr>
        <w:t>TSK</w:t>
      </w:r>
      <w:r w:rsidRPr="009C5B11">
        <w:rPr>
          <w:b/>
          <w:bCs/>
          <w:sz w:val="20"/>
        </w:rPr>
        <w:t xml:space="preserve"> μοντέλων</w:t>
      </w:r>
    </w:p>
    <w:p w14:paraId="5DF40DEA" w14:textId="77777777" w:rsidR="009C5B11" w:rsidRDefault="009C5B11" w:rsidP="009C5B11">
      <w:pPr>
        <w:keepNext/>
        <w:jc w:val="center"/>
      </w:pPr>
      <w:r>
        <w:rPr>
          <w:noProof/>
        </w:rPr>
        <w:drawing>
          <wp:inline distT="0" distB="0" distL="0" distR="0" wp14:anchorId="40236F80" wp14:editId="6F7AEE8D">
            <wp:extent cx="5486400" cy="4113232"/>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arning_curve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3232"/>
                    </a:xfrm>
                    <a:prstGeom prst="rect">
                      <a:avLst/>
                    </a:prstGeom>
                  </pic:spPr>
                </pic:pic>
              </a:graphicData>
            </a:graphic>
          </wp:inline>
        </w:drawing>
      </w:r>
    </w:p>
    <w:p w14:paraId="76C6B53A" w14:textId="7B715B17" w:rsidR="009C5B11" w:rsidRDefault="009C5B11" w:rsidP="009C5B11">
      <w:pPr>
        <w:pStyle w:val="Caption"/>
        <w:jc w:val="center"/>
        <w:rPr>
          <w:b/>
          <w:bCs/>
          <w:sz w:val="20"/>
        </w:rPr>
      </w:pPr>
      <w:r w:rsidRPr="009C5B11">
        <w:rPr>
          <w:b/>
          <w:bCs/>
          <w:sz w:val="20"/>
        </w:rPr>
        <w:t>Σχήμα</w:t>
      </w:r>
      <w:r>
        <w:rPr>
          <w:b/>
          <w:bCs/>
          <w:sz w:val="20"/>
        </w:rPr>
        <w:t xml:space="preserve"> 6</w:t>
      </w:r>
      <w:r w:rsidRPr="009C5B11">
        <w:rPr>
          <w:b/>
          <w:bCs/>
          <w:sz w:val="20"/>
        </w:rPr>
        <w:t xml:space="preserve">: </w:t>
      </w:r>
      <w:r>
        <w:rPr>
          <w:b/>
          <w:bCs/>
          <w:sz w:val="20"/>
        </w:rPr>
        <w:t>Σφάλματα πρόβλεψης</w:t>
      </w:r>
      <w:r w:rsidRPr="009C5B11">
        <w:rPr>
          <w:b/>
          <w:bCs/>
          <w:sz w:val="20"/>
        </w:rPr>
        <w:t xml:space="preserve"> των τεσσάρων </w:t>
      </w:r>
      <w:r w:rsidRPr="009C5B11">
        <w:rPr>
          <w:b/>
          <w:bCs/>
          <w:sz w:val="20"/>
          <w:lang w:val="en-US"/>
        </w:rPr>
        <w:t>TSK</w:t>
      </w:r>
      <w:r w:rsidRPr="009C5B11">
        <w:rPr>
          <w:b/>
          <w:bCs/>
          <w:sz w:val="20"/>
        </w:rPr>
        <w:t xml:space="preserve"> μοντέλων</w:t>
      </w:r>
    </w:p>
    <w:p w14:paraId="277FF778" w14:textId="4C3EE0F7" w:rsidR="00AD4799" w:rsidRDefault="005F6484" w:rsidP="009C5B11">
      <w:r>
        <w:t>΄</w:t>
      </w:r>
    </w:p>
    <w:p w14:paraId="23493FAB" w14:textId="7085FFB6" w:rsidR="00AD4799" w:rsidRDefault="00AD4799" w:rsidP="00054AD5">
      <w:pPr>
        <w:jc w:val="both"/>
        <w:rPr>
          <w:rFonts w:eastAsiaTheme="minorEastAsia"/>
        </w:rPr>
      </w:pPr>
      <w:r>
        <w:lastRenderedPageBreak/>
        <w:t xml:space="preserve">Στον πίνακα 2 παρουσιάζονται οι τιμές των δεικτών απόδοσης </w:t>
      </w:r>
      <m:oMath>
        <m:r>
          <w:rPr>
            <w:rFonts w:ascii="Cambria Math" w:hAnsi="Cambria Math"/>
          </w:rPr>
          <m:t>RMSE</m:t>
        </m:r>
      </m:oMath>
      <w:r w:rsidRPr="00AD4799">
        <w:rPr>
          <w:rFonts w:eastAsiaTheme="minorEastAsia"/>
        </w:rPr>
        <w:t xml:space="preserve">, </w:t>
      </w:r>
      <m:oMath>
        <m:r>
          <w:rPr>
            <w:rFonts w:ascii="Cambria Math" w:eastAsiaTheme="minorEastAsia" w:hAnsi="Cambria Math"/>
          </w:rPr>
          <m:t xml:space="preserve">NMSE, </m:t>
        </m:r>
        <m:r>
          <w:rPr>
            <w:rFonts w:ascii="Cambria Math" w:eastAsiaTheme="minorEastAsia" w:hAnsi="Cambria Math"/>
            <w:lang w:val="en-US"/>
          </w:rPr>
          <m:t>NDEI</m:t>
        </m:r>
      </m:oMath>
      <w:r w:rsidRPr="00AD4799">
        <w:rPr>
          <w:rFonts w:eastAsiaTheme="minorEastAsia"/>
        </w:rPr>
        <w:t xml:space="preserve"> </w:t>
      </w:r>
      <w:r>
        <w:rPr>
          <w:rFonts w:eastAsiaTheme="minorEastAsia"/>
        </w:rPr>
        <w:t xml:space="preserve">και </w:t>
      </w:r>
      <m:oMath>
        <m:sSup>
          <m:sSupPr>
            <m:ctrlPr>
              <w:rPr>
                <w:rFonts w:ascii="Cambria Math" w:eastAsiaTheme="minorEastAsia" w:hAnsi="Cambria Math"/>
                <w:i/>
              </w:rPr>
            </m:ctrlPr>
          </m:sSupPr>
          <m:e>
            <m:r>
              <w:rPr>
                <w:rFonts w:ascii="Cambria Math" w:eastAsiaTheme="minorEastAsia" w:hAnsi="Cambria Math"/>
                <w:lang w:val="en-US"/>
              </w:rPr>
              <m:t>R</m:t>
            </m:r>
            <m:ctrlPr>
              <w:rPr>
                <w:rFonts w:ascii="Cambria Math" w:eastAsiaTheme="minorEastAsia" w:hAnsi="Cambria Math"/>
                <w:i/>
                <w:lang w:val="en-US"/>
              </w:rPr>
            </m:ctrlPr>
          </m:e>
          <m:sup>
            <m:r>
              <w:rPr>
                <w:rFonts w:ascii="Cambria Math" w:eastAsiaTheme="minorEastAsia" w:hAnsi="Cambria Math"/>
              </w:rPr>
              <m:t>2</m:t>
            </m:r>
          </m:sup>
        </m:sSup>
      </m:oMath>
      <w:r>
        <w:rPr>
          <w:rFonts w:eastAsiaTheme="minorEastAsia"/>
        </w:rPr>
        <w:t xml:space="preserve"> των τεσσάρων </w:t>
      </w:r>
      <w:r>
        <w:rPr>
          <w:rFonts w:eastAsiaTheme="minorEastAsia"/>
          <w:lang w:val="en-US"/>
        </w:rPr>
        <w:t>TSK</w:t>
      </w:r>
      <w:r w:rsidRPr="00AD4799">
        <w:rPr>
          <w:rFonts w:eastAsiaTheme="minorEastAsia"/>
        </w:rPr>
        <w:t xml:space="preserve"> </w:t>
      </w:r>
      <w:r>
        <w:rPr>
          <w:rFonts w:eastAsiaTheme="minorEastAsia"/>
        </w:rPr>
        <w:t>μοντέλων</w:t>
      </w:r>
      <w:r w:rsidR="00054AD5">
        <w:rPr>
          <w:rFonts w:eastAsiaTheme="minorEastAsia"/>
        </w:rPr>
        <w:t xml:space="preserve">.Οι δείκτες αυτοί υπολογίζονται με την εφαρμογή των εκπαιδευμένων πλέον μοντέλων στα </w:t>
      </w:r>
      <w:r w:rsidR="00054AD5">
        <w:rPr>
          <w:rFonts w:eastAsiaTheme="minorEastAsia"/>
          <w:lang w:val="en-US"/>
        </w:rPr>
        <w:t>test</w:t>
      </w:r>
      <w:r w:rsidR="00054AD5" w:rsidRPr="00054AD5">
        <w:rPr>
          <w:rFonts w:eastAsiaTheme="minorEastAsia"/>
        </w:rPr>
        <w:t xml:space="preserve"> </w:t>
      </w:r>
      <w:r w:rsidR="00054AD5">
        <w:rPr>
          <w:rFonts w:eastAsiaTheme="minorEastAsia"/>
          <w:lang w:val="en-US"/>
        </w:rPr>
        <w:t>sets</w:t>
      </w:r>
      <w:r w:rsidR="00054AD5" w:rsidRPr="00054AD5">
        <w:rPr>
          <w:rFonts w:eastAsiaTheme="minorEastAsia"/>
        </w:rPr>
        <w:t>.</w:t>
      </w:r>
    </w:p>
    <w:tbl>
      <w:tblPr>
        <w:tblStyle w:val="TableGrid"/>
        <w:tblW w:w="0" w:type="auto"/>
        <w:tblLook w:val="04A0" w:firstRow="1" w:lastRow="0" w:firstColumn="1" w:lastColumn="0" w:noHBand="0" w:noVBand="1"/>
      </w:tblPr>
      <w:tblGrid>
        <w:gridCol w:w="1659"/>
        <w:gridCol w:w="1659"/>
        <w:gridCol w:w="1659"/>
        <w:gridCol w:w="1659"/>
        <w:gridCol w:w="1660"/>
      </w:tblGrid>
      <w:tr w:rsidR="00054AD5" w14:paraId="4DE4FB78" w14:textId="77777777" w:rsidTr="00387D9A">
        <w:tc>
          <w:tcPr>
            <w:tcW w:w="1659" w:type="dxa"/>
            <w:tcBorders>
              <w:top w:val="nil"/>
              <w:left w:val="nil"/>
              <w:bottom w:val="single" w:sz="4" w:space="0" w:color="auto"/>
              <w:right w:val="nil"/>
            </w:tcBorders>
            <w:shd w:val="clear" w:color="auto" w:fill="FFFFFF" w:themeFill="background1"/>
          </w:tcPr>
          <w:p w14:paraId="0EE9E124" w14:textId="77777777" w:rsidR="00054AD5" w:rsidRPr="00054AD5" w:rsidRDefault="00054AD5" w:rsidP="00E14439">
            <w:pPr>
              <w:jc w:val="center"/>
              <w:rPr>
                <w:iCs/>
              </w:rPr>
            </w:pPr>
          </w:p>
        </w:tc>
        <w:tc>
          <w:tcPr>
            <w:tcW w:w="1659" w:type="dxa"/>
            <w:tcBorders>
              <w:left w:val="nil"/>
            </w:tcBorders>
            <w:shd w:val="clear" w:color="auto" w:fill="8EAADB" w:themeFill="accent1" w:themeFillTint="99"/>
          </w:tcPr>
          <w:p w14:paraId="3D6EEA3C" w14:textId="3FC6914F" w:rsidR="00054AD5" w:rsidRPr="00054AD5" w:rsidRDefault="00054AD5" w:rsidP="00E14439">
            <w:pPr>
              <w:jc w:val="center"/>
              <w:rPr>
                <w:b/>
                <w:bCs/>
                <w:iCs/>
                <w:lang w:val="en-US"/>
              </w:rPr>
            </w:pPr>
            <m:oMathPara>
              <m:oMath>
                <m:r>
                  <m:rPr>
                    <m:sty m:val="bi"/>
                  </m:rPr>
                  <w:rPr>
                    <w:rFonts w:ascii="Cambria Math" w:hAnsi="Cambria Math"/>
                    <w:lang w:val="en-US"/>
                  </w:rPr>
                  <m:t>RMSE</m:t>
                </m:r>
              </m:oMath>
            </m:oMathPara>
          </w:p>
        </w:tc>
        <w:tc>
          <w:tcPr>
            <w:tcW w:w="1659" w:type="dxa"/>
            <w:shd w:val="clear" w:color="auto" w:fill="8EAADB" w:themeFill="accent1" w:themeFillTint="99"/>
          </w:tcPr>
          <w:p w14:paraId="631CD690" w14:textId="787EC52E" w:rsidR="00054AD5" w:rsidRPr="00054AD5" w:rsidRDefault="00054AD5" w:rsidP="00E14439">
            <w:pPr>
              <w:jc w:val="center"/>
              <w:rPr>
                <w:b/>
                <w:bCs/>
                <w:iCs/>
                <w:lang w:val="en-US"/>
              </w:rPr>
            </w:pPr>
            <m:oMathPara>
              <m:oMath>
                <m:r>
                  <m:rPr>
                    <m:sty m:val="bi"/>
                  </m:rPr>
                  <w:rPr>
                    <w:rFonts w:ascii="Cambria Math" w:hAnsi="Cambria Math"/>
                    <w:lang w:val="en-US"/>
                  </w:rPr>
                  <m:t>NMSE</m:t>
                </m:r>
              </m:oMath>
            </m:oMathPara>
          </w:p>
        </w:tc>
        <w:tc>
          <w:tcPr>
            <w:tcW w:w="1659" w:type="dxa"/>
            <w:shd w:val="clear" w:color="auto" w:fill="8EAADB" w:themeFill="accent1" w:themeFillTint="99"/>
          </w:tcPr>
          <w:p w14:paraId="64603930" w14:textId="131EA50D" w:rsidR="00054AD5" w:rsidRPr="00054AD5" w:rsidRDefault="00054AD5" w:rsidP="00E14439">
            <w:pPr>
              <w:jc w:val="center"/>
              <w:rPr>
                <w:b/>
                <w:bCs/>
                <w:iCs/>
                <w:lang w:val="en-US"/>
              </w:rPr>
            </w:pPr>
            <m:oMathPara>
              <m:oMath>
                <m:r>
                  <m:rPr>
                    <m:sty m:val="bi"/>
                  </m:rPr>
                  <w:rPr>
                    <w:rFonts w:ascii="Cambria Math" w:hAnsi="Cambria Math"/>
                    <w:lang w:val="en-US"/>
                  </w:rPr>
                  <m:t>NDEI</m:t>
                </m:r>
              </m:oMath>
            </m:oMathPara>
          </w:p>
        </w:tc>
        <w:tc>
          <w:tcPr>
            <w:tcW w:w="1660" w:type="dxa"/>
            <w:shd w:val="clear" w:color="auto" w:fill="8EAADB" w:themeFill="accent1" w:themeFillTint="99"/>
          </w:tcPr>
          <w:p w14:paraId="5A7ECF56" w14:textId="5C0230F1" w:rsidR="00054AD5" w:rsidRPr="00054AD5" w:rsidRDefault="00880818" w:rsidP="00E14439">
            <w:pPr>
              <w:jc w:val="center"/>
              <w:rPr>
                <w:b/>
                <w:bCs/>
                <w:iCs/>
                <w:lang w:val="en-US"/>
              </w:rPr>
            </w:pPr>
            <m:oMathPara>
              <m:oMath>
                <m:sSup>
                  <m:sSupPr>
                    <m:ctrlPr>
                      <w:rPr>
                        <w:rFonts w:ascii="Cambria Math" w:hAnsi="Cambria Math"/>
                        <w:b/>
                        <w:bCs/>
                        <w:i/>
                        <w:iCs/>
                        <w:lang w:val="en-US"/>
                      </w:rPr>
                    </m:ctrlPr>
                  </m:sSupPr>
                  <m:e>
                    <m:r>
                      <m:rPr>
                        <m:sty m:val="bi"/>
                      </m:rPr>
                      <w:rPr>
                        <w:rFonts w:ascii="Cambria Math" w:hAnsi="Cambria Math"/>
                        <w:lang w:val="en-US"/>
                      </w:rPr>
                      <m:t>R</m:t>
                    </m:r>
                  </m:e>
                  <m:sup>
                    <m:r>
                      <m:rPr>
                        <m:sty m:val="bi"/>
                      </m:rPr>
                      <w:rPr>
                        <w:rFonts w:ascii="Cambria Math" w:hAnsi="Cambria Math"/>
                        <w:lang w:val="en-US"/>
                      </w:rPr>
                      <m:t>2</m:t>
                    </m:r>
                  </m:sup>
                </m:sSup>
              </m:oMath>
            </m:oMathPara>
          </w:p>
        </w:tc>
      </w:tr>
      <w:tr w:rsidR="00054AD5" w14:paraId="557AA1C6" w14:textId="77777777" w:rsidTr="00387D9A">
        <w:tc>
          <w:tcPr>
            <w:tcW w:w="1659" w:type="dxa"/>
            <w:tcBorders>
              <w:top w:val="single" w:sz="4" w:space="0" w:color="auto"/>
            </w:tcBorders>
            <w:shd w:val="clear" w:color="auto" w:fill="8EAADB" w:themeFill="accent1" w:themeFillTint="99"/>
          </w:tcPr>
          <w:p w14:paraId="649013A4" w14:textId="4C4847B8" w:rsidR="00054AD5" w:rsidRPr="00054AD5" w:rsidRDefault="00054AD5" w:rsidP="00E14439">
            <w:pPr>
              <w:jc w:val="center"/>
              <w:rPr>
                <w:b/>
                <w:bCs/>
                <w:iCs/>
                <w:lang w:val="en-US"/>
              </w:rPr>
            </w:pPr>
            <w:r w:rsidRPr="00054AD5">
              <w:rPr>
                <w:b/>
                <w:bCs/>
                <w:iCs/>
                <w:lang w:val="en-US"/>
              </w:rPr>
              <w:t>TSK model 1</w:t>
            </w:r>
          </w:p>
        </w:tc>
        <w:tc>
          <w:tcPr>
            <w:tcW w:w="1659" w:type="dxa"/>
          </w:tcPr>
          <w:p w14:paraId="064E6DBF" w14:textId="271A6FD5" w:rsidR="00054AD5" w:rsidRPr="00054AD5" w:rsidRDefault="00054AD5" w:rsidP="00E14439">
            <w:pPr>
              <w:jc w:val="center"/>
              <w:rPr>
                <w:iCs/>
                <w:lang w:val="en-US"/>
              </w:rPr>
            </w:pPr>
            <m:oMathPara>
              <m:oMath>
                <m:r>
                  <w:rPr>
                    <w:rFonts w:ascii="Cambria Math" w:hAnsi="Cambria Math"/>
                    <w:lang w:val="en-US"/>
                  </w:rPr>
                  <m:t>4.2274</m:t>
                </m:r>
              </m:oMath>
            </m:oMathPara>
          </w:p>
        </w:tc>
        <w:tc>
          <w:tcPr>
            <w:tcW w:w="1659" w:type="dxa"/>
          </w:tcPr>
          <w:p w14:paraId="09D4F2D6" w14:textId="21EA0120" w:rsidR="00054AD5" w:rsidRPr="00054AD5" w:rsidRDefault="00054AD5" w:rsidP="00E14439">
            <w:pPr>
              <w:jc w:val="center"/>
              <w:rPr>
                <w:iCs/>
              </w:rPr>
            </w:pPr>
            <m:oMathPara>
              <m:oMath>
                <m:r>
                  <w:rPr>
                    <w:rFonts w:ascii="Cambria Math" w:hAnsi="Cambria Math"/>
                    <w:lang w:val="en-US"/>
                  </w:rPr>
                  <m:t>0.0605</m:t>
                </m:r>
              </m:oMath>
            </m:oMathPara>
          </w:p>
        </w:tc>
        <w:tc>
          <w:tcPr>
            <w:tcW w:w="1659" w:type="dxa"/>
          </w:tcPr>
          <w:p w14:paraId="4974A2EE" w14:textId="4F9BBEED" w:rsidR="00054AD5" w:rsidRPr="00387D9A" w:rsidRDefault="00387D9A" w:rsidP="00E14439">
            <w:pPr>
              <w:jc w:val="center"/>
              <w:rPr>
                <w:iCs/>
                <w:lang w:val="en-US"/>
              </w:rPr>
            </w:pPr>
            <m:oMathPara>
              <m:oMath>
                <m:r>
                  <w:rPr>
                    <w:rFonts w:ascii="Cambria Math" w:hAnsi="Cambria Math"/>
                    <w:lang w:val="en-US"/>
                  </w:rPr>
                  <m:t>0.2459</m:t>
                </m:r>
              </m:oMath>
            </m:oMathPara>
          </w:p>
        </w:tc>
        <w:tc>
          <w:tcPr>
            <w:tcW w:w="1660" w:type="dxa"/>
          </w:tcPr>
          <w:p w14:paraId="1A9B5E3A" w14:textId="279B79A3" w:rsidR="00054AD5" w:rsidRPr="00387D9A" w:rsidRDefault="00387D9A" w:rsidP="00E14439">
            <w:pPr>
              <w:jc w:val="center"/>
              <w:rPr>
                <w:iCs/>
                <w:lang w:val="en-US"/>
              </w:rPr>
            </w:pPr>
            <m:oMathPara>
              <m:oMath>
                <m:r>
                  <w:rPr>
                    <w:rFonts w:ascii="Cambria Math" w:hAnsi="Cambria Math"/>
                    <w:lang w:val="en-US"/>
                  </w:rPr>
                  <m:t>0.9395</m:t>
                </m:r>
              </m:oMath>
            </m:oMathPara>
          </w:p>
        </w:tc>
      </w:tr>
      <w:tr w:rsidR="00054AD5" w14:paraId="2B3BDFBF" w14:textId="77777777" w:rsidTr="00387D9A">
        <w:tc>
          <w:tcPr>
            <w:tcW w:w="1659" w:type="dxa"/>
            <w:shd w:val="clear" w:color="auto" w:fill="8EAADB" w:themeFill="accent1" w:themeFillTint="99"/>
          </w:tcPr>
          <w:p w14:paraId="5C9D0670" w14:textId="5D342B43" w:rsidR="00054AD5" w:rsidRPr="00054AD5" w:rsidRDefault="00054AD5" w:rsidP="00E14439">
            <w:pPr>
              <w:jc w:val="center"/>
              <w:rPr>
                <w:b/>
                <w:bCs/>
                <w:iCs/>
                <w:lang w:val="en-US"/>
              </w:rPr>
            </w:pPr>
            <w:r w:rsidRPr="00054AD5">
              <w:rPr>
                <w:b/>
                <w:bCs/>
                <w:iCs/>
                <w:lang w:val="en-US"/>
              </w:rPr>
              <w:t>TSK model 2</w:t>
            </w:r>
          </w:p>
        </w:tc>
        <w:tc>
          <w:tcPr>
            <w:tcW w:w="1659" w:type="dxa"/>
          </w:tcPr>
          <w:p w14:paraId="0F0CEAE8" w14:textId="56A4101C" w:rsidR="00054AD5" w:rsidRPr="00054AD5" w:rsidRDefault="00054AD5" w:rsidP="00E14439">
            <w:pPr>
              <w:jc w:val="center"/>
              <w:rPr>
                <w:iCs/>
              </w:rPr>
            </w:pPr>
            <m:oMathPara>
              <m:oMath>
                <m:r>
                  <w:rPr>
                    <w:rFonts w:ascii="Cambria Math" w:hAnsi="Cambria Math"/>
                    <w:lang w:val="en-US"/>
                  </w:rPr>
                  <m:t>4.0923</m:t>
                </m:r>
              </m:oMath>
            </m:oMathPara>
          </w:p>
        </w:tc>
        <w:tc>
          <w:tcPr>
            <w:tcW w:w="1659" w:type="dxa"/>
          </w:tcPr>
          <w:p w14:paraId="7D9C6F30" w14:textId="7D76102A" w:rsidR="00054AD5" w:rsidRPr="00054AD5" w:rsidRDefault="00054AD5" w:rsidP="00E14439">
            <w:pPr>
              <w:jc w:val="center"/>
              <w:rPr>
                <w:iCs/>
              </w:rPr>
            </w:pPr>
            <m:oMathPara>
              <m:oMath>
                <m:r>
                  <w:rPr>
                    <w:rFonts w:ascii="Cambria Math" w:hAnsi="Cambria Math"/>
                    <w:lang w:val="en-US"/>
                  </w:rPr>
                  <m:t>0.0567</m:t>
                </m:r>
              </m:oMath>
            </m:oMathPara>
          </w:p>
        </w:tc>
        <w:tc>
          <w:tcPr>
            <w:tcW w:w="1659" w:type="dxa"/>
          </w:tcPr>
          <w:p w14:paraId="75628B61" w14:textId="3B65630A" w:rsidR="00054AD5" w:rsidRPr="00054AD5" w:rsidRDefault="00387D9A" w:rsidP="00E14439">
            <w:pPr>
              <w:jc w:val="center"/>
              <w:rPr>
                <w:iCs/>
              </w:rPr>
            </w:pPr>
            <m:oMathPara>
              <m:oMath>
                <m:r>
                  <w:rPr>
                    <w:rFonts w:ascii="Cambria Math" w:hAnsi="Cambria Math"/>
                    <w:lang w:val="en-US"/>
                  </w:rPr>
                  <m:t>0.2381</m:t>
                </m:r>
              </m:oMath>
            </m:oMathPara>
          </w:p>
        </w:tc>
        <w:tc>
          <w:tcPr>
            <w:tcW w:w="1660" w:type="dxa"/>
          </w:tcPr>
          <w:p w14:paraId="608A0DAF" w14:textId="05D4FCFF" w:rsidR="00054AD5" w:rsidRPr="00054AD5" w:rsidRDefault="00387D9A" w:rsidP="00E14439">
            <w:pPr>
              <w:jc w:val="center"/>
              <w:rPr>
                <w:iCs/>
              </w:rPr>
            </w:pPr>
            <m:oMathPara>
              <m:oMath>
                <m:r>
                  <w:rPr>
                    <w:rFonts w:ascii="Cambria Math" w:hAnsi="Cambria Math"/>
                    <w:lang w:val="en-US"/>
                  </w:rPr>
                  <m:t>0.9433</m:t>
                </m:r>
              </m:oMath>
            </m:oMathPara>
          </w:p>
        </w:tc>
      </w:tr>
      <w:tr w:rsidR="00054AD5" w14:paraId="30BBC673" w14:textId="77777777" w:rsidTr="00387D9A">
        <w:tc>
          <w:tcPr>
            <w:tcW w:w="1659" w:type="dxa"/>
            <w:shd w:val="clear" w:color="auto" w:fill="8EAADB" w:themeFill="accent1" w:themeFillTint="99"/>
          </w:tcPr>
          <w:p w14:paraId="33036ED1" w14:textId="7C5EFFCE" w:rsidR="00054AD5" w:rsidRPr="00054AD5" w:rsidRDefault="00054AD5" w:rsidP="00E14439">
            <w:pPr>
              <w:jc w:val="center"/>
              <w:rPr>
                <w:b/>
                <w:bCs/>
                <w:iCs/>
                <w:lang w:val="en-US"/>
              </w:rPr>
            </w:pPr>
            <w:r w:rsidRPr="00054AD5">
              <w:rPr>
                <w:b/>
                <w:bCs/>
                <w:iCs/>
                <w:lang w:val="en-US"/>
              </w:rPr>
              <w:t>TSK model 3</w:t>
            </w:r>
          </w:p>
        </w:tc>
        <w:tc>
          <w:tcPr>
            <w:tcW w:w="1659" w:type="dxa"/>
          </w:tcPr>
          <w:p w14:paraId="25BF05E5" w14:textId="7AE6EA02" w:rsidR="00054AD5" w:rsidRPr="00054AD5" w:rsidRDefault="00054AD5" w:rsidP="00E14439">
            <w:pPr>
              <w:jc w:val="center"/>
              <w:rPr>
                <w:iCs/>
              </w:rPr>
            </w:pPr>
            <m:oMathPara>
              <m:oMath>
                <m:r>
                  <w:rPr>
                    <w:rFonts w:ascii="Cambria Math" w:hAnsi="Cambria Math"/>
                    <w:lang w:val="en-US"/>
                  </w:rPr>
                  <m:t>4.0690</m:t>
                </m:r>
              </m:oMath>
            </m:oMathPara>
          </w:p>
        </w:tc>
        <w:tc>
          <w:tcPr>
            <w:tcW w:w="1659" w:type="dxa"/>
          </w:tcPr>
          <w:p w14:paraId="2C51DDFC" w14:textId="3C3953B6" w:rsidR="00054AD5" w:rsidRPr="00054AD5" w:rsidRDefault="00387D9A" w:rsidP="00E14439">
            <w:pPr>
              <w:jc w:val="center"/>
              <w:rPr>
                <w:iCs/>
              </w:rPr>
            </w:pPr>
            <m:oMathPara>
              <m:oMath>
                <m:r>
                  <w:rPr>
                    <w:rFonts w:ascii="Cambria Math" w:hAnsi="Cambria Math"/>
                    <w:lang w:val="en-US"/>
                  </w:rPr>
                  <m:t>0.0560</m:t>
                </m:r>
              </m:oMath>
            </m:oMathPara>
          </w:p>
        </w:tc>
        <w:tc>
          <w:tcPr>
            <w:tcW w:w="1659" w:type="dxa"/>
          </w:tcPr>
          <w:p w14:paraId="5BBDE470" w14:textId="2E331FE8" w:rsidR="00054AD5" w:rsidRPr="00054AD5" w:rsidRDefault="00387D9A" w:rsidP="00E14439">
            <w:pPr>
              <w:jc w:val="center"/>
              <w:rPr>
                <w:iCs/>
              </w:rPr>
            </w:pPr>
            <m:oMathPara>
              <m:oMath>
                <m:r>
                  <w:rPr>
                    <w:rFonts w:ascii="Cambria Math" w:hAnsi="Cambria Math"/>
                    <w:lang w:val="en-US"/>
                  </w:rPr>
                  <m:t>0.2367</m:t>
                </m:r>
              </m:oMath>
            </m:oMathPara>
          </w:p>
        </w:tc>
        <w:tc>
          <w:tcPr>
            <w:tcW w:w="1660" w:type="dxa"/>
          </w:tcPr>
          <w:p w14:paraId="1EF17900" w14:textId="328DA6D0" w:rsidR="00054AD5" w:rsidRPr="00054AD5" w:rsidRDefault="00387D9A" w:rsidP="00E14439">
            <w:pPr>
              <w:jc w:val="center"/>
              <w:rPr>
                <w:iCs/>
              </w:rPr>
            </w:pPr>
            <m:oMathPara>
              <m:oMath>
                <m:r>
                  <w:rPr>
                    <w:rFonts w:ascii="Cambria Math" w:hAnsi="Cambria Math"/>
                    <w:lang w:val="en-US"/>
                  </w:rPr>
                  <m:t>0.9440</m:t>
                </m:r>
              </m:oMath>
            </m:oMathPara>
          </w:p>
        </w:tc>
      </w:tr>
      <w:tr w:rsidR="00054AD5" w:rsidRPr="00E14439" w14:paraId="670DF332" w14:textId="77777777" w:rsidTr="00387D9A">
        <w:tc>
          <w:tcPr>
            <w:tcW w:w="1659" w:type="dxa"/>
            <w:shd w:val="clear" w:color="auto" w:fill="8EAADB" w:themeFill="accent1" w:themeFillTint="99"/>
          </w:tcPr>
          <w:p w14:paraId="6DEC471D" w14:textId="52A8363E" w:rsidR="00054AD5" w:rsidRPr="00054AD5" w:rsidRDefault="00054AD5" w:rsidP="00E14439">
            <w:pPr>
              <w:jc w:val="center"/>
              <w:rPr>
                <w:b/>
                <w:bCs/>
                <w:iCs/>
                <w:lang w:val="en-US"/>
              </w:rPr>
            </w:pPr>
            <w:r w:rsidRPr="00054AD5">
              <w:rPr>
                <w:b/>
                <w:bCs/>
                <w:iCs/>
                <w:lang w:val="en-US"/>
              </w:rPr>
              <w:t>TSK model 4</w:t>
            </w:r>
          </w:p>
        </w:tc>
        <w:tc>
          <w:tcPr>
            <w:tcW w:w="1659" w:type="dxa"/>
          </w:tcPr>
          <w:p w14:paraId="1C7106BE" w14:textId="22562781" w:rsidR="00054AD5" w:rsidRPr="00054AD5" w:rsidRDefault="00054AD5" w:rsidP="00E14439">
            <w:pPr>
              <w:jc w:val="center"/>
              <w:rPr>
                <w:iCs/>
              </w:rPr>
            </w:pPr>
            <m:oMathPara>
              <m:oMath>
                <m:r>
                  <w:rPr>
                    <w:rFonts w:ascii="Cambria Math" w:hAnsi="Cambria Math"/>
                    <w:lang w:val="en-US"/>
                  </w:rPr>
                  <m:t>4.4882</m:t>
                </m:r>
              </m:oMath>
            </m:oMathPara>
          </w:p>
        </w:tc>
        <w:tc>
          <w:tcPr>
            <w:tcW w:w="1659" w:type="dxa"/>
          </w:tcPr>
          <w:p w14:paraId="371C6D62" w14:textId="051ED587" w:rsidR="00054AD5" w:rsidRPr="00054AD5" w:rsidRDefault="00387D9A" w:rsidP="00E14439">
            <w:pPr>
              <w:jc w:val="center"/>
              <w:rPr>
                <w:iCs/>
              </w:rPr>
            </w:pPr>
            <m:oMathPara>
              <m:oMath>
                <m:r>
                  <w:rPr>
                    <w:rFonts w:ascii="Cambria Math" w:hAnsi="Cambria Math"/>
                    <w:lang w:val="en-US"/>
                  </w:rPr>
                  <m:t>0.0682</m:t>
                </m:r>
              </m:oMath>
            </m:oMathPara>
          </w:p>
        </w:tc>
        <w:tc>
          <w:tcPr>
            <w:tcW w:w="1659" w:type="dxa"/>
          </w:tcPr>
          <w:p w14:paraId="589D1195" w14:textId="778418BF" w:rsidR="00054AD5" w:rsidRPr="00054AD5" w:rsidRDefault="00387D9A" w:rsidP="00E14439">
            <w:pPr>
              <w:jc w:val="center"/>
              <w:rPr>
                <w:iCs/>
              </w:rPr>
            </w:pPr>
            <m:oMathPara>
              <m:oMath>
                <m:r>
                  <w:rPr>
                    <w:rFonts w:ascii="Cambria Math" w:hAnsi="Cambria Math"/>
                    <w:lang w:val="en-US"/>
                  </w:rPr>
                  <m:t>0.2611</m:t>
                </m:r>
              </m:oMath>
            </m:oMathPara>
          </w:p>
        </w:tc>
        <w:tc>
          <w:tcPr>
            <w:tcW w:w="1660" w:type="dxa"/>
          </w:tcPr>
          <w:p w14:paraId="1CB857D3" w14:textId="36C71894" w:rsidR="00054AD5" w:rsidRPr="00054AD5" w:rsidRDefault="00387D9A" w:rsidP="00E14439">
            <w:pPr>
              <w:keepNext/>
              <w:jc w:val="center"/>
              <w:rPr>
                <w:iCs/>
              </w:rPr>
            </w:pPr>
            <m:oMathPara>
              <m:oMath>
                <m:r>
                  <w:rPr>
                    <w:rFonts w:ascii="Cambria Math" w:hAnsi="Cambria Math"/>
                    <w:lang w:val="en-US"/>
                  </w:rPr>
                  <m:t>0.9318</m:t>
                </m:r>
              </m:oMath>
            </m:oMathPara>
          </w:p>
        </w:tc>
      </w:tr>
    </w:tbl>
    <w:p w14:paraId="2DB33314" w14:textId="77777777" w:rsidR="00E14439" w:rsidRDefault="00E14439" w:rsidP="00E14439">
      <w:pPr>
        <w:pStyle w:val="Caption"/>
        <w:jc w:val="center"/>
      </w:pPr>
    </w:p>
    <w:p w14:paraId="6AA9796F" w14:textId="46CE0449" w:rsidR="00387D9A" w:rsidRPr="00E14439" w:rsidRDefault="00E14439" w:rsidP="00E14439">
      <w:pPr>
        <w:pStyle w:val="Caption"/>
        <w:jc w:val="center"/>
        <w:rPr>
          <w:b/>
          <w:bCs/>
          <w:iCs w:val="0"/>
        </w:rPr>
      </w:pPr>
      <w:r w:rsidRPr="00E14439">
        <w:rPr>
          <w:b/>
          <w:bCs/>
        </w:rPr>
        <w:t xml:space="preserve">Πίνακας </w:t>
      </w:r>
      <w:r w:rsidRPr="00E14439">
        <w:rPr>
          <w:b/>
          <w:bCs/>
        </w:rPr>
        <w:fldChar w:fldCharType="begin"/>
      </w:r>
      <w:r w:rsidRPr="00E14439">
        <w:rPr>
          <w:b/>
          <w:bCs/>
        </w:rPr>
        <w:instrText xml:space="preserve"> SEQ Πίνακας \* ARABIC </w:instrText>
      </w:r>
      <w:r w:rsidRPr="00E14439">
        <w:rPr>
          <w:b/>
          <w:bCs/>
        </w:rPr>
        <w:fldChar w:fldCharType="separate"/>
      </w:r>
      <w:r w:rsidR="00E30F51">
        <w:rPr>
          <w:b/>
          <w:bCs/>
          <w:noProof/>
        </w:rPr>
        <w:t>2</w:t>
      </w:r>
      <w:r w:rsidRPr="00E14439">
        <w:rPr>
          <w:b/>
          <w:bCs/>
        </w:rPr>
        <w:fldChar w:fldCharType="end"/>
      </w:r>
      <w:r w:rsidRPr="00E14439">
        <w:rPr>
          <w:b/>
          <w:bCs/>
        </w:rPr>
        <w:t xml:space="preserve">: Πίνακας δεικτών απόδοσης των </w:t>
      </w:r>
      <w:r w:rsidRPr="00E14439">
        <w:rPr>
          <w:b/>
          <w:bCs/>
          <w:lang w:val="en-US"/>
        </w:rPr>
        <w:t>TSK</w:t>
      </w:r>
      <w:r w:rsidRPr="00E14439">
        <w:rPr>
          <w:b/>
          <w:bCs/>
        </w:rPr>
        <w:t xml:space="preserve"> μοντέλων</w:t>
      </w:r>
    </w:p>
    <w:p w14:paraId="7AF1FA47" w14:textId="49A9175A" w:rsidR="00387D9A" w:rsidRPr="00E91EE6" w:rsidRDefault="00387D9A" w:rsidP="00054AD5">
      <w:pPr>
        <w:jc w:val="both"/>
        <w:rPr>
          <w:iCs/>
        </w:rPr>
      </w:pPr>
    </w:p>
    <w:p w14:paraId="76F1B5BA" w14:textId="012A39ED" w:rsidR="00E14439" w:rsidRDefault="008421FF" w:rsidP="00054AD5">
      <w:pPr>
        <w:jc w:val="both"/>
        <w:rPr>
          <w:iCs/>
        </w:rPr>
      </w:pPr>
      <w:r>
        <w:rPr>
          <w:iCs/>
        </w:rPr>
        <w:t xml:space="preserve">Το φαινόμενο της υπερεκπαίδευσης παρατηρείται στα </w:t>
      </w:r>
      <w:r>
        <w:rPr>
          <w:iCs/>
          <w:lang w:val="en-US"/>
        </w:rPr>
        <w:t>TSK</w:t>
      </w:r>
      <w:r w:rsidRPr="008421FF">
        <w:rPr>
          <w:iCs/>
        </w:rPr>
        <w:t xml:space="preserve"> </w:t>
      </w:r>
      <w:r>
        <w:rPr>
          <w:iCs/>
        </w:rPr>
        <w:t xml:space="preserve">μοντέλα 3 και 4. Συγκεκριμένα, παρ’όλο που το σφάλμα εκπαίδευσης και στα δύο αυτά </w:t>
      </w:r>
      <w:r w:rsidR="00697A8C">
        <w:rPr>
          <w:iCs/>
        </w:rPr>
        <w:t>αυτά μοντέλα φαίνεται να μειώνεται σε κάθε επανάληψη, το σφάλμα στο σετ αξιολόγησης παραμένει σχεδόν σταθερό. Σύμφωνα με τα αποτελέσματά μου, το φαινόμενο της υπερεκπαίδευσης οφείλεται περισσότερο στη μορφή της εξόδου (πολυωνυμική) παρά στον αριθμό των συναρτήσεων συμμετοχής.</w:t>
      </w:r>
    </w:p>
    <w:p w14:paraId="4BFCEB26" w14:textId="40D5F788" w:rsidR="00E91EE6" w:rsidRDefault="00E91EE6" w:rsidP="00054AD5">
      <w:pPr>
        <w:jc w:val="both"/>
        <w:rPr>
          <w:iCs/>
        </w:rPr>
      </w:pPr>
    </w:p>
    <w:p w14:paraId="6B8602D5" w14:textId="1568963E" w:rsidR="00E91EE6" w:rsidRDefault="00E91EE6" w:rsidP="00E91EE6">
      <w:pPr>
        <w:pStyle w:val="Heading1"/>
      </w:pPr>
      <w:r>
        <w:t>Δεύτερο Μέρος</w:t>
      </w:r>
    </w:p>
    <w:p w14:paraId="778A0872" w14:textId="77777777" w:rsidR="008555B2" w:rsidRDefault="00E91EE6" w:rsidP="00E91EE6">
      <w:pPr>
        <w:jc w:val="both"/>
      </w:pPr>
      <w:r>
        <w:t xml:space="preserve">Το δεύτερο μέρος της εργασίας πραγματεύεται την εφαρμογή μια πιο συστηματική προσέγγιση στο πρόβλημα μοντελοποίησης μιας άγνωστης συνάρτησης σε </w:t>
      </w:r>
      <w:r>
        <w:rPr>
          <w:lang w:val="en-US"/>
        </w:rPr>
        <w:t>dataset</w:t>
      </w:r>
      <w:r w:rsidRPr="00E91EE6">
        <w:t xml:space="preserve"> </w:t>
      </w:r>
      <w:r>
        <w:t>με υψηλή διαστασιμότητα.</w:t>
      </w:r>
      <w:r w:rsidR="00C97D55" w:rsidRPr="00C97D55">
        <w:t xml:space="preserve"> </w:t>
      </w:r>
      <w:r w:rsidR="00C97D55">
        <w:t>Η ιδέα είναι ότι</w:t>
      </w:r>
      <w:r w:rsidR="00415F77">
        <w:t xml:space="preserve"> ο αλγόριθμος αναζήτησης πλέγματος (</w:t>
      </w:r>
      <w:r w:rsidR="00415F77">
        <w:rPr>
          <w:lang w:val="en-US"/>
        </w:rPr>
        <w:t>grid</w:t>
      </w:r>
      <w:r w:rsidR="00415F77" w:rsidRPr="00415F77">
        <w:t xml:space="preserve"> </w:t>
      </w:r>
      <w:r w:rsidR="00415F77">
        <w:rPr>
          <w:lang w:val="en-US"/>
        </w:rPr>
        <w:t>search</w:t>
      </w:r>
      <w:r w:rsidR="00415F77">
        <w:t>) και αξιολόγησης μέσω πεντάπτυχης διασταυρωμένης επικύρωσης (</w:t>
      </w:r>
      <w:r w:rsidR="00415F77" w:rsidRPr="00415F77">
        <w:t>5-</w:t>
      </w:r>
      <w:r w:rsidR="00415F77">
        <w:rPr>
          <w:lang w:val="en-US"/>
        </w:rPr>
        <w:t>fold</w:t>
      </w:r>
      <w:r w:rsidR="00415F77" w:rsidRPr="00415F77">
        <w:t xml:space="preserve"> </w:t>
      </w:r>
      <w:r w:rsidR="00415F77">
        <w:rPr>
          <w:lang w:val="en-US"/>
        </w:rPr>
        <w:t>cross</w:t>
      </w:r>
      <w:r w:rsidR="00415F77" w:rsidRPr="00415F77">
        <w:t xml:space="preserve"> </w:t>
      </w:r>
      <w:r w:rsidR="00415F77">
        <w:rPr>
          <w:lang w:val="en-US"/>
        </w:rPr>
        <w:t>validation</w:t>
      </w:r>
      <w:r w:rsidR="00415F77">
        <w:t>)</w:t>
      </w:r>
      <w:r w:rsidR="00415F77" w:rsidRPr="0074473C">
        <w:t xml:space="preserve"> </w:t>
      </w:r>
      <w:r w:rsidR="0074473C">
        <w:t>προσπαθεί να βρει τις βέλτιστες τιμές στους δύο βαθμούς ελευθερίας που έχει το πρόβλημα, δηλαδή των αριθμό των χαρακτηριστικών που θα ληφθούν υπ’ όψιν και τον τον αριθμό των συναρτήσεων συμμετοχής.</w:t>
      </w:r>
    </w:p>
    <w:p w14:paraId="58C8C106" w14:textId="1D632E54" w:rsidR="00FB09E8" w:rsidRPr="00FB09E8" w:rsidRDefault="008555B2" w:rsidP="00E91EE6">
      <w:pPr>
        <w:jc w:val="both"/>
      </w:pPr>
      <w:r>
        <w:t xml:space="preserve">Αρχικά, εφαρμόζεται ο αλγόριθμος </w:t>
      </w:r>
      <w:r w:rsidR="00A85146">
        <w:rPr>
          <w:lang w:val="en-US"/>
        </w:rPr>
        <w:t>R</w:t>
      </w:r>
      <w:r>
        <w:rPr>
          <w:lang w:val="en-US"/>
        </w:rPr>
        <w:t>elief</w:t>
      </w:r>
      <w:r w:rsidRPr="008555B2">
        <w:t xml:space="preserve"> </w:t>
      </w:r>
      <w:r>
        <w:t xml:space="preserve">ώστε να τοποθετηθούν τα </w:t>
      </w:r>
      <w:r>
        <w:rPr>
          <w:lang w:val="en-US"/>
        </w:rPr>
        <w:t>features</w:t>
      </w:r>
      <w:r w:rsidRPr="008555B2">
        <w:t xml:space="preserve"> </w:t>
      </w:r>
      <w:r>
        <w:t>των δειγμάτων στη βέλτιστη σειρά</w:t>
      </w:r>
      <w:r w:rsidRPr="008555B2">
        <w:t xml:space="preserve">. </w:t>
      </w:r>
      <w:r w:rsidR="0074473C">
        <w:t xml:space="preserve"> </w:t>
      </w:r>
      <w:r w:rsidR="00390E78">
        <w:t xml:space="preserve">Σε κάθε επανάληψη της πεντάπτυχους διασταυρωμένης επικύρωσης γίνεται τυχαία αναδιάταξη των δεδομένων και διαχωρισμός τους και </w:t>
      </w:r>
      <w:r w:rsidR="00390E78">
        <w:rPr>
          <w:lang w:val="en-US"/>
        </w:rPr>
        <w:t>training</w:t>
      </w:r>
      <w:r w:rsidR="00390E78" w:rsidRPr="00390E78">
        <w:t xml:space="preserve"> </w:t>
      </w:r>
      <w:r w:rsidR="00390E78">
        <w:rPr>
          <w:lang w:val="en-US"/>
        </w:rPr>
        <w:t>set</w:t>
      </w:r>
      <w:r w:rsidR="00390E78" w:rsidRPr="00390E78">
        <w:t xml:space="preserve"> </w:t>
      </w:r>
      <w:r w:rsidR="00390E78">
        <w:t>(</w:t>
      </w:r>
      <m:oMath>
        <m:r>
          <w:rPr>
            <w:rFonts w:ascii="Cambria Math" w:hAnsi="Cambria Math"/>
          </w:rPr>
          <m:t>80%</m:t>
        </m:r>
      </m:oMath>
      <w:r w:rsidR="00390E78">
        <w:t xml:space="preserve"> των δεδομένων) και </w:t>
      </w:r>
      <w:r w:rsidR="00390E78">
        <w:rPr>
          <w:lang w:val="en-US"/>
        </w:rPr>
        <w:t>test</w:t>
      </w:r>
      <w:r w:rsidR="00390E78" w:rsidRPr="00390E78">
        <w:t xml:space="preserve"> </w:t>
      </w:r>
      <w:r w:rsidR="00390E78">
        <w:rPr>
          <w:lang w:val="en-US"/>
        </w:rPr>
        <w:t>set</w:t>
      </w:r>
      <w:r w:rsidR="00390E78" w:rsidRPr="00390E78">
        <w:t xml:space="preserve"> (</w:t>
      </w:r>
      <m:oMath>
        <m:r>
          <w:rPr>
            <w:rFonts w:ascii="Cambria Math" w:hAnsi="Cambria Math"/>
          </w:rPr>
          <m:t>20%</m:t>
        </m:r>
      </m:oMath>
      <w:r w:rsidR="00390E78" w:rsidRPr="00390E78">
        <w:t xml:space="preserve"> </w:t>
      </w:r>
      <w:r w:rsidR="00390E78">
        <w:t>των δεδομένων</w:t>
      </w:r>
      <w:r w:rsidR="00390E78" w:rsidRPr="00390E78">
        <w:t>)</w:t>
      </w:r>
      <w:r w:rsidR="00390E78">
        <w:t xml:space="preserve"> με τη βοήθεια της συνάρτησης </w:t>
      </w:r>
      <w:proofErr w:type="spellStart"/>
      <w:r w:rsidR="00390E78" w:rsidRPr="00390E78">
        <w:rPr>
          <w:rFonts w:ascii="Courier New" w:hAnsi="Courier New" w:cs="Courier New"/>
          <w:sz w:val="20"/>
          <w:lang w:val="en-US"/>
        </w:rPr>
        <w:t>cvpartition</w:t>
      </w:r>
      <w:proofErr w:type="spellEnd"/>
      <w:r w:rsidR="00390E78" w:rsidRPr="00390E78">
        <w:rPr>
          <w:rFonts w:ascii="Courier New" w:hAnsi="Courier New" w:cs="Courier New"/>
          <w:sz w:val="20"/>
        </w:rPr>
        <w:t>()</w:t>
      </w:r>
      <w:r w:rsidR="00390E78" w:rsidRPr="00390E78">
        <w:t xml:space="preserve"> </w:t>
      </w:r>
      <w:r w:rsidR="00390E78">
        <w:t xml:space="preserve">του </w:t>
      </w:r>
      <w:proofErr w:type="spellStart"/>
      <w:r w:rsidR="00390E78">
        <w:rPr>
          <w:lang w:val="en-US"/>
        </w:rPr>
        <w:t>Matlab</w:t>
      </w:r>
      <w:proofErr w:type="spellEnd"/>
      <w:r w:rsidR="00390E78">
        <w:t>.</w:t>
      </w:r>
      <w:r w:rsidR="00390E78" w:rsidRPr="00390E78">
        <w:t xml:space="preserve"> </w:t>
      </w:r>
      <w:r w:rsidR="00390E78">
        <w:t xml:space="preserve">Για τη δημιουργία του μοντέλου χρησιμοποιείται η συνάρτηση </w:t>
      </w:r>
      <w:proofErr w:type="spellStart"/>
      <w:r w:rsidR="00390E78" w:rsidRPr="00FB09E8">
        <w:rPr>
          <w:rFonts w:ascii="Courier New" w:hAnsi="Courier New" w:cs="Courier New"/>
          <w:sz w:val="20"/>
          <w:lang w:val="en-US"/>
        </w:rPr>
        <w:t>genfis</w:t>
      </w:r>
      <w:proofErr w:type="spellEnd"/>
      <w:r w:rsidR="00390E78" w:rsidRPr="00FB09E8">
        <w:rPr>
          <w:rFonts w:ascii="Courier New" w:hAnsi="Courier New" w:cs="Courier New"/>
          <w:sz w:val="20"/>
        </w:rPr>
        <w:t>3()</w:t>
      </w:r>
      <w:r w:rsidR="00390E78" w:rsidRPr="00390E78">
        <w:t xml:space="preserve"> </w:t>
      </w:r>
      <w:r w:rsidR="00390E78">
        <w:t xml:space="preserve">του </w:t>
      </w:r>
      <w:proofErr w:type="spellStart"/>
      <w:r w:rsidR="00390E78">
        <w:rPr>
          <w:lang w:val="en-US"/>
        </w:rPr>
        <w:t>Matlab</w:t>
      </w:r>
      <w:proofErr w:type="spellEnd"/>
      <w:r w:rsidR="00390E78" w:rsidRPr="00390E78">
        <w:t xml:space="preserve">, </w:t>
      </w:r>
      <w:r w:rsidR="00390E78">
        <w:t xml:space="preserve">η οποία χρησιμοποιεί τον αλγόριθμο </w:t>
      </w:r>
      <w:r w:rsidR="00390E78">
        <w:rPr>
          <w:lang w:val="en-US"/>
        </w:rPr>
        <w:t>Fuzzy</w:t>
      </w:r>
      <w:r w:rsidR="00390E78" w:rsidRPr="00390E78">
        <w:t xml:space="preserve"> </w:t>
      </w:r>
      <w:r w:rsidR="00390E78">
        <w:rPr>
          <w:lang w:val="en-US"/>
        </w:rPr>
        <w:t>C</w:t>
      </w:r>
      <w:r w:rsidR="00390E78" w:rsidRPr="00390E78">
        <w:t>-</w:t>
      </w:r>
      <w:r w:rsidR="00390E78">
        <w:rPr>
          <w:lang w:val="en-US"/>
        </w:rPr>
        <w:t>means</w:t>
      </w:r>
      <w:r w:rsidR="00390E78" w:rsidRPr="00390E78">
        <w:t xml:space="preserve"> </w:t>
      </w:r>
      <w:r w:rsidR="00FB09E8">
        <w:t xml:space="preserve">για την ομαδοποίηση των δεδομένων. Το μοντέλο εκπαιδεύεται με τη συνάρτηση </w:t>
      </w:r>
      <w:proofErr w:type="spellStart"/>
      <w:r w:rsidR="00FB09E8">
        <w:rPr>
          <w:rFonts w:ascii="Courier New" w:hAnsi="Courier New" w:cs="Courier New"/>
          <w:sz w:val="20"/>
          <w:lang w:val="en-US"/>
        </w:rPr>
        <w:t>a</w:t>
      </w:r>
      <w:r w:rsidR="00FB09E8" w:rsidRPr="00FB09E8">
        <w:rPr>
          <w:rFonts w:ascii="Courier New" w:hAnsi="Courier New" w:cs="Courier New"/>
          <w:sz w:val="20"/>
          <w:lang w:val="en-US"/>
        </w:rPr>
        <w:t>nfis</w:t>
      </w:r>
      <w:proofErr w:type="spellEnd"/>
      <w:r w:rsidR="00FB09E8" w:rsidRPr="00FB09E8">
        <w:rPr>
          <w:rFonts w:ascii="Courier New" w:hAnsi="Courier New" w:cs="Courier New"/>
          <w:sz w:val="20"/>
        </w:rPr>
        <w:t>()</w:t>
      </w:r>
      <w:r w:rsidR="00FB09E8" w:rsidRPr="00390E78">
        <w:t xml:space="preserve"> </w:t>
      </w:r>
      <w:r w:rsidR="00FB09E8">
        <w:t xml:space="preserve">του </w:t>
      </w:r>
      <w:proofErr w:type="spellStart"/>
      <w:r w:rsidR="00FB09E8">
        <w:rPr>
          <w:lang w:val="en-US"/>
        </w:rPr>
        <w:t>Matlab</w:t>
      </w:r>
      <w:proofErr w:type="spellEnd"/>
      <w:r w:rsidR="00FB09E8">
        <w:t xml:space="preserve"> και τα αποτελέσματα των μέσων όρων των σφαλμάτων σε κάθε περίπτωση συσσωρεύονται στον πίνακα 3.</w:t>
      </w:r>
    </w:p>
    <w:tbl>
      <w:tblPr>
        <w:tblStyle w:val="TableGrid"/>
        <w:tblW w:w="0" w:type="auto"/>
        <w:tblInd w:w="720" w:type="dxa"/>
        <w:tblLook w:val="04A0" w:firstRow="1" w:lastRow="0" w:firstColumn="1" w:lastColumn="0" w:noHBand="0" w:noVBand="1"/>
      </w:tblPr>
      <w:tblGrid>
        <w:gridCol w:w="1382"/>
        <w:gridCol w:w="1383"/>
        <w:gridCol w:w="1383"/>
        <w:gridCol w:w="1383"/>
        <w:gridCol w:w="1383"/>
      </w:tblGrid>
      <w:tr w:rsidR="00D13F4C" w14:paraId="20B44789" w14:textId="77777777" w:rsidTr="008555B2">
        <w:trPr>
          <w:trHeight w:val="548"/>
        </w:trPr>
        <w:tc>
          <w:tcPr>
            <w:tcW w:w="1382" w:type="dxa"/>
            <w:tcBorders>
              <w:top w:val="single" w:sz="4" w:space="0" w:color="auto"/>
              <w:left w:val="single" w:sz="4" w:space="0" w:color="auto"/>
              <w:bottom w:val="single" w:sz="4" w:space="0" w:color="auto"/>
              <w:right w:val="single" w:sz="4" w:space="0" w:color="auto"/>
              <w:tl2br w:val="single" w:sz="4" w:space="0" w:color="auto"/>
            </w:tcBorders>
            <w:shd w:val="clear" w:color="auto" w:fill="8EAADB" w:themeFill="accent1" w:themeFillTint="99"/>
          </w:tcPr>
          <w:p w14:paraId="6B4D1ACA" w14:textId="38C3FBBA" w:rsidR="008555B2" w:rsidRPr="008555B2" w:rsidRDefault="008555B2" w:rsidP="008555B2">
            <w:pPr>
              <w:jc w:val="center"/>
              <w:rPr>
                <w:b/>
                <w:bCs/>
                <w:lang w:val="en-US"/>
              </w:rPr>
            </w:pPr>
            <w:r w:rsidRPr="008555B2">
              <w:rPr>
                <w:b/>
                <w:bCs/>
                <w:lang w:val="en-US"/>
              </w:rPr>
              <w:t>NF</w:t>
            </w:r>
          </w:p>
          <w:p w14:paraId="26DB6645" w14:textId="0AF75C8B" w:rsidR="00D13F4C" w:rsidRPr="008555B2" w:rsidRDefault="008555B2" w:rsidP="008555B2">
            <w:pPr>
              <w:jc w:val="center"/>
              <w:rPr>
                <w:b/>
                <w:bCs/>
                <w:lang w:val="en-US"/>
              </w:rPr>
            </w:pPr>
            <w:r w:rsidRPr="008555B2">
              <w:rPr>
                <w:b/>
                <w:bCs/>
                <w:lang w:val="en-US"/>
              </w:rPr>
              <w:t>NR</w:t>
            </w:r>
          </w:p>
        </w:tc>
        <w:tc>
          <w:tcPr>
            <w:tcW w:w="1383" w:type="dxa"/>
            <w:tcBorders>
              <w:left w:val="single" w:sz="4" w:space="0" w:color="auto"/>
            </w:tcBorders>
            <w:shd w:val="clear" w:color="auto" w:fill="8EAADB" w:themeFill="accent1" w:themeFillTint="99"/>
          </w:tcPr>
          <w:p w14:paraId="49EF35B0" w14:textId="1D50B30F" w:rsidR="00D13F4C" w:rsidRDefault="00382B2E" w:rsidP="008555B2">
            <w:pPr>
              <w:jc w:val="center"/>
              <w:rPr>
                <w:lang w:val="en-US"/>
              </w:rPr>
            </w:pPr>
            <m:oMathPara>
              <m:oMath>
                <m:r>
                  <w:rPr>
                    <w:rFonts w:ascii="Cambria Math" w:hAnsi="Cambria Math"/>
                    <w:lang w:val="en-US"/>
                  </w:rPr>
                  <m:t>3</m:t>
                </m:r>
              </m:oMath>
            </m:oMathPara>
          </w:p>
        </w:tc>
        <w:tc>
          <w:tcPr>
            <w:tcW w:w="1383" w:type="dxa"/>
            <w:shd w:val="clear" w:color="auto" w:fill="8EAADB" w:themeFill="accent1" w:themeFillTint="99"/>
          </w:tcPr>
          <w:p w14:paraId="78EB8BDB" w14:textId="4EB18EE4" w:rsidR="00D13F4C" w:rsidRDefault="00382B2E" w:rsidP="008555B2">
            <w:pPr>
              <w:jc w:val="center"/>
              <w:rPr>
                <w:lang w:val="en-US"/>
              </w:rPr>
            </w:pPr>
            <m:oMathPara>
              <m:oMath>
                <m:r>
                  <w:rPr>
                    <w:rFonts w:ascii="Cambria Math" w:hAnsi="Cambria Math"/>
                    <w:lang w:val="en-US"/>
                  </w:rPr>
                  <m:t>6</m:t>
                </m:r>
              </m:oMath>
            </m:oMathPara>
          </w:p>
        </w:tc>
        <w:tc>
          <w:tcPr>
            <w:tcW w:w="1383" w:type="dxa"/>
            <w:shd w:val="clear" w:color="auto" w:fill="8EAADB" w:themeFill="accent1" w:themeFillTint="99"/>
          </w:tcPr>
          <w:p w14:paraId="7F61587A" w14:textId="4775FF44" w:rsidR="00D13F4C" w:rsidRDefault="00382B2E" w:rsidP="008555B2">
            <w:pPr>
              <w:jc w:val="center"/>
              <w:rPr>
                <w:lang w:val="en-US"/>
              </w:rPr>
            </w:pPr>
            <m:oMathPara>
              <m:oMath>
                <m:r>
                  <w:rPr>
                    <w:rFonts w:ascii="Cambria Math" w:hAnsi="Cambria Math"/>
                    <w:lang w:val="en-US"/>
                  </w:rPr>
                  <m:t>9</m:t>
                </m:r>
              </m:oMath>
            </m:oMathPara>
          </w:p>
        </w:tc>
        <w:tc>
          <w:tcPr>
            <w:tcW w:w="1383" w:type="dxa"/>
            <w:shd w:val="clear" w:color="auto" w:fill="8EAADB" w:themeFill="accent1" w:themeFillTint="99"/>
          </w:tcPr>
          <w:p w14:paraId="548C2D57" w14:textId="5A1DD338" w:rsidR="00D13F4C" w:rsidRDefault="00382B2E" w:rsidP="008555B2">
            <w:pPr>
              <w:jc w:val="center"/>
              <w:rPr>
                <w:lang w:val="en-US"/>
              </w:rPr>
            </w:pPr>
            <m:oMathPara>
              <m:oMath>
                <m:r>
                  <w:rPr>
                    <w:rFonts w:ascii="Cambria Math" w:hAnsi="Cambria Math"/>
                    <w:lang w:val="en-US"/>
                  </w:rPr>
                  <m:t>12</m:t>
                </m:r>
              </m:oMath>
            </m:oMathPara>
          </w:p>
        </w:tc>
      </w:tr>
      <w:tr w:rsidR="00D13F4C" w14:paraId="07704961" w14:textId="77777777" w:rsidTr="008555B2">
        <w:tc>
          <w:tcPr>
            <w:tcW w:w="1382" w:type="dxa"/>
            <w:tcBorders>
              <w:top w:val="single" w:sz="4" w:space="0" w:color="auto"/>
            </w:tcBorders>
            <w:shd w:val="clear" w:color="auto" w:fill="8EAADB" w:themeFill="accent1" w:themeFillTint="99"/>
          </w:tcPr>
          <w:p w14:paraId="27BB6434" w14:textId="4B45585A" w:rsidR="00D13F4C" w:rsidRDefault="00382B2E" w:rsidP="008555B2">
            <w:pPr>
              <w:jc w:val="center"/>
              <w:rPr>
                <w:lang w:val="en-US"/>
              </w:rPr>
            </w:pPr>
            <m:oMathPara>
              <m:oMath>
                <m:r>
                  <w:rPr>
                    <w:rFonts w:ascii="Cambria Math" w:hAnsi="Cambria Math"/>
                    <w:lang w:val="en-US"/>
                  </w:rPr>
                  <m:t>3</m:t>
                </m:r>
              </m:oMath>
            </m:oMathPara>
          </w:p>
        </w:tc>
        <w:tc>
          <w:tcPr>
            <w:tcW w:w="1383" w:type="dxa"/>
          </w:tcPr>
          <w:p w14:paraId="5AFFD7D6" w14:textId="64D5D509" w:rsidR="00D13F4C" w:rsidRDefault="00B76E50" w:rsidP="008555B2">
            <w:pPr>
              <w:jc w:val="center"/>
              <w:rPr>
                <w:lang w:val="en-US"/>
              </w:rPr>
            </w:pPr>
            <m:oMathPara>
              <m:oMath>
                <m:r>
                  <w:rPr>
                    <w:rFonts w:ascii="Cambria Math" w:hAnsi="Cambria Math"/>
                    <w:lang w:val="en-US"/>
                  </w:rPr>
                  <m:t>21.3729</m:t>
                </m:r>
              </m:oMath>
            </m:oMathPara>
          </w:p>
        </w:tc>
        <w:tc>
          <w:tcPr>
            <w:tcW w:w="1383" w:type="dxa"/>
          </w:tcPr>
          <w:p w14:paraId="24080862" w14:textId="7A09F739" w:rsidR="00D13F4C" w:rsidRDefault="00B76E50" w:rsidP="008555B2">
            <w:pPr>
              <w:jc w:val="center"/>
              <w:rPr>
                <w:lang w:val="en-US"/>
              </w:rPr>
            </w:pPr>
            <m:oMathPara>
              <m:oMath>
                <m:r>
                  <w:rPr>
                    <w:rFonts w:ascii="Cambria Math" w:hAnsi="Cambria Math"/>
                    <w:lang w:val="en-US"/>
                  </w:rPr>
                  <m:t>20.0464</m:t>
                </m:r>
              </m:oMath>
            </m:oMathPara>
          </w:p>
        </w:tc>
        <w:tc>
          <w:tcPr>
            <w:tcW w:w="1383" w:type="dxa"/>
          </w:tcPr>
          <w:p w14:paraId="633650B2" w14:textId="5F26457B" w:rsidR="00D13F4C" w:rsidRDefault="00B76E50" w:rsidP="008555B2">
            <w:pPr>
              <w:jc w:val="center"/>
              <w:rPr>
                <w:lang w:val="en-US"/>
              </w:rPr>
            </w:pPr>
            <m:oMathPara>
              <m:oMath>
                <m:r>
                  <w:rPr>
                    <w:rFonts w:ascii="Cambria Math" w:hAnsi="Cambria Math"/>
                    <w:lang w:val="en-US"/>
                  </w:rPr>
                  <m:t>19.9956</m:t>
                </m:r>
              </m:oMath>
            </m:oMathPara>
          </w:p>
        </w:tc>
        <w:tc>
          <w:tcPr>
            <w:tcW w:w="1383" w:type="dxa"/>
          </w:tcPr>
          <w:p w14:paraId="35C2A63D" w14:textId="1C3672AD" w:rsidR="00D13F4C" w:rsidRDefault="00B76E50" w:rsidP="008555B2">
            <w:pPr>
              <w:jc w:val="center"/>
              <w:rPr>
                <w:lang w:val="en-US"/>
              </w:rPr>
            </w:pPr>
            <m:oMathPara>
              <m:oMath>
                <m:r>
                  <w:rPr>
                    <w:rFonts w:ascii="Cambria Math" w:hAnsi="Cambria Math"/>
                    <w:lang w:val="en-US"/>
                  </w:rPr>
                  <m:t>17.6465</m:t>
                </m:r>
              </m:oMath>
            </m:oMathPara>
          </w:p>
        </w:tc>
      </w:tr>
      <w:tr w:rsidR="00D13F4C" w14:paraId="67BA53B4" w14:textId="77777777" w:rsidTr="008555B2">
        <w:tc>
          <w:tcPr>
            <w:tcW w:w="1382" w:type="dxa"/>
            <w:shd w:val="clear" w:color="auto" w:fill="8EAADB" w:themeFill="accent1" w:themeFillTint="99"/>
          </w:tcPr>
          <w:p w14:paraId="357BBEB4" w14:textId="4EB5BCE4" w:rsidR="00D13F4C" w:rsidRDefault="00382B2E" w:rsidP="008555B2">
            <w:pPr>
              <w:jc w:val="center"/>
              <w:rPr>
                <w:lang w:val="en-US"/>
              </w:rPr>
            </w:pPr>
            <m:oMathPara>
              <m:oMath>
                <m:r>
                  <w:rPr>
                    <w:rFonts w:ascii="Cambria Math" w:hAnsi="Cambria Math"/>
                    <w:lang w:val="en-US"/>
                  </w:rPr>
                  <m:t>6</m:t>
                </m:r>
              </m:oMath>
            </m:oMathPara>
          </w:p>
        </w:tc>
        <w:tc>
          <w:tcPr>
            <w:tcW w:w="1383" w:type="dxa"/>
          </w:tcPr>
          <w:p w14:paraId="674FC0A7" w14:textId="327F4528" w:rsidR="00D13F4C" w:rsidRDefault="00B76E50" w:rsidP="008555B2">
            <w:pPr>
              <w:jc w:val="center"/>
              <w:rPr>
                <w:lang w:val="en-US"/>
              </w:rPr>
            </w:pPr>
            <m:oMathPara>
              <m:oMath>
                <m:r>
                  <w:rPr>
                    <w:rFonts w:ascii="Cambria Math" w:hAnsi="Cambria Math"/>
                    <w:lang w:val="en-US"/>
                  </w:rPr>
                  <m:t>20.7828</m:t>
                </m:r>
              </m:oMath>
            </m:oMathPara>
          </w:p>
        </w:tc>
        <w:tc>
          <w:tcPr>
            <w:tcW w:w="1383" w:type="dxa"/>
          </w:tcPr>
          <w:p w14:paraId="799EA885" w14:textId="196BF10E" w:rsidR="00D13F4C" w:rsidRDefault="00B76E50" w:rsidP="008555B2">
            <w:pPr>
              <w:jc w:val="center"/>
              <w:rPr>
                <w:lang w:val="en-US"/>
              </w:rPr>
            </w:pPr>
            <m:oMathPara>
              <m:oMath>
                <m:r>
                  <w:rPr>
                    <w:rFonts w:ascii="Cambria Math" w:hAnsi="Cambria Math"/>
                    <w:lang w:val="en-US"/>
                  </w:rPr>
                  <m:t>19.4576</m:t>
                </m:r>
              </m:oMath>
            </m:oMathPara>
          </w:p>
        </w:tc>
        <w:tc>
          <w:tcPr>
            <w:tcW w:w="1383" w:type="dxa"/>
          </w:tcPr>
          <w:p w14:paraId="56B3FF0F" w14:textId="1BADC018" w:rsidR="00D13F4C" w:rsidRDefault="00B76E50" w:rsidP="008555B2">
            <w:pPr>
              <w:jc w:val="center"/>
              <w:rPr>
                <w:lang w:val="en-US"/>
              </w:rPr>
            </w:pPr>
            <m:oMathPara>
              <m:oMath>
                <m:r>
                  <w:rPr>
                    <w:rFonts w:ascii="Cambria Math" w:hAnsi="Cambria Math"/>
                    <w:lang w:val="en-US"/>
                  </w:rPr>
                  <m:t>18.4441</m:t>
                </m:r>
              </m:oMath>
            </m:oMathPara>
          </w:p>
        </w:tc>
        <w:tc>
          <w:tcPr>
            <w:tcW w:w="1383" w:type="dxa"/>
          </w:tcPr>
          <w:p w14:paraId="524CCF52" w14:textId="01D1140E" w:rsidR="00D13F4C" w:rsidRPr="008555B2" w:rsidRDefault="00B76E50" w:rsidP="008555B2">
            <w:pPr>
              <w:jc w:val="center"/>
            </w:pPr>
            <m:oMathPara>
              <m:oMath>
                <m:r>
                  <w:rPr>
                    <w:rFonts w:ascii="Cambria Math" w:hAnsi="Cambria Math"/>
                    <w:lang w:val="en-US"/>
                  </w:rPr>
                  <m:t xml:space="preserve"> 17.2564</m:t>
                </m:r>
              </m:oMath>
            </m:oMathPara>
          </w:p>
        </w:tc>
      </w:tr>
      <w:tr w:rsidR="00D13F4C" w14:paraId="1453655B" w14:textId="77777777" w:rsidTr="008555B2">
        <w:tc>
          <w:tcPr>
            <w:tcW w:w="1382" w:type="dxa"/>
            <w:shd w:val="clear" w:color="auto" w:fill="8EAADB" w:themeFill="accent1" w:themeFillTint="99"/>
          </w:tcPr>
          <w:p w14:paraId="537C4C8C" w14:textId="333B3730" w:rsidR="00D13F4C" w:rsidRDefault="00382B2E" w:rsidP="008555B2">
            <w:pPr>
              <w:jc w:val="center"/>
              <w:rPr>
                <w:lang w:val="en-US"/>
              </w:rPr>
            </w:pPr>
            <m:oMathPara>
              <m:oMath>
                <m:r>
                  <w:rPr>
                    <w:rFonts w:ascii="Cambria Math" w:hAnsi="Cambria Math"/>
                    <w:lang w:val="en-US"/>
                  </w:rPr>
                  <m:t>9</m:t>
                </m:r>
              </m:oMath>
            </m:oMathPara>
          </w:p>
        </w:tc>
        <w:tc>
          <w:tcPr>
            <w:tcW w:w="1383" w:type="dxa"/>
          </w:tcPr>
          <w:p w14:paraId="62917CFC" w14:textId="53C951C5" w:rsidR="00D13F4C" w:rsidRDefault="00B76E50" w:rsidP="008555B2">
            <w:pPr>
              <w:jc w:val="center"/>
              <w:rPr>
                <w:lang w:val="en-US"/>
              </w:rPr>
            </w:pPr>
            <m:oMathPara>
              <m:oMath>
                <m:r>
                  <w:rPr>
                    <w:rFonts w:ascii="Cambria Math" w:hAnsi="Cambria Math"/>
                    <w:lang w:val="en-US"/>
                  </w:rPr>
                  <m:t>20.1496</m:t>
                </m:r>
              </m:oMath>
            </m:oMathPara>
          </w:p>
        </w:tc>
        <w:tc>
          <w:tcPr>
            <w:tcW w:w="1383" w:type="dxa"/>
          </w:tcPr>
          <w:p w14:paraId="0274BF7E" w14:textId="4827C26D" w:rsidR="00D13F4C" w:rsidRDefault="00B76E50" w:rsidP="008555B2">
            <w:pPr>
              <w:jc w:val="center"/>
              <w:rPr>
                <w:lang w:val="en-US"/>
              </w:rPr>
            </w:pPr>
            <m:oMathPara>
              <m:oMath>
                <m:r>
                  <w:rPr>
                    <w:rFonts w:ascii="Cambria Math" w:hAnsi="Cambria Math"/>
                    <w:lang w:val="en-US"/>
                  </w:rPr>
                  <m:t>18.7601</m:t>
                </m:r>
              </m:oMath>
            </m:oMathPara>
          </w:p>
        </w:tc>
        <w:tc>
          <w:tcPr>
            <w:tcW w:w="1383" w:type="dxa"/>
          </w:tcPr>
          <w:p w14:paraId="53E3067C" w14:textId="254C6DCE" w:rsidR="00D13F4C" w:rsidRDefault="00382B2E" w:rsidP="008555B2">
            <w:pPr>
              <w:jc w:val="center"/>
              <w:rPr>
                <w:lang w:val="en-US"/>
              </w:rPr>
            </w:pPr>
            <m:oMathPara>
              <m:oMath>
                <m:r>
                  <w:rPr>
                    <w:rFonts w:ascii="Cambria Math" w:hAnsi="Cambria Math"/>
                    <w:lang w:val="en-US"/>
                  </w:rPr>
                  <m:t xml:space="preserve"> </m:t>
                </m:r>
                <m:r>
                  <w:rPr>
                    <w:rFonts w:ascii="Cambria Math" w:hAnsi="Cambria Math"/>
                    <w:lang w:val="en-US"/>
                  </w:rPr>
                  <m:t>17.6631</m:t>
                </m:r>
              </m:oMath>
            </m:oMathPara>
          </w:p>
        </w:tc>
        <w:tc>
          <w:tcPr>
            <w:tcW w:w="1383" w:type="dxa"/>
          </w:tcPr>
          <w:p w14:paraId="477CA85A" w14:textId="38BBB59A" w:rsidR="00D13F4C" w:rsidRDefault="00B76E50" w:rsidP="008555B2">
            <w:pPr>
              <w:jc w:val="center"/>
              <w:rPr>
                <w:lang w:val="en-US"/>
              </w:rPr>
            </w:pPr>
            <m:oMathPara>
              <m:oMath>
                <m:r>
                  <w:rPr>
                    <w:rFonts w:ascii="Cambria Math" w:hAnsi="Cambria Math"/>
                    <w:lang w:val="en-US"/>
                  </w:rPr>
                  <m:t>16.9698</m:t>
                </m:r>
              </m:oMath>
            </m:oMathPara>
          </w:p>
        </w:tc>
      </w:tr>
      <w:tr w:rsidR="00D13F4C" w14:paraId="2305ADA6" w14:textId="77777777" w:rsidTr="008555B2">
        <w:tc>
          <w:tcPr>
            <w:tcW w:w="1382" w:type="dxa"/>
            <w:shd w:val="clear" w:color="auto" w:fill="8EAADB" w:themeFill="accent1" w:themeFillTint="99"/>
          </w:tcPr>
          <w:p w14:paraId="40538F7E" w14:textId="6B4BF390" w:rsidR="00D13F4C" w:rsidRDefault="00382B2E" w:rsidP="008555B2">
            <w:pPr>
              <w:jc w:val="center"/>
              <w:rPr>
                <w:lang w:val="en-US"/>
              </w:rPr>
            </w:pPr>
            <m:oMathPara>
              <m:oMath>
                <m:r>
                  <w:rPr>
                    <w:rFonts w:ascii="Cambria Math" w:hAnsi="Cambria Math"/>
                    <w:lang w:val="en-US"/>
                  </w:rPr>
                  <m:t>12</m:t>
                </m:r>
              </m:oMath>
            </m:oMathPara>
          </w:p>
        </w:tc>
        <w:tc>
          <w:tcPr>
            <w:tcW w:w="1383" w:type="dxa"/>
          </w:tcPr>
          <w:p w14:paraId="60B49EBA" w14:textId="676506BF" w:rsidR="00D13F4C" w:rsidRDefault="00B76E50" w:rsidP="008555B2">
            <w:pPr>
              <w:jc w:val="center"/>
              <w:rPr>
                <w:lang w:val="en-US"/>
              </w:rPr>
            </w:pPr>
            <m:oMathPara>
              <m:oMath>
                <m:r>
                  <w:rPr>
                    <w:rFonts w:ascii="Cambria Math" w:hAnsi="Cambria Math"/>
                    <w:lang w:val="en-US"/>
                  </w:rPr>
                  <m:t>19.7705</m:t>
                </m:r>
              </m:oMath>
            </m:oMathPara>
          </w:p>
        </w:tc>
        <w:tc>
          <w:tcPr>
            <w:tcW w:w="1383" w:type="dxa"/>
          </w:tcPr>
          <w:p w14:paraId="0C3A2A21" w14:textId="2884510D" w:rsidR="00D13F4C" w:rsidRDefault="00B76E50" w:rsidP="008555B2">
            <w:pPr>
              <w:jc w:val="center"/>
              <w:rPr>
                <w:lang w:val="en-US"/>
              </w:rPr>
            </w:pPr>
            <m:oMathPara>
              <m:oMath>
                <m:r>
                  <w:rPr>
                    <w:rFonts w:ascii="Cambria Math" w:hAnsi="Cambria Math"/>
                    <w:lang w:val="en-US"/>
                  </w:rPr>
                  <m:t>18.5147</m:t>
                </m:r>
              </m:oMath>
            </m:oMathPara>
          </w:p>
        </w:tc>
        <w:tc>
          <w:tcPr>
            <w:tcW w:w="1383" w:type="dxa"/>
          </w:tcPr>
          <w:p w14:paraId="2E6EDE53" w14:textId="62AA3924" w:rsidR="00D13F4C" w:rsidRPr="008555B2" w:rsidRDefault="00B76E50" w:rsidP="008555B2">
            <w:pPr>
              <w:jc w:val="center"/>
            </w:pPr>
            <m:oMathPara>
              <m:oMath>
                <m:r>
                  <w:rPr>
                    <w:rFonts w:ascii="Cambria Math" w:hAnsi="Cambria Math"/>
                    <w:color w:val="000000" w:themeColor="text1"/>
                    <w:lang w:val="en-US"/>
                  </w:rPr>
                  <m:t>17.1003</m:t>
                </m:r>
              </m:oMath>
            </m:oMathPara>
          </w:p>
        </w:tc>
        <w:tc>
          <w:tcPr>
            <w:tcW w:w="1383" w:type="dxa"/>
          </w:tcPr>
          <w:p w14:paraId="6E53E1AD" w14:textId="0222539E" w:rsidR="00D13F4C" w:rsidRDefault="00B76E50" w:rsidP="008555B2">
            <w:pPr>
              <w:jc w:val="center"/>
              <w:rPr>
                <w:lang w:val="en-US"/>
              </w:rPr>
            </w:pPr>
            <m:oMathPara>
              <m:oMath>
                <m:r>
                  <w:rPr>
                    <w:rFonts w:ascii="Cambria Math" w:hAnsi="Cambria Math"/>
                    <w:lang w:val="en-US"/>
                  </w:rPr>
                  <m:t>16.5736</m:t>
                </m:r>
              </m:oMath>
            </m:oMathPara>
          </w:p>
        </w:tc>
      </w:tr>
      <w:tr w:rsidR="00D13F4C" w14:paraId="22665016" w14:textId="77777777" w:rsidTr="008555B2">
        <w:trPr>
          <w:trHeight w:val="242"/>
        </w:trPr>
        <w:tc>
          <w:tcPr>
            <w:tcW w:w="1382" w:type="dxa"/>
            <w:shd w:val="clear" w:color="auto" w:fill="8EAADB" w:themeFill="accent1" w:themeFillTint="99"/>
          </w:tcPr>
          <w:p w14:paraId="51BC64B4" w14:textId="4C20D06E" w:rsidR="00D13F4C" w:rsidRDefault="00382B2E" w:rsidP="008555B2">
            <w:pPr>
              <w:jc w:val="center"/>
              <w:rPr>
                <w:lang w:val="en-US"/>
              </w:rPr>
            </w:pPr>
            <m:oMathPara>
              <m:oMath>
                <m:r>
                  <w:rPr>
                    <w:rFonts w:ascii="Cambria Math" w:hAnsi="Cambria Math"/>
                    <w:lang w:val="en-US"/>
                  </w:rPr>
                  <m:t>15</m:t>
                </m:r>
              </m:oMath>
            </m:oMathPara>
          </w:p>
        </w:tc>
        <w:tc>
          <w:tcPr>
            <w:tcW w:w="1383" w:type="dxa"/>
          </w:tcPr>
          <w:p w14:paraId="4370297A" w14:textId="03A228CE" w:rsidR="00D13F4C" w:rsidRDefault="00B76E50" w:rsidP="008555B2">
            <w:pPr>
              <w:jc w:val="center"/>
              <w:rPr>
                <w:lang w:val="en-US"/>
              </w:rPr>
            </w:pPr>
            <m:oMathPara>
              <m:oMath>
                <m:r>
                  <w:rPr>
                    <w:rFonts w:ascii="Cambria Math" w:hAnsi="Cambria Math"/>
                    <w:lang w:val="en-US"/>
                  </w:rPr>
                  <m:t>19.9875</m:t>
                </m:r>
              </m:oMath>
            </m:oMathPara>
          </w:p>
        </w:tc>
        <w:tc>
          <w:tcPr>
            <w:tcW w:w="1383" w:type="dxa"/>
          </w:tcPr>
          <w:p w14:paraId="40F4103A" w14:textId="747D9FB8" w:rsidR="00D13F4C" w:rsidRDefault="00B76E50" w:rsidP="008555B2">
            <w:pPr>
              <w:jc w:val="center"/>
              <w:rPr>
                <w:lang w:val="en-US"/>
              </w:rPr>
            </w:pPr>
            <m:oMathPara>
              <m:oMath>
                <m:r>
                  <w:rPr>
                    <w:rFonts w:ascii="Cambria Math" w:hAnsi="Cambria Math"/>
                    <w:lang w:val="en-US"/>
                  </w:rPr>
                  <m:t>18.4253</m:t>
                </m:r>
              </m:oMath>
            </m:oMathPara>
          </w:p>
        </w:tc>
        <w:tc>
          <w:tcPr>
            <w:tcW w:w="1383" w:type="dxa"/>
          </w:tcPr>
          <w:p w14:paraId="6E1F51EA" w14:textId="0FA65338" w:rsidR="00D13F4C" w:rsidRDefault="00B76E50" w:rsidP="008555B2">
            <w:pPr>
              <w:jc w:val="center"/>
              <w:rPr>
                <w:lang w:val="en-US"/>
              </w:rPr>
            </w:pPr>
            <m:oMathPara>
              <m:oMath>
                <m:r>
                  <w:rPr>
                    <w:rFonts w:ascii="Cambria Math" w:hAnsi="Cambria Math"/>
                    <w:lang w:val="en-US"/>
                  </w:rPr>
                  <m:t>16.9945</m:t>
                </m:r>
              </m:oMath>
            </m:oMathPara>
          </w:p>
        </w:tc>
        <w:tc>
          <w:tcPr>
            <w:tcW w:w="1383" w:type="dxa"/>
          </w:tcPr>
          <w:p w14:paraId="42967DD6" w14:textId="53727814" w:rsidR="00D13F4C" w:rsidRPr="00382B2E" w:rsidRDefault="00B76E50" w:rsidP="008555B2">
            <w:pPr>
              <w:keepNext/>
              <w:jc w:val="center"/>
              <w:rPr>
                <w:i/>
                <w:color w:val="FF0000"/>
                <w:lang w:val="en-US"/>
              </w:rPr>
            </w:pPr>
            <m:oMathPara>
              <m:oMath>
                <m:r>
                  <w:rPr>
                    <w:rFonts w:ascii="Cambria Math" w:hAnsi="Cambria Math"/>
                    <w:color w:val="FF0000"/>
                    <w:lang w:val="en-US"/>
                  </w:rPr>
                  <m:t>16.1693</m:t>
                </m:r>
              </m:oMath>
            </m:oMathPara>
          </w:p>
        </w:tc>
      </w:tr>
    </w:tbl>
    <w:p w14:paraId="54C72CAF" w14:textId="77777777" w:rsidR="008555B2" w:rsidRDefault="008555B2" w:rsidP="008555B2">
      <w:pPr>
        <w:pStyle w:val="Caption"/>
        <w:jc w:val="center"/>
        <w:rPr>
          <w:b/>
          <w:bCs/>
        </w:rPr>
      </w:pPr>
    </w:p>
    <w:p w14:paraId="2D5FFF4E" w14:textId="63048DB8" w:rsidR="008555B2" w:rsidRDefault="008555B2" w:rsidP="008555B2">
      <w:pPr>
        <w:pStyle w:val="Caption"/>
        <w:jc w:val="center"/>
        <w:rPr>
          <w:b/>
          <w:bCs/>
        </w:rPr>
      </w:pPr>
      <w:r w:rsidRPr="008555B2">
        <w:rPr>
          <w:b/>
          <w:bCs/>
        </w:rPr>
        <w:t xml:space="preserve">Πίνακας </w:t>
      </w:r>
      <w:r w:rsidRPr="008555B2">
        <w:rPr>
          <w:b/>
          <w:bCs/>
        </w:rPr>
        <w:fldChar w:fldCharType="begin"/>
      </w:r>
      <w:r w:rsidRPr="008555B2">
        <w:rPr>
          <w:b/>
          <w:bCs/>
        </w:rPr>
        <w:instrText xml:space="preserve"> SEQ Πίνακας \* ARABIC </w:instrText>
      </w:r>
      <w:r w:rsidRPr="008555B2">
        <w:rPr>
          <w:b/>
          <w:bCs/>
        </w:rPr>
        <w:fldChar w:fldCharType="separate"/>
      </w:r>
      <w:r w:rsidR="00E30F51">
        <w:rPr>
          <w:b/>
          <w:bCs/>
          <w:noProof/>
        </w:rPr>
        <w:t>3</w:t>
      </w:r>
      <w:r w:rsidRPr="008555B2">
        <w:rPr>
          <w:b/>
          <w:bCs/>
        </w:rPr>
        <w:fldChar w:fldCharType="end"/>
      </w:r>
      <w:r w:rsidRPr="008555B2">
        <w:rPr>
          <w:b/>
          <w:bCs/>
        </w:rPr>
        <w:t>: Μέσο σφάλμα πεντάπτυχους διασταυρωμένης επικύρωσης</w:t>
      </w:r>
    </w:p>
    <w:p w14:paraId="0ADA0047" w14:textId="0C6D7F9C" w:rsidR="005F184B" w:rsidRPr="005F184B" w:rsidRDefault="005F184B" w:rsidP="00904AE1">
      <w:pPr>
        <w:jc w:val="both"/>
      </w:pPr>
      <w:r>
        <w:lastRenderedPageBreak/>
        <w:t xml:space="preserve">Η βέλτιστη τιμή του παραπάνω πίνακα μπορεί να δίνει την αίσθηση ότι είναι μεγάλη τιμή, ωστόσο πρέπει να ληφθεί υπ’ όψιν ότι οι τιμές εξόδου κυμαίνονται περίπου στο διάστημα </w:t>
      </w:r>
      <m:oMath>
        <m:r>
          <w:rPr>
            <w:rFonts w:ascii="Cambria Math" w:hAnsi="Cambria Math"/>
          </w:rPr>
          <m:t>[0,160]</m:t>
        </m:r>
      </m:oMath>
      <w:r>
        <w:rPr>
          <w:rFonts w:eastAsiaTheme="minorEastAsia"/>
        </w:rPr>
        <w:t xml:space="preserve">. Συνεπώς, το μέσο σφάλμα πενταπτυχούς διασταυρωμένης επικύρωσης </w:t>
      </w:r>
      <w:r w:rsidR="001F2302">
        <w:rPr>
          <w:rFonts w:eastAsiaTheme="minorEastAsia"/>
        </w:rPr>
        <w:t xml:space="preserve">δίνει μια μικρή απόκλιση </w:t>
      </w:r>
      <m:oMath>
        <m:r>
          <m:rPr>
            <m:sty m:val="bi"/>
          </m:rPr>
          <w:rPr>
            <w:rFonts w:ascii="Cambria Math" w:eastAsiaTheme="minorEastAsia" w:hAnsi="Cambria Math"/>
          </w:rPr>
          <m:t>8%</m:t>
        </m:r>
      </m:oMath>
      <w:r w:rsidR="001F2302">
        <w:rPr>
          <w:rFonts w:eastAsiaTheme="minorEastAsia"/>
        </w:rPr>
        <w:t xml:space="preserve"> στις προβλέψεις.</w:t>
      </w:r>
    </w:p>
    <w:p w14:paraId="318392FB" w14:textId="7704B67E" w:rsidR="005F184B" w:rsidRPr="005F184B" w:rsidRDefault="005F184B" w:rsidP="00904AE1">
      <w:pPr>
        <w:jc w:val="both"/>
      </w:pPr>
      <w:r>
        <w:t xml:space="preserve">Να σημειωθεί πως </w:t>
      </w:r>
      <w:r w:rsidRPr="005F184B">
        <w:rPr>
          <w:b/>
          <w:bCs/>
        </w:rPr>
        <w:t>λόγω χρονικών περιορισμών</w:t>
      </w:r>
      <w:r>
        <w:t xml:space="preserve"> </w:t>
      </w:r>
      <w:r w:rsidRPr="005F184B">
        <w:t>(</w:t>
      </w:r>
      <w:r>
        <w:t>χρειαζόμουν το λάπτοπ μου για τη διπλωματική εργασία</w:t>
      </w:r>
      <w:r w:rsidRPr="005F184B">
        <w:t>)</w:t>
      </w:r>
      <w:r>
        <w:t xml:space="preserve"> επιλέχθηκαν μικρότερες τιμές στα μεγέθη </w:t>
      </w:r>
      <w:r>
        <w:rPr>
          <w:lang w:val="en-US"/>
        </w:rPr>
        <w:t>NR</w:t>
      </w:r>
      <w:r w:rsidRPr="005F184B">
        <w:t xml:space="preserve"> </w:t>
      </w:r>
      <w:r>
        <w:t xml:space="preserve">και </w:t>
      </w:r>
      <w:r>
        <w:rPr>
          <w:lang w:val="en-US"/>
        </w:rPr>
        <w:t>NF</w:t>
      </w:r>
      <w:r w:rsidRPr="005F184B">
        <w:t xml:space="preserve">, </w:t>
      </w:r>
      <w:r>
        <w:t>προκειμένου να μειωθεί ο χρόνος της διαδικασίας εκπαίδευσης. Επιπλέον δούλεψα με τον μισό αριθμό δεδομένων (10.000).</w:t>
      </w:r>
    </w:p>
    <w:p w14:paraId="7DA19594" w14:textId="6D355179" w:rsidR="008555B2" w:rsidRDefault="008555B2" w:rsidP="00904AE1">
      <w:pPr>
        <w:jc w:val="both"/>
        <w:rPr>
          <w:rFonts w:eastAsiaTheme="minorEastAsia"/>
        </w:rPr>
      </w:pPr>
      <w:r>
        <w:t xml:space="preserve">Επιλέγονται, λοιπόν, ως βέλτιστες επιλογές οι </w:t>
      </w:r>
      <m:oMath>
        <m:r>
          <w:rPr>
            <w:rFonts w:ascii="Cambria Math" w:hAnsi="Cambria Math"/>
          </w:rPr>
          <m:t xml:space="preserve"> </m:t>
        </m:r>
        <m:r>
          <m:rPr>
            <m:sty m:val="bi"/>
          </m:rPr>
          <w:rPr>
            <w:rFonts w:ascii="Cambria Math" w:hAnsi="Cambria Math"/>
          </w:rPr>
          <m:t>NF=12</m:t>
        </m:r>
      </m:oMath>
      <w:r w:rsidRPr="008555B2">
        <w:rPr>
          <w:rFonts w:eastAsiaTheme="minorEastAsia"/>
        </w:rPr>
        <w:t xml:space="preserve"> </w:t>
      </w:r>
      <w:r>
        <w:rPr>
          <w:rFonts w:eastAsiaTheme="minorEastAsia"/>
        </w:rPr>
        <w:t xml:space="preserve">και </w:t>
      </w:r>
      <m:oMath>
        <m:r>
          <m:rPr>
            <m:sty m:val="bi"/>
          </m:rPr>
          <w:rPr>
            <w:rFonts w:ascii="Cambria Math" w:eastAsiaTheme="minorEastAsia" w:hAnsi="Cambria Math"/>
            <w:lang w:val="en-US"/>
          </w:rPr>
          <m:t>NR</m:t>
        </m:r>
        <m:r>
          <m:rPr>
            <m:sty m:val="bi"/>
          </m:rPr>
          <w:rPr>
            <w:rFonts w:ascii="Cambria Math" w:eastAsiaTheme="minorEastAsia" w:hAnsi="Cambria Math"/>
          </w:rPr>
          <m:t xml:space="preserve"> = 15</m:t>
        </m:r>
      </m:oMath>
      <w:r w:rsidRPr="008555B2">
        <w:rPr>
          <w:rFonts w:eastAsiaTheme="minorEastAsia"/>
        </w:rPr>
        <w:t>.</w:t>
      </w:r>
      <w:r>
        <w:rPr>
          <w:rFonts w:eastAsiaTheme="minorEastAsia"/>
        </w:rPr>
        <w:t xml:space="preserve"> Στη συνέχεια, γίνεται ξανά εκπαίδευση του μοντέλου με τα βέλτιστα χαρακτηριστικά</w:t>
      </w:r>
      <w:r w:rsidR="00904AE1" w:rsidRPr="00904AE1">
        <w:rPr>
          <w:rFonts w:eastAsiaTheme="minorEastAsia"/>
        </w:rPr>
        <w:t xml:space="preserve">. </w:t>
      </w:r>
      <w:r w:rsidR="00904AE1">
        <w:rPr>
          <w:rFonts w:eastAsiaTheme="minorEastAsia"/>
        </w:rPr>
        <w:t xml:space="preserve">Τα διαγράμματα που προκύπτουν παρουσιάζονται στα σχήματα 7 έως </w:t>
      </w:r>
      <w:r w:rsidR="00B94A87">
        <w:rPr>
          <w:rFonts w:eastAsiaTheme="minorEastAsia"/>
        </w:rPr>
        <w:t>9</w:t>
      </w:r>
      <w:r w:rsidR="00904AE1">
        <w:rPr>
          <w:rFonts w:eastAsiaTheme="minorEastAsia"/>
        </w:rPr>
        <w:t>.</w:t>
      </w:r>
    </w:p>
    <w:p w14:paraId="796DBF10" w14:textId="77777777" w:rsidR="00B94A87" w:rsidRDefault="00B94A87" w:rsidP="00B94A87">
      <w:pPr>
        <w:keepNext/>
        <w:jc w:val="center"/>
      </w:pPr>
      <w:r>
        <w:rPr>
          <w:i/>
          <w:noProof/>
          <w:lang w:val="en-US"/>
        </w:rPr>
        <w:drawing>
          <wp:inline distT="0" distB="0" distL="0" distR="0" wp14:anchorId="42432DEB" wp14:editId="6ADE8E44">
            <wp:extent cx="4167554" cy="26136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2_Estimations_Actual.png"/>
                    <pic:cNvPicPr/>
                  </pic:nvPicPr>
                  <pic:blipFill>
                    <a:blip r:embed="rId17">
                      <a:extLst>
                        <a:ext uri="{28A0092B-C50C-407E-A947-70E740481C1C}">
                          <a14:useLocalDpi xmlns:a14="http://schemas.microsoft.com/office/drawing/2010/main" val="0"/>
                        </a:ext>
                      </a:extLst>
                    </a:blip>
                    <a:stretch>
                      <a:fillRect/>
                    </a:stretch>
                  </pic:blipFill>
                  <pic:spPr>
                    <a:xfrm>
                      <a:off x="0" y="0"/>
                      <a:ext cx="4176311" cy="2619152"/>
                    </a:xfrm>
                    <a:prstGeom prst="rect">
                      <a:avLst/>
                    </a:prstGeom>
                  </pic:spPr>
                </pic:pic>
              </a:graphicData>
            </a:graphic>
          </wp:inline>
        </w:drawing>
      </w:r>
    </w:p>
    <w:p w14:paraId="25A98797" w14:textId="41399C8A" w:rsidR="00E34253" w:rsidRDefault="00B94A87" w:rsidP="00B94A87">
      <w:pPr>
        <w:pStyle w:val="Caption"/>
        <w:jc w:val="center"/>
        <w:rPr>
          <w:b/>
          <w:bCs/>
        </w:rPr>
      </w:pPr>
      <w:r w:rsidRPr="00B94A87">
        <w:rPr>
          <w:b/>
          <w:bCs/>
        </w:rPr>
        <w:t>Σχήμα 7: Εκτιμήσεις και πραγματικές τιμές εξόδου</w:t>
      </w:r>
    </w:p>
    <w:p w14:paraId="2A39B66D" w14:textId="77777777" w:rsidR="00B94A87" w:rsidRDefault="00B94A87" w:rsidP="00B94A87">
      <w:pPr>
        <w:keepNext/>
        <w:jc w:val="center"/>
      </w:pPr>
      <w:r>
        <w:rPr>
          <w:noProof/>
          <w:lang w:val="en-US"/>
        </w:rPr>
        <w:drawing>
          <wp:inline distT="0" distB="0" distL="0" distR="0" wp14:anchorId="7D980C45" wp14:editId="354DD4E7">
            <wp:extent cx="4339973" cy="3253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2_Error.png"/>
                    <pic:cNvPicPr/>
                  </pic:nvPicPr>
                  <pic:blipFill>
                    <a:blip r:embed="rId18">
                      <a:extLst>
                        <a:ext uri="{28A0092B-C50C-407E-A947-70E740481C1C}">
                          <a14:useLocalDpi xmlns:a14="http://schemas.microsoft.com/office/drawing/2010/main" val="0"/>
                        </a:ext>
                      </a:extLst>
                    </a:blip>
                    <a:stretch>
                      <a:fillRect/>
                    </a:stretch>
                  </pic:blipFill>
                  <pic:spPr>
                    <a:xfrm>
                      <a:off x="0" y="0"/>
                      <a:ext cx="4339973" cy="3253740"/>
                    </a:xfrm>
                    <a:prstGeom prst="rect">
                      <a:avLst/>
                    </a:prstGeom>
                  </pic:spPr>
                </pic:pic>
              </a:graphicData>
            </a:graphic>
          </wp:inline>
        </w:drawing>
      </w:r>
    </w:p>
    <w:p w14:paraId="5A372403" w14:textId="2B2F467F" w:rsidR="00B94A87" w:rsidRDefault="00B94A87" w:rsidP="00B94A87">
      <w:pPr>
        <w:pStyle w:val="Caption"/>
        <w:jc w:val="center"/>
        <w:rPr>
          <w:b/>
          <w:bCs/>
        </w:rPr>
      </w:pPr>
      <w:r w:rsidRPr="00B94A87">
        <w:rPr>
          <w:b/>
          <w:bCs/>
        </w:rPr>
        <w:t xml:space="preserve">Σχήμα </w:t>
      </w:r>
      <w:r w:rsidR="001F2302">
        <w:rPr>
          <w:b/>
          <w:bCs/>
        </w:rPr>
        <w:t>8</w:t>
      </w:r>
      <w:r w:rsidRPr="001F2302">
        <w:rPr>
          <w:b/>
          <w:bCs/>
        </w:rPr>
        <w:t xml:space="preserve">: </w:t>
      </w:r>
      <w:r w:rsidRPr="00B94A87">
        <w:rPr>
          <w:b/>
          <w:bCs/>
        </w:rPr>
        <w:t>Καμπύλη εκμάθησης μοντέλου</w:t>
      </w:r>
    </w:p>
    <w:p w14:paraId="73E8BA76" w14:textId="77777777" w:rsidR="00B94A87" w:rsidRDefault="00B94A87" w:rsidP="00B94A87">
      <w:pPr>
        <w:keepNext/>
        <w:jc w:val="center"/>
      </w:pPr>
      <w:r>
        <w:rPr>
          <w:noProof/>
        </w:rPr>
        <w:lastRenderedPageBreak/>
        <w:drawing>
          <wp:inline distT="0" distB="0" distL="0" distR="0" wp14:anchorId="6B573DA0" wp14:editId="02308F83">
            <wp:extent cx="5274203" cy="39541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F_before_after.png"/>
                    <pic:cNvPicPr/>
                  </pic:nvPicPr>
                  <pic:blipFill>
                    <a:blip r:embed="rId19">
                      <a:extLst>
                        <a:ext uri="{28A0092B-C50C-407E-A947-70E740481C1C}">
                          <a14:useLocalDpi xmlns:a14="http://schemas.microsoft.com/office/drawing/2010/main" val="0"/>
                        </a:ext>
                      </a:extLst>
                    </a:blip>
                    <a:stretch>
                      <a:fillRect/>
                    </a:stretch>
                  </pic:blipFill>
                  <pic:spPr>
                    <a:xfrm>
                      <a:off x="0" y="0"/>
                      <a:ext cx="5274203" cy="3954145"/>
                    </a:xfrm>
                    <a:prstGeom prst="rect">
                      <a:avLst/>
                    </a:prstGeom>
                  </pic:spPr>
                </pic:pic>
              </a:graphicData>
            </a:graphic>
          </wp:inline>
        </w:drawing>
      </w:r>
    </w:p>
    <w:p w14:paraId="630C3C94" w14:textId="5FB2CD44" w:rsidR="00B94A87" w:rsidRDefault="00B94A87" w:rsidP="00B94A87">
      <w:pPr>
        <w:pStyle w:val="Caption"/>
        <w:jc w:val="center"/>
        <w:rPr>
          <w:b/>
          <w:bCs/>
        </w:rPr>
      </w:pPr>
      <w:r w:rsidRPr="00B94A87">
        <w:rPr>
          <w:b/>
          <w:bCs/>
        </w:rPr>
        <w:t>Σχήμα 9: Παραδείγματα συναρτήσεων συμμετοχής πριν και μετά την εκμάθηση</w:t>
      </w:r>
    </w:p>
    <w:p w14:paraId="23382F8B" w14:textId="77777777" w:rsidR="001F2302" w:rsidRDefault="001F2302" w:rsidP="00B94A87"/>
    <w:p w14:paraId="69798F74" w14:textId="327C32CC" w:rsidR="00B94A87" w:rsidRDefault="001F2302" w:rsidP="00B94A87">
      <w:r>
        <w:t>Να σημειωθεί πως ο</w:t>
      </w:r>
      <w:r>
        <w:t xml:space="preserve">ι συναρτήσεις συμμετοχής που </w:t>
      </w:r>
      <w:r>
        <w:t>απεικονίζονται παραπάνω επιλεχθηκαν</w:t>
      </w:r>
      <w:r>
        <w:t xml:space="preserve"> τυχαία.</w:t>
      </w:r>
      <w:r>
        <w:t xml:space="preserve">  Τέλος, ο</w:t>
      </w:r>
      <w:r w:rsidR="00B94A87">
        <w:t>ι ζητούμενες μετρικές σφάλματος που προκύπτουν από την παραπάνω διαδιασία είναι:</w:t>
      </w:r>
    </w:p>
    <w:p w14:paraId="5C868563" w14:textId="108BE167" w:rsidR="00B94A87" w:rsidRPr="00B94A87" w:rsidRDefault="00B94A87" w:rsidP="00B94A87">
      <w:pPr>
        <w:rPr>
          <w:rFonts w:eastAsiaTheme="minorEastAsia"/>
          <w:i/>
        </w:rPr>
      </w:pPr>
      <m:oMathPara>
        <m:oMath>
          <m:r>
            <w:rPr>
              <w:rFonts w:ascii="Cambria Math" w:hAnsi="Cambria Math"/>
            </w:rPr>
            <m:t xml:space="preserve">RMSE= </m:t>
          </m:r>
          <m:r>
            <w:rPr>
              <w:rFonts w:ascii="Cambria Math" w:hAnsi="Cambria Math"/>
            </w:rPr>
            <m:t>15.5150</m:t>
          </m:r>
        </m:oMath>
      </m:oMathPara>
    </w:p>
    <w:p w14:paraId="4C1E6E57" w14:textId="43256B8D" w:rsidR="00B94A87" w:rsidRPr="00B94A87" w:rsidRDefault="00B94A87" w:rsidP="00B94A87">
      <w:pPr>
        <w:rPr>
          <w:rFonts w:eastAsiaTheme="minorEastAsia"/>
          <w:i/>
          <w:lang w:val="en-US"/>
        </w:rPr>
      </w:pPr>
      <m:oMathPara>
        <m:oMath>
          <m:r>
            <w:rPr>
              <w:rFonts w:ascii="Cambria Math" w:hAnsi="Cambria Math"/>
            </w:rPr>
            <m:t>NMSE=</m:t>
          </m:r>
          <m:r>
            <w:rPr>
              <w:rFonts w:ascii="Cambria Math" w:eastAsiaTheme="minorEastAsia" w:hAnsi="Cambria Math"/>
            </w:rPr>
            <m:t>0</m:t>
          </m:r>
          <m:r>
            <w:rPr>
              <w:rFonts w:ascii="Cambria Math" w:eastAsiaTheme="minorEastAsia" w:hAnsi="Cambria Math"/>
            </w:rPr>
            <m:t>.2064</m:t>
          </m:r>
        </m:oMath>
      </m:oMathPara>
    </w:p>
    <w:p w14:paraId="46083AAC" w14:textId="245CADC8" w:rsidR="00B94A87" w:rsidRPr="005F184B" w:rsidRDefault="00B94A87" w:rsidP="00B94A87">
      <w:pPr>
        <w:rPr>
          <w:rFonts w:eastAsiaTheme="minorEastAsia"/>
          <w:i/>
          <w:lang w:val="en-US"/>
        </w:rPr>
      </w:pPr>
      <m:oMathPara>
        <m:oMath>
          <m:r>
            <w:rPr>
              <w:rFonts w:ascii="Cambria Math" w:hAnsi="Cambria Math"/>
            </w:rPr>
            <m:t>NDEI=</m:t>
          </m:r>
          <m:r>
            <w:rPr>
              <w:rFonts w:ascii="Cambria Math" w:eastAsiaTheme="minorEastAsia" w:hAnsi="Cambria Math"/>
            </w:rPr>
            <m:t>0.4543</m:t>
          </m:r>
        </m:oMath>
      </m:oMathPara>
    </w:p>
    <w:p w14:paraId="70C1A8C6" w14:textId="1CF2A954" w:rsidR="00B94A87" w:rsidRPr="00B94A87" w:rsidRDefault="00880818" w:rsidP="00B94A87">
      <w:pPr>
        <w:rPr>
          <w:rFonts w:eastAsiaTheme="minorEastAsia"/>
          <w:i/>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m:t>
          </m:r>
          <m:r>
            <w:rPr>
              <w:rFonts w:ascii="Cambria Math" w:eastAsiaTheme="minorEastAsia" w:hAnsi="Cambria Math"/>
            </w:rPr>
            <m:t>0.7936</m:t>
          </m:r>
        </m:oMath>
      </m:oMathPara>
    </w:p>
    <w:p w14:paraId="3AB98848" w14:textId="1537FF8D" w:rsidR="00B94A87" w:rsidRPr="00382B2E" w:rsidRDefault="00B94A87" w:rsidP="00747F44">
      <w:pPr>
        <w:jc w:val="both"/>
        <w:rPr>
          <w:iCs/>
        </w:rPr>
      </w:pPr>
      <w:r>
        <w:rPr>
          <w:iCs/>
        </w:rPr>
        <w:t xml:space="preserve">Αν είχαμε επιλέξει </w:t>
      </w:r>
      <w:r>
        <w:rPr>
          <w:iCs/>
          <w:lang w:val="en-US"/>
        </w:rPr>
        <w:t>grid</w:t>
      </w:r>
      <w:r w:rsidRPr="00B94A87">
        <w:rPr>
          <w:iCs/>
        </w:rPr>
        <w:t xml:space="preserve"> </w:t>
      </w:r>
      <w:r>
        <w:rPr>
          <w:iCs/>
          <w:lang w:val="en-US"/>
        </w:rPr>
        <w:t>partition</w:t>
      </w:r>
      <w:r w:rsidRPr="00B94A87">
        <w:rPr>
          <w:iCs/>
        </w:rPr>
        <w:t xml:space="preserve"> </w:t>
      </w:r>
      <w:r>
        <w:rPr>
          <w:iCs/>
        </w:rPr>
        <w:t xml:space="preserve">με δύο ή τρία ασαφή σύνολα στην είσοδο θα είχαμε </w:t>
      </w:r>
      <m:oMath>
        <m:sSup>
          <m:sSupPr>
            <m:ctrlPr>
              <w:rPr>
                <w:rFonts w:ascii="Cambria Math" w:hAnsi="Cambria Math"/>
                <w:i/>
                <w:iCs/>
              </w:rPr>
            </m:ctrlPr>
          </m:sSupPr>
          <m:e>
            <m:r>
              <w:rPr>
                <w:rFonts w:ascii="Cambria Math" w:hAnsi="Cambria Math"/>
              </w:rPr>
              <m:t>2</m:t>
            </m:r>
          </m:e>
          <m:sup>
            <m:r>
              <w:rPr>
                <w:rFonts w:ascii="Cambria Math" w:hAnsi="Cambria Math"/>
              </w:rPr>
              <m:t>81</m:t>
            </m:r>
          </m:sup>
        </m:sSup>
      </m:oMath>
      <w:r w:rsidR="00747F44">
        <w:rPr>
          <w:iCs/>
        </w:rPr>
        <w:t xml:space="preserve"> και </w:t>
      </w:r>
      <m:oMath>
        <m:sSup>
          <m:sSupPr>
            <m:ctrlPr>
              <w:rPr>
                <w:rFonts w:ascii="Cambria Math" w:hAnsi="Cambria Math"/>
                <w:i/>
                <w:iCs/>
              </w:rPr>
            </m:ctrlPr>
          </m:sSupPr>
          <m:e>
            <m:r>
              <w:rPr>
                <w:rFonts w:ascii="Cambria Math" w:hAnsi="Cambria Math"/>
              </w:rPr>
              <m:t>3</m:t>
            </m:r>
          </m:e>
          <m:sup>
            <m:r>
              <w:rPr>
                <w:rFonts w:ascii="Cambria Math" w:hAnsi="Cambria Math"/>
              </w:rPr>
              <m:t>81</m:t>
            </m:r>
          </m:sup>
        </m:sSup>
      </m:oMath>
      <w:r w:rsidR="00747F44">
        <w:rPr>
          <w:iCs/>
        </w:rPr>
        <w:t xml:space="preserve"> κανόνες αντίστοιχα. Η πολυπλοκότητα του μοντέλου θα ήταν τελείως ασύμορφη και η υλοποίηση πρακτικά αδύνατη!</w:t>
      </w:r>
      <w:bookmarkStart w:id="0" w:name="_GoBack"/>
      <w:bookmarkEnd w:id="0"/>
    </w:p>
    <w:sectPr w:rsidR="00B94A87" w:rsidRPr="00382B2E" w:rsidSect="00EA3AF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898E6" w14:textId="77777777" w:rsidR="00880818" w:rsidRDefault="00880818" w:rsidP="00AB7E2D">
      <w:pPr>
        <w:spacing w:after="0" w:line="240" w:lineRule="auto"/>
      </w:pPr>
      <w:r>
        <w:separator/>
      </w:r>
    </w:p>
  </w:endnote>
  <w:endnote w:type="continuationSeparator" w:id="0">
    <w:p w14:paraId="1829117A" w14:textId="77777777" w:rsidR="00880818" w:rsidRDefault="00880818" w:rsidP="00AB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1EEC6" w14:textId="77777777" w:rsidR="00880818" w:rsidRDefault="00880818" w:rsidP="00AB7E2D">
      <w:pPr>
        <w:spacing w:after="0" w:line="240" w:lineRule="auto"/>
      </w:pPr>
      <w:r>
        <w:separator/>
      </w:r>
    </w:p>
  </w:footnote>
  <w:footnote w:type="continuationSeparator" w:id="0">
    <w:p w14:paraId="3C7A9299" w14:textId="77777777" w:rsidR="00880818" w:rsidRDefault="00880818" w:rsidP="00AB7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45EA"/>
    <w:multiLevelType w:val="hybridMultilevel"/>
    <w:tmpl w:val="DA3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6E3C"/>
    <w:multiLevelType w:val="hybridMultilevel"/>
    <w:tmpl w:val="8078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E040D"/>
    <w:multiLevelType w:val="hybridMultilevel"/>
    <w:tmpl w:val="2F6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E1987"/>
    <w:multiLevelType w:val="hybridMultilevel"/>
    <w:tmpl w:val="30A6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209DF"/>
    <w:multiLevelType w:val="hybridMultilevel"/>
    <w:tmpl w:val="A50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F9"/>
    <w:rsid w:val="00004AE1"/>
    <w:rsid w:val="0003157A"/>
    <w:rsid w:val="00047C3D"/>
    <w:rsid w:val="000535AC"/>
    <w:rsid w:val="00054AD5"/>
    <w:rsid w:val="0006248C"/>
    <w:rsid w:val="000940A3"/>
    <w:rsid w:val="000D594D"/>
    <w:rsid w:val="00176D63"/>
    <w:rsid w:val="001F2302"/>
    <w:rsid w:val="002414C5"/>
    <w:rsid w:val="00292418"/>
    <w:rsid w:val="00293D07"/>
    <w:rsid w:val="0029462A"/>
    <w:rsid w:val="00306C59"/>
    <w:rsid w:val="0032226B"/>
    <w:rsid w:val="00335AE8"/>
    <w:rsid w:val="00371448"/>
    <w:rsid w:val="00382B2E"/>
    <w:rsid w:val="003830E8"/>
    <w:rsid w:val="00387D9A"/>
    <w:rsid w:val="00390E78"/>
    <w:rsid w:val="003B49FD"/>
    <w:rsid w:val="003B57E0"/>
    <w:rsid w:val="003D0505"/>
    <w:rsid w:val="00415F77"/>
    <w:rsid w:val="0042664D"/>
    <w:rsid w:val="004A4923"/>
    <w:rsid w:val="004E0193"/>
    <w:rsid w:val="00542AD4"/>
    <w:rsid w:val="0056182E"/>
    <w:rsid w:val="005B436F"/>
    <w:rsid w:val="005D6BD6"/>
    <w:rsid w:val="005F184B"/>
    <w:rsid w:val="005F6484"/>
    <w:rsid w:val="006050F4"/>
    <w:rsid w:val="00605D51"/>
    <w:rsid w:val="006368B7"/>
    <w:rsid w:val="00642F0F"/>
    <w:rsid w:val="006533BD"/>
    <w:rsid w:val="00660F58"/>
    <w:rsid w:val="00697A8C"/>
    <w:rsid w:val="006A5EFB"/>
    <w:rsid w:val="006C344A"/>
    <w:rsid w:val="006C668B"/>
    <w:rsid w:val="00715046"/>
    <w:rsid w:val="00724E26"/>
    <w:rsid w:val="0074473C"/>
    <w:rsid w:val="00747F44"/>
    <w:rsid w:val="007D0CBF"/>
    <w:rsid w:val="007E15B2"/>
    <w:rsid w:val="007E52EB"/>
    <w:rsid w:val="008421FF"/>
    <w:rsid w:val="00851296"/>
    <w:rsid w:val="008555B2"/>
    <w:rsid w:val="00880818"/>
    <w:rsid w:val="008D7A89"/>
    <w:rsid w:val="008F3AB0"/>
    <w:rsid w:val="00904AE1"/>
    <w:rsid w:val="0091381F"/>
    <w:rsid w:val="0092430D"/>
    <w:rsid w:val="00952CD6"/>
    <w:rsid w:val="0096124D"/>
    <w:rsid w:val="009C5B11"/>
    <w:rsid w:val="009D0DAF"/>
    <w:rsid w:val="009E0060"/>
    <w:rsid w:val="00A03602"/>
    <w:rsid w:val="00A5760A"/>
    <w:rsid w:val="00A85146"/>
    <w:rsid w:val="00A96608"/>
    <w:rsid w:val="00AA31FD"/>
    <w:rsid w:val="00AB7765"/>
    <w:rsid w:val="00AB7E2D"/>
    <w:rsid w:val="00AC5D3C"/>
    <w:rsid w:val="00AD4799"/>
    <w:rsid w:val="00AF5B9E"/>
    <w:rsid w:val="00B3746F"/>
    <w:rsid w:val="00B64FD5"/>
    <w:rsid w:val="00B76E50"/>
    <w:rsid w:val="00B80602"/>
    <w:rsid w:val="00B94A87"/>
    <w:rsid w:val="00B94EF1"/>
    <w:rsid w:val="00B97111"/>
    <w:rsid w:val="00BF6681"/>
    <w:rsid w:val="00C13337"/>
    <w:rsid w:val="00C141FD"/>
    <w:rsid w:val="00C70DC7"/>
    <w:rsid w:val="00C862FD"/>
    <w:rsid w:val="00C97D55"/>
    <w:rsid w:val="00CB1613"/>
    <w:rsid w:val="00CB20C6"/>
    <w:rsid w:val="00CF7CF1"/>
    <w:rsid w:val="00D1399C"/>
    <w:rsid w:val="00D13F4C"/>
    <w:rsid w:val="00D878FE"/>
    <w:rsid w:val="00D94124"/>
    <w:rsid w:val="00DC2445"/>
    <w:rsid w:val="00DC47B8"/>
    <w:rsid w:val="00E14439"/>
    <w:rsid w:val="00E30F51"/>
    <w:rsid w:val="00E34253"/>
    <w:rsid w:val="00E77E3D"/>
    <w:rsid w:val="00E87B57"/>
    <w:rsid w:val="00E91EE6"/>
    <w:rsid w:val="00EA3AF9"/>
    <w:rsid w:val="00F10193"/>
    <w:rsid w:val="00F21389"/>
    <w:rsid w:val="00F26C79"/>
    <w:rsid w:val="00F715DF"/>
    <w:rsid w:val="00F75829"/>
    <w:rsid w:val="00F759EF"/>
    <w:rsid w:val="00F75AB6"/>
    <w:rsid w:val="00F75CC1"/>
    <w:rsid w:val="00FB09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8D1D"/>
  <w15:chartTrackingRefBased/>
  <w15:docId w15:val="{E84BAF34-2839-4FB3-A9B7-89CFE919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A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3AF9"/>
    <w:rPr>
      <w:rFonts w:eastAsiaTheme="minorEastAsia"/>
      <w:lang w:val="en-US"/>
    </w:rPr>
  </w:style>
  <w:style w:type="character" w:customStyle="1" w:styleId="Heading1Char">
    <w:name w:val="Heading 1 Char"/>
    <w:basedOn w:val="DefaultParagraphFont"/>
    <w:link w:val="Heading1"/>
    <w:uiPriority w:val="9"/>
    <w:rsid w:val="00605D5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05D51"/>
    <w:rPr>
      <w:color w:val="808080"/>
    </w:rPr>
  </w:style>
  <w:style w:type="paragraph" w:styleId="ListParagraph">
    <w:name w:val="List Paragraph"/>
    <w:basedOn w:val="Normal"/>
    <w:uiPriority w:val="34"/>
    <w:qFormat/>
    <w:rsid w:val="00AB7E2D"/>
    <w:pPr>
      <w:ind w:left="720"/>
      <w:contextualSpacing/>
    </w:pPr>
  </w:style>
  <w:style w:type="paragraph" w:styleId="EndnoteText">
    <w:name w:val="endnote text"/>
    <w:basedOn w:val="Normal"/>
    <w:link w:val="EndnoteTextChar"/>
    <w:uiPriority w:val="99"/>
    <w:semiHidden/>
    <w:unhideWhenUsed/>
    <w:rsid w:val="00AB7E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E2D"/>
    <w:rPr>
      <w:sz w:val="20"/>
      <w:szCs w:val="20"/>
    </w:rPr>
  </w:style>
  <w:style w:type="character" w:styleId="EndnoteReference">
    <w:name w:val="endnote reference"/>
    <w:basedOn w:val="DefaultParagraphFont"/>
    <w:uiPriority w:val="99"/>
    <w:semiHidden/>
    <w:unhideWhenUsed/>
    <w:rsid w:val="00AB7E2D"/>
    <w:rPr>
      <w:vertAlign w:val="superscript"/>
    </w:rPr>
  </w:style>
  <w:style w:type="paragraph" w:styleId="Caption">
    <w:name w:val="caption"/>
    <w:basedOn w:val="Normal"/>
    <w:next w:val="Normal"/>
    <w:uiPriority w:val="35"/>
    <w:unhideWhenUsed/>
    <w:qFormat/>
    <w:rsid w:val="00AB7E2D"/>
    <w:pPr>
      <w:spacing w:after="200" w:line="240" w:lineRule="auto"/>
    </w:pPr>
    <w:rPr>
      <w:i/>
      <w:iCs/>
      <w:color w:val="44546A" w:themeColor="text2"/>
      <w:sz w:val="18"/>
      <w:szCs w:val="18"/>
    </w:rPr>
  </w:style>
  <w:style w:type="table" w:styleId="TableGrid">
    <w:name w:val="Table Grid"/>
    <w:basedOn w:val="TableNormal"/>
    <w:uiPriority w:val="39"/>
    <w:rsid w:val="00DC4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93D07"/>
    <w:rPr>
      <w:i/>
      <w:iCs/>
    </w:rPr>
  </w:style>
  <w:style w:type="paragraph" w:styleId="Header">
    <w:name w:val="header"/>
    <w:basedOn w:val="Normal"/>
    <w:link w:val="HeaderChar"/>
    <w:uiPriority w:val="99"/>
    <w:unhideWhenUsed/>
    <w:rsid w:val="00AD479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D4799"/>
  </w:style>
  <w:style w:type="paragraph" w:styleId="Footer">
    <w:name w:val="footer"/>
    <w:basedOn w:val="Normal"/>
    <w:link w:val="FooterChar"/>
    <w:uiPriority w:val="99"/>
    <w:unhideWhenUsed/>
    <w:rsid w:val="00AD479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D4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B83EE-250C-49E0-8D67-6F9CB9E3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Ασαφή Συστήματα – Εργασία ΙΙ</vt:lpstr>
    </vt:vector>
  </TitlesOfParts>
  <Company>ΑΕΜ: 8920</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Ασαφή Συστήματα – Εργασία ΙΙ</dc:title>
  <dc:subject/>
  <dc:creator>Τογκουσίδης Αναστάσιος</dc:creator>
  <cp:keywords/>
  <dc:description/>
  <cp:lastModifiedBy>User</cp:lastModifiedBy>
  <cp:revision>27</cp:revision>
  <cp:lastPrinted>2019-09-22T19:39:00Z</cp:lastPrinted>
  <dcterms:created xsi:type="dcterms:W3CDTF">2019-07-20T09:23:00Z</dcterms:created>
  <dcterms:modified xsi:type="dcterms:W3CDTF">2019-09-22T19:45:00Z</dcterms:modified>
</cp:coreProperties>
</file>