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D957" w14:textId="0B6A8AB5" w:rsidR="00813E4A" w:rsidRDefault="00813E4A" w:rsidP="00C3468B">
      <w:pPr>
        <w:jc w:val="both"/>
        <w:rPr>
          <w:rFonts w:cs="Times New Roman"/>
          <w:lang w:eastAsia="ko-KR"/>
        </w:rPr>
      </w:pPr>
      <w:r w:rsidRPr="00813E4A">
        <w:rPr>
          <w:rFonts w:eastAsia="Times New Roman" w:cs="Times New Roman"/>
        </w:rPr>
        <w:t>A framework for isolate-level antimicrobial resistance hazard ranking based on clinical importance and transmissibility in bacterial pathogens</w:t>
      </w:r>
    </w:p>
    <w:p w14:paraId="2BCEB49D" w14:textId="77777777" w:rsidR="00813E4A" w:rsidRPr="00813E4A" w:rsidRDefault="00813E4A" w:rsidP="00C3468B">
      <w:pPr>
        <w:jc w:val="both"/>
        <w:rPr>
          <w:rFonts w:cs="Times New Roman"/>
          <w:szCs w:val="24"/>
          <w:lang w:eastAsia="ko-KR"/>
        </w:rPr>
      </w:pPr>
    </w:p>
    <w:p w14:paraId="571D32F2" w14:textId="7FD70FE1" w:rsidR="00783035" w:rsidRPr="0093114D" w:rsidRDefault="00783035" w:rsidP="00C3468B">
      <w:pPr>
        <w:jc w:val="both"/>
        <w:rPr>
          <w:rFonts w:cs="Times New Roman"/>
          <w:szCs w:val="24"/>
          <w:lang w:eastAsia="ko-KR"/>
        </w:rPr>
      </w:pPr>
      <w:r>
        <w:rPr>
          <w:rFonts w:cs="Times New Roman"/>
          <w:szCs w:val="24"/>
        </w:rPr>
        <w:t>Nyeong-Jin Cheon</w:t>
      </w:r>
      <w:r>
        <w:rPr>
          <w:rFonts w:cs="Times New Roman"/>
          <w:szCs w:val="24"/>
          <w:vertAlign w:val="superscript"/>
        </w:rPr>
        <w:t>1</w:t>
      </w:r>
      <w:r w:rsidRPr="006E611D">
        <w:rPr>
          <w:rFonts w:cs="Times New Roman"/>
          <w:color w:val="000000" w:themeColor="text1"/>
          <w:szCs w:val="24"/>
          <w:vertAlign w:val="superscript"/>
        </w:rPr>
        <w:t>‡</w:t>
      </w:r>
      <w:r>
        <w:rPr>
          <w:rFonts w:cs="Times New Roman"/>
          <w:szCs w:val="24"/>
        </w:rPr>
        <w:t xml:space="preserve"> </w:t>
      </w:r>
      <w:r>
        <w:rPr>
          <w:rFonts w:cs="Times New Roman" w:hint="eastAsia"/>
          <w:color w:val="000000" w:themeColor="text1"/>
          <w:szCs w:val="24"/>
          <w:lang w:eastAsia="ko-KR"/>
        </w:rPr>
        <w:t xml:space="preserve">(ORCID: </w:t>
      </w:r>
      <w:r>
        <w:t>0009-0000-7675-8190</w:t>
      </w:r>
      <w:r>
        <w:rPr>
          <w:rFonts w:hint="eastAsia"/>
          <w:lang w:eastAsia="ko-KR"/>
        </w:rPr>
        <w:t>)</w:t>
      </w:r>
      <w:r>
        <w:rPr>
          <w:rFonts w:cs="Times New Roman"/>
          <w:color w:val="000000" w:themeColor="text1"/>
          <w:szCs w:val="24"/>
        </w:rPr>
        <w:br/>
        <w:t xml:space="preserve">Tatsuya </w:t>
      </w:r>
      <w:r>
        <w:rPr>
          <w:rFonts w:cs="Times New Roman"/>
          <w:szCs w:val="24"/>
        </w:rPr>
        <w:t>Unno</w:t>
      </w:r>
      <w:r>
        <w:rPr>
          <w:rFonts w:cs="Times New Roman"/>
          <w:szCs w:val="24"/>
          <w:vertAlign w:val="superscript"/>
        </w:rPr>
        <w:t>1</w:t>
      </w:r>
      <w:r>
        <w:rPr>
          <w:rFonts w:cs="Times New Roman"/>
          <w:szCs w:val="24"/>
        </w:rPr>
        <w:t>*</w:t>
      </w:r>
      <w:r>
        <w:rPr>
          <w:rFonts w:cs="Times New Roman" w:hint="eastAsia"/>
          <w:szCs w:val="24"/>
          <w:lang w:eastAsia="ko-KR"/>
        </w:rPr>
        <w:t xml:space="preserve"> </w:t>
      </w:r>
      <w:r>
        <w:rPr>
          <w:rFonts w:cs="Times New Roman" w:hint="eastAsia"/>
          <w:color w:val="000000" w:themeColor="text1"/>
          <w:szCs w:val="24"/>
          <w:lang w:eastAsia="ko-KR"/>
        </w:rPr>
        <w:t xml:space="preserve">(ORCID: </w:t>
      </w:r>
      <w:r>
        <w:t>0000-0003-2373-2100</w:t>
      </w:r>
      <w:r>
        <w:rPr>
          <w:rFonts w:hint="eastAsia"/>
          <w:lang w:eastAsia="ko-KR"/>
        </w:rPr>
        <w:t>)</w:t>
      </w:r>
    </w:p>
    <w:p w14:paraId="16386162" w14:textId="77777777" w:rsidR="00783035" w:rsidRPr="0093114D" w:rsidRDefault="00783035" w:rsidP="00C3468B">
      <w:pPr>
        <w:jc w:val="both"/>
        <w:rPr>
          <w:rFonts w:cs="Times New Roman"/>
          <w:szCs w:val="24"/>
        </w:rPr>
      </w:pPr>
    </w:p>
    <w:p w14:paraId="0BFC9C8F" w14:textId="77777777" w:rsidR="00783035" w:rsidRDefault="00783035" w:rsidP="00C3468B">
      <w:pPr>
        <w:jc w:val="both"/>
        <w:rPr>
          <w:rFonts w:cs="Times New Roman"/>
          <w:szCs w:val="24"/>
        </w:rPr>
      </w:pPr>
      <w:r>
        <w:rPr>
          <w:rFonts w:cs="Times New Roman"/>
          <w:szCs w:val="24"/>
          <w:vertAlign w:val="superscript"/>
        </w:rPr>
        <w:t>1</w:t>
      </w:r>
      <w:r>
        <w:rPr>
          <w:rFonts w:cs="Times New Roman"/>
          <w:szCs w:val="24"/>
        </w:rPr>
        <w:t>Department of Biological Sciences and Biotechnology, College of Natural Sciences, Chungbuk National University, Cheongju 28644, Republic of Korea</w:t>
      </w:r>
    </w:p>
    <w:p w14:paraId="34A5429D" w14:textId="77777777" w:rsidR="00783035" w:rsidRDefault="00783035" w:rsidP="00C3468B">
      <w:pPr>
        <w:jc w:val="both"/>
        <w:rPr>
          <w:rFonts w:cs="Times New Roman"/>
          <w:szCs w:val="24"/>
          <w:lang w:eastAsia="ko-KR"/>
        </w:rPr>
      </w:pPr>
    </w:p>
    <w:p w14:paraId="42F9406D" w14:textId="77777777" w:rsidR="00783035" w:rsidRDefault="00783035" w:rsidP="00C3468B">
      <w:pPr>
        <w:jc w:val="both"/>
        <w:rPr>
          <w:rFonts w:cs="Times New Roman"/>
          <w:szCs w:val="24"/>
          <w:lang w:eastAsia="ko-KR"/>
        </w:rPr>
      </w:pPr>
      <w:r>
        <w:rPr>
          <w:rFonts w:cs="Times New Roman"/>
          <w:szCs w:val="24"/>
          <w:lang w:eastAsia="ko-KR"/>
        </w:rPr>
        <w:t>*Corresponding author: Tatsuya Unno</w:t>
      </w:r>
    </w:p>
    <w:p w14:paraId="6F2962B2" w14:textId="77777777" w:rsidR="00783035" w:rsidRDefault="00783035" w:rsidP="00C3468B">
      <w:pPr>
        <w:jc w:val="both"/>
        <w:rPr>
          <w:rFonts w:cs="Times New Roman"/>
          <w:szCs w:val="24"/>
          <w:lang w:eastAsia="ko-KR"/>
        </w:rPr>
      </w:pPr>
      <w:r>
        <w:rPr>
          <w:rFonts w:cs="Times New Roman"/>
          <w:szCs w:val="24"/>
          <w:lang w:eastAsia="ko-KR"/>
        </w:rPr>
        <w:t>Department of Biological Sciences and Biotechnology, College of Natural Sciences, Chungbuk National University, Cheongju 28644, Republic of Korea.</w:t>
      </w:r>
    </w:p>
    <w:p w14:paraId="21BC4359" w14:textId="77777777" w:rsidR="00783035" w:rsidRDefault="00783035" w:rsidP="00C3468B">
      <w:pPr>
        <w:jc w:val="both"/>
        <w:rPr>
          <w:rFonts w:cs="Times New Roman"/>
          <w:szCs w:val="24"/>
          <w:lang w:eastAsia="ko-KR"/>
        </w:rPr>
      </w:pPr>
      <w:r>
        <w:rPr>
          <w:rFonts w:cs="Times New Roman"/>
          <w:szCs w:val="24"/>
          <w:lang w:eastAsia="ko-KR"/>
        </w:rPr>
        <w:t>Tel: +82 43-261-2304</w:t>
      </w:r>
    </w:p>
    <w:p w14:paraId="4E706A66" w14:textId="77777777" w:rsidR="00783035" w:rsidRDefault="00783035" w:rsidP="00C3468B">
      <w:pPr>
        <w:jc w:val="both"/>
        <w:rPr>
          <w:rFonts w:cs="Times New Roman"/>
          <w:szCs w:val="24"/>
          <w:lang w:eastAsia="ko-KR"/>
        </w:rPr>
      </w:pPr>
      <w:r>
        <w:rPr>
          <w:rFonts w:cs="Times New Roman"/>
          <w:szCs w:val="24"/>
          <w:lang w:eastAsia="ko-KR"/>
        </w:rPr>
        <w:t xml:space="preserve">Email: </w:t>
      </w:r>
      <w:hyperlink r:id="rId7" w:history="1">
        <w:r w:rsidRPr="00C27BC7">
          <w:rPr>
            <w:rStyle w:val="ad"/>
            <w:rFonts w:cs="Times New Roman"/>
            <w:szCs w:val="24"/>
            <w:lang w:eastAsia="ko-KR"/>
          </w:rPr>
          <w:t>tatsu@cbnu.ac.kr</w:t>
        </w:r>
      </w:hyperlink>
    </w:p>
    <w:p w14:paraId="49AEA651" w14:textId="77777777" w:rsidR="00783035" w:rsidRDefault="00783035" w:rsidP="00C3468B">
      <w:pPr>
        <w:jc w:val="both"/>
        <w:rPr>
          <w:rFonts w:cs="Times New Roman"/>
          <w:szCs w:val="24"/>
          <w:lang w:eastAsia="ko-KR"/>
        </w:rPr>
      </w:pPr>
    </w:p>
    <w:p w14:paraId="4BCA448F" w14:textId="77777777" w:rsidR="006B6D74" w:rsidRDefault="006B6D74" w:rsidP="00C3468B">
      <w:pPr>
        <w:jc w:val="both"/>
        <w:rPr>
          <w:rFonts w:cs="Times New Roman"/>
          <w:szCs w:val="24"/>
          <w:lang w:eastAsia="ko-KR"/>
        </w:rPr>
      </w:pPr>
    </w:p>
    <w:p w14:paraId="62436795" w14:textId="77777777" w:rsidR="006B6D74" w:rsidRDefault="006B6D74" w:rsidP="00C3468B">
      <w:pPr>
        <w:jc w:val="both"/>
        <w:rPr>
          <w:rFonts w:cs="Times New Roman"/>
          <w:szCs w:val="24"/>
          <w:lang w:eastAsia="ko-KR"/>
        </w:rPr>
      </w:pPr>
    </w:p>
    <w:p w14:paraId="538C6074" w14:textId="77777777" w:rsidR="006B6D74" w:rsidRDefault="006B6D74" w:rsidP="00C3468B">
      <w:pPr>
        <w:jc w:val="both"/>
        <w:rPr>
          <w:rFonts w:cs="Times New Roman"/>
          <w:szCs w:val="24"/>
          <w:lang w:eastAsia="ko-KR"/>
        </w:rPr>
      </w:pPr>
    </w:p>
    <w:p w14:paraId="63A19A6C" w14:textId="77777777" w:rsidR="006B6D74" w:rsidRDefault="006B6D74" w:rsidP="00C3468B">
      <w:pPr>
        <w:jc w:val="both"/>
        <w:rPr>
          <w:rFonts w:cs="Times New Roman"/>
          <w:szCs w:val="24"/>
          <w:lang w:eastAsia="ko-KR"/>
        </w:rPr>
      </w:pPr>
    </w:p>
    <w:p w14:paraId="4FDDA946" w14:textId="77777777" w:rsidR="006B6D74" w:rsidRDefault="006B6D74" w:rsidP="00C3468B">
      <w:pPr>
        <w:jc w:val="both"/>
        <w:rPr>
          <w:rFonts w:cs="Times New Roman"/>
          <w:szCs w:val="24"/>
          <w:lang w:eastAsia="ko-KR"/>
        </w:rPr>
      </w:pPr>
    </w:p>
    <w:p w14:paraId="3CC0E9C9" w14:textId="77777777" w:rsidR="006B6D74" w:rsidRDefault="006B6D74" w:rsidP="00C3468B">
      <w:pPr>
        <w:jc w:val="both"/>
        <w:rPr>
          <w:rFonts w:cs="Times New Roman"/>
          <w:szCs w:val="24"/>
          <w:lang w:eastAsia="ko-KR"/>
        </w:rPr>
      </w:pPr>
    </w:p>
    <w:p w14:paraId="6E7D220C" w14:textId="77777777" w:rsidR="006B6D74" w:rsidRDefault="006B6D74" w:rsidP="00C3468B">
      <w:pPr>
        <w:jc w:val="both"/>
        <w:rPr>
          <w:rFonts w:cs="Times New Roman"/>
          <w:szCs w:val="24"/>
          <w:lang w:eastAsia="ko-KR"/>
        </w:rPr>
      </w:pPr>
    </w:p>
    <w:p w14:paraId="22755F5D" w14:textId="77777777" w:rsidR="006B6D74" w:rsidRDefault="006B6D74" w:rsidP="00C3468B">
      <w:pPr>
        <w:jc w:val="both"/>
        <w:rPr>
          <w:rFonts w:cs="Times New Roman"/>
          <w:szCs w:val="24"/>
          <w:lang w:eastAsia="ko-KR"/>
        </w:rPr>
      </w:pPr>
    </w:p>
    <w:p w14:paraId="5DDE697E" w14:textId="77777777" w:rsidR="006B6D74" w:rsidRDefault="006B6D74" w:rsidP="00C3468B">
      <w:pPr>
        <w:jc w:val="both"/>
        <w:rPr>
          <w:rFonts w:cs="Times New Roman"/>
          <w:szCs w:val="24"/>
          <w:lang w:eastAsia="ko-KR"/>
        </w:rPr>
      </w:pPr>
    </w:p>
    <w:p w14:paraId="0ED71756" w14:textId="468B35C5" w:rsidR="006B6D74" w:rsidRDefault="006B6D74" w:rsidP="00C3468B">
      <w:pPr>
        <w:jc w:val="both"/>
        <w:rPr>
          <w:rFonts w:cs="Times New Roman"/>
          <w:szCs w:val="24"/>
          <w:lang w:eastAsia="ko-KR"/>
        </w:rPr>
      </w:pPr>
    </w:p>
    <w:p w14:paraId="5C3B51B3"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lastRenderedPageBreak/>
        <w:t>Materials and Methods</w:t>
      </w:r>
    </w:p>
    <w:p w14:paraId="6ABA34D7"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Genome collection and metadata</w:t>
      </w:r>
    </w:p>
    <w:p w14:paraId="3CB2AAD1" w14:textId="630F65F8" w:rsidR="004F3785" w:rsidRPr="004F3785" w:rsidRDefault="004F3785" w:rsidP="004F3785">
      <w:pPr>
        <w:jc w:val="both"/>
        <w:rPr>
          <w:rFonts w:cs="Times New Roman"/>
          <w:szCs w:val="24"/>
          <w:lang w:eastAsia="ko-KR"/>
        </w:rPr>
      </w:pPr>
      <w:r w:rsidRPr="004F3785">
        <w:rPr>
          <w:rFonts w:cs="Times New Roman"/>
          <w:szCs w:val="24"/>
          <w:lang w:eastAsia="ko-KR"/>
        </w:rPr>
        <w:t>Publicly available whole-genome assemblies and associated metadata (geographic origin [continent] and isolation-source category) for five clinically important bacterial species were obtained from NCBI RefSeq and the Bacterial and Viral Bioinformatics Resource Center (BV-BRC). Multilocus sequence types (STs) were assigned with mlst v2.32.2 (Seemann; PubMLST/BIGSdb, Jolley et al., 2018) using species-specific schemes (klebsiella, ecoli_achtman_4, salmonella, saureus, abaumannii_2). Because the tool's automatic scheme selection occasionally applied a non-target scheme to some genomes (e.g. the E. coli Achtman scheme to a K. pneumoniae genome), all ST assignments were quality-controlled: genomes whose recorded ST was not a valid profile of the species-appropriate scheme were re-typed by forcing the correct scheme, and the corrected ST (or "-" if unassigned) was used in downstream analyses.</w:t>
      </w:r>
    </w:p>
    <w:p w14:paraId="2D4FF5EF" w14:textId="77777777" w:rsidR="004F3785" w:rsidRPr="004F3785" w:rsidRDefault="004F3785" w:rsidP="004F3785">
      <w:pPr>
        <w:jc w:val="both"/>
        <w:rPr>
          <w:rFonts w:cs="Times New Roman"/>
          <w:b/>
          <w:bCs/>
          <w:szCs w:val="24"/>
          <w:lang w:eastAsia="ko-KR"/>
        </w:rPr>
      </w:pPr>
    </w:p>
    <w:p w14:paraId="6F9A9BC7"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Genomic feature extraction</w:t>
      </w:r>
    </w:p>
    <w:p w14:paraId="195705D9" w14:textId="77777777" w:rsidR="004F3785" w:rsidRPr="004F3785" w:rsidRDefault="004F3785" w:rsidP="004F3785">
      <w:pPr>
        <w:jc w:val="both"/>
        <w:rPr>
          <w:rFonts w:cs="Times New Roman"/>
          <w:szCs w:val="24"/>
          <w:lang w:eastAsia="ko-KR"/>
        </w:rPr>
      </w:pPr>
      <w:r w:rsidRPr="004F3785">
        <w:rPr>
          <w:rFonts w:cs="Times New Roman"/>
          <w:szCs w:val="24"/>
          <w:lang w:eastAsia="ko-KR"/>
        </w:rPr>
        <w:t xml:space="preserve">ARGs were detected with AMRFinderPlus v4.0.23 (reference database 2025-07-16.1; Feldgarden et al., 2021) in nucleotide mode, using --plus and the species-specific --organism option (Escherichia, Salmonella, Klebsiella pneumoniae, Staphylococcus aureus, Acinetobacter baumannii) to detect species-specific point mutations. Only entries with Type = "AMR" were used, and both acquired ARGs (Subtype ≠ "POINT") and resistance point mutations (Subtype = "POINT") were included in downstream analyses. Antimicrobial Class and Subclass annotations for each ARG were taken from a reference table built by integrating the ResFinder (Bortolaia et al., 2020) and AMRFinderPlus databases. </w:t>
      </w:r>
    </w:p>
    <w:p w14:paraId="3A8826AE" w14:textId="77777777" w:rsidR="004F3785" w:rsidRPr="004F3785" w:rsidRDefault="004F3785" w:rsidP="004F3785">
      <w:pPr>
        <w:jc w:val="both"/>
        <w:rPr>
          <w:rFonts w:cs="Times New Roman"/>
          <w:szCs w:val="24"/>
          <w:lang w:eastAsia="ko-KR"/>
        </w:rPr>
      </w:pPr>
      <w:r w:rsidRPr="004F3785">
        <w:rPr>
          <w:rFonts w:cs="Times New Roman"/>
          <w:szCs w:val="24"/>
          <w:lang w:eastAsia="ko-KR"/>
        </w:rPr>
        <w:t xml:space="preserve">Plasmid reconstruction and mobility prediction were performed with MOB-suite (mob_recon) v3.1.9 (Robertson &amp; Nash, 2018) using default parameters. For each plasmid cluster, the </w:t>
      </w:r>
      <w:r w:rsidRPr="004F3785">
        <w:rPr>
          <w:rFonts w:cs="Times New Roman"/>
          <w:szCs w:val="24"/>
          <w:lang w:eastAsia="ko-KR"/>
        </w:rPr>
        <w:lastRenderedPageBreak/>
        <w:t>predicted mobility (predicted_mobility: conjugative / mobilizable / non-mobilizable), primary cluster identifier, and predicted host range were used; the location of each ARG was determined from the contig molecule assignment (molecule_type: chromosome / plasmid).</w:t>
      </w:r>
    </w:p>
    <w:p w14:paraId="1440BAAE" w14:textId="77777777" w:rsidR="004F3785" w:rsidRPr="004F3785" w:rsidRDefault="004F3785" w:rsidP="004F3785">
      <w:pPr>
        <w:jc w:val="both"/>
        <w:rPr>
          <w:rFonts w:cs="Times New Roman"/>
          <w:szCs w:val="24"/>
          <w:lang w:eastAsia="ko-KR"/>
        </w:rPr>
      </w:pPr>
      <w:r w:rsidRPr="004F3785">
        <w:rPr>
          <w:rFonts w:cs="Times New Roman"/>
          <w:szCs w:val="24"/>
          <w:lang w:eastAsia="ko-KR"/>
        </w:rPr>
        <w:t>Integrative and conjugative elements (ICEs) were detected by aligning each assembly to the ICEberg reference ICE sequence database (Liu et al., 2019) with BLASTN v2.15.0+ (Camacho et al., 2009). High-scoring segment pairs with percent identity ≥ 80 % and alignment length ≥ 500 bp were retained; on each contig, hits were sorted by coordinate and merged when separated by ≤ 5,000 bp, and a merged block was called an ICE region only when its span was ≥ 10,000 bp. A chromosomal ARG was considered ICE-borne when its coordinates fell within a called ICE region. Because this detection is based on sequence homology to reference ICEs rather than de novo verification of a complete conjugation module, the completeness of the type IV secretion system was not confirmed; this limitation is addressed in the transmissibility scoring below and in the Discussion.</w:t>
      </w:r>
    </w:p>
    <w:p w14:paraId="1246540B" w14:textId="77777777" w:rsidR="004F3785" w:rsidRPr="004F3785" w:rsidRDefault="004F3785" w:rsidP="004F3785">
      <w:pPr>
        <w:jc w:val="both"/>
        <w:rPr>
          <w:rFonts w:cs="Times New Roman"/>
          <w:szCs w:val="24"/>
          <w:lang w:eastAsia="ko-KR"/>
        </w:rPr>
      </w:pPr>
      <w:r w:rsidRPr="004F3785">
        <w:rPr>
          <w:rFonts w:cs="Times New Roman"/>
          <w:szCs w:val="24"/>
          <w:lang w:eastAsia="ko-KR"/>
        </w:rPr>
        <w:t>VF genes were detected by aligning each assembly to the VFDB dataset (Liu et al., 2022) with BLASTN v2.15.0+ (Camacho et al., 2009) (e-value ≤ 1×10⁻¹⁰, initial percent identity ≥ 70 %). Raw hits were filtered at percent identity ≥ 80 % and query coverage ≥ 70 %, and de-duplicated by retaining the top-scoring hit at each locus and removing overlapping hits sharing ≥ 80 % of the shorter span. The remaining VF genes were summarized into a virulence profile across six functional categories (adherence, iron uptake, immune evasion, exotoxin, biofilm, invasion) using the VFDB VFG-category mapping.</w:t>
      </w:r>
    </w:p>
    <w:p w14:paraId="2F12F1A1" w14:textId="77777777" w:rsidR="004F3785" w:rsidRPr="004F3785" w:rsidRDefault="004F3785" w:rsidP="004F3785">
      <w:pPr>
        <w:jc w:val="both"/>
        <w:rPr>
          <w:rFonts w:cs="Times New Roman"/>
          <w:b/>
          <w:bCs/>
          <w:szCs w:val="24"/>
          <w:lang w:eastAsia="ko-KR"/>
        </w:rPr>
      </w:pPr>
    </w:p>
    <w:p w14:paraId="04CC79D8"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Hazard rank framework</w:t>
      </w:r>
    </w:p>
    <w:p w14:paraId="336B0A78" w14:textId="77777777" w:rsidR="004F3785" w:rsidRPr="004F3785" w:rsidRDefault="004F3785" w:rsidP="004F3785">
      <w:pPr>
        <w:jc w:val="both"/>
        <w:rPr>
          <w:rFonts w:cs="Times New Roman"/>
          <w:szCs w:val="24"/>
          <w:lang w:eastAsia="ko-KR"/>
        </w:rPr>
      </w:pPr>
      <w:r w:rsidRPr="004F3785">
        <w:rPr>
          <w:rFonts w:cs="Times New Roman"/>
          <w:szCs w:val="24"/>
          <w:lang w:eastAsia="ko-KR"/>
        </w:rPr>
        <w:t xml:space="preserve">Each isolate was assigned a rank (R1–R12) determined by only two axes: the clinical importance of the antibiotics threatened by its worst-case ARG, and the transmissibility of that </w:t>
      </w:r>
      <w:r w:rsidRPr="004F3785">
        <w:rPr>
          <w:rFonts w:cs="Times New Roman"/>
          <w:szCs w:val="24"/>
          <w:lang w:eastAsia="ko-KR"/>
        </w:rPr>
        <w:lastRenderedPageBreak/>
        <w:t>ARG. Susceptibility (expression) status and the virulence profile were recorded only as annotations and did not contribute to the rank.</w:t>
      </w:r>
    </w:p>
    <w:p w14:paraId="2C7D5D82" w14:textId="77777777" w:rsidR="004F3785" w:rsidRPr="004F3785" w:rsidRDefault="004F3785" w:rsidP="004F3785">
      <w:pPr>
        <w:jc w:val="both"/>
        <w:rPr>
          <w:rFonts w:cs="Times New Roman"/>
          <w:b/>
          <w:bCs/>
          <w:szCs w:val="24"/>
          <w:lang w:eastAsia="ko-KR"/>
        </w:rPr>
      </w:pPr>
    </w:p>
    <w:p w14:paraId="60791BBE"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AWaRe tier mapping</w:t>
      </w:r>
    </w:p>
    <w:p w14:paraId="212A27DC" w14:textId="77777777" w:rsidR="004F3785" w:rsidRPr="004F3785" w:rsidRDefault="004F3785" w:rsidP="004F3785">
      <w:pPr>
        <w:jc w:val="both"/>
        <w:rPr>
          <w:rFonts w:cs="Times New Roman"/>
          <w:szCs w:val="24"/>
          <w:lang w:eastAsia="ko-KR"/>
        </w:rPr>
      </w:pPr>
      <w:r w:rsidRPr="004F3785">
        <w:rPr>
          <w:rFonts w:cs="Times New Roman"/>
          <w:szCs w:val="24"/>
          <w:lang w:eastAsia="ko-KR"/>
        </w:rPr>
        <w:t>Each ARG was mapped to a WHO AWaRe tier (Access/Watch/Reserve; WHO, 2023) by taking the worst-case tier (Reserve &gt; Watch &gt; Access) across the individual agents specified by its AMRFinderPlus Subclass. Tier assignment followed a four-step cascade: (1) per-agent tiers from the subclass; if no agent mapped to an AWaRe tier, (2) the mode tier of the corresponding antibiotic Class (the most frequent AWaRe tier among that class's agents, with ties resolved to the higher tier); then (3) the worst-case tier of the gene family; and otherwise (4) no tier (intrinsic/undetermined). A worst-case rule was used when specific agents were identified (step 1), to reflect the actual threatening agent, whereas a representative value (mode) was used in the class-level fallback (step 2), where the agent is unknown, to avoid over-estimation.</w:t>
      </w:r>
    </w:p>
    <w:p w14:paraId="6947E29C" w14:textId="77777777" w:rsidR="004F3785" w:rsidRPr="004F3785" w:rsidRDefault="004F3785" w:rsidP="004F3785">
      <w:pPr>
        <w:jc w:val="both"/>
        <w:rPr>
          <w:rFonts w:cs="Times New Roman"/>
          <w:szCs w:val="24"/>
          <w:lang w:eastAsia="ko-KR"/>
        </w:rPr>
      </w:pPr>
      <w:r w:rsidRPr="004F3785">
        <w:rPr>
          <w:rFonts w:cs="Times New Roman"/>
          <w:szCs w:val="24"/>
          <w:lang w:eastAsia="ko-KR"/>
        </w:rPr>
        <w:t>Mechanism-based corrections were applied where the AMRFinderPlus subclass over-called resistance. For example, because glycylcyclines evade the classical tetracycline efflux and ribosomal-protection mechanisms (Olson et al., 2006; Yaghoubi et al., 2022), such determinants were prevented from conferring tigecycline resistance: although the integrated database used here assigned tigecycline resistance to the classical tetracycline efflux pumps tet(L) and tet(39), our correction retained only doxycycline and tetracycline resistance; the MATE efflux pump mepA, whose only specified agent was tigecycline, was assigned no tier. In contrast, genuine glycylcycline determinants (the tet(X) family and tmexCD–toprJ) and genuine ribosomal-protection determinants (e.g. tet(M)) were left unchanged. Point mutations were assigned tiers from their own AMRFinderPlus subclass under the same rules.</w:t>
      </w:r>
    </w:p>
    <w:p w14:paraId="05CD63A6" w14:textId="77777777" w:rsidR="004F3785" w:rsidRPr="004F3785" w:rsidRDefault="004F3785" w:rsidP="004F3785">
      <w:pPr>
        <w:jc w:val="both"/>
        <w:rPr>
          <w:rFonts w:cs="Times New Roman"/>
          <w:b/>
          <w:bCs/>
          <w:szCs w:val="24"/>
          <w:lang w:eastAsia="ko-KR"/>
        </w:rPr>
      </w:pPr>
    </w:p>
    <w:p w14:paraId="33749D24"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lastRenderedPageBreak/>
        <w:t>Transmissibility ladder</w:t>
      </w:r>
    </w:p>
    <w:p w14:paraId="1BBD2CA5" w14:textId="77777777" w:rsidR="004F3785" w:rsidRPr="004F3785" w:rsidRDefault="004F3785" w:rsidP="004F3785">
      <w:pPr>
        <w:jc w:val="both"/>
        <w:rPr>
          <w:rFonts w:cs="Times New Roman"/>
          <w:szCs w:val="24"/>
          <w:lang w:eastAsia="ko-KR"/>
        </w:rPr>
      </w:pPr>
      <w:r w:rsidRPr="004F3785">
        <w:rPr>
          <w:rFonts w:cs="Times New Roman"/>
          <w:b/>
          <w:bCs/>
          <w:szCs w:val="24"/>
          <w:lang w:eastAsia="ko-KR"/>
        </w:rPr>
        <w:t>T</w:t>
      </w:r>
      <w:r w:rsidRPr="004F3785">
        <w:rPr>
          <w:rFonts w:cs="Times New Roman"/>
          <w:szCs w:val="24"/>
          <w:lang w:eastAsia="ko-KR"/>
        </w:rPr>
        <w:t>ransmissibility was scored on five levels (high to low): (5) conjugative plasmids with a broad host range (predicted host-range rank ≥ family); (4) conjugative plasmids with a narrow host range (&lt; family); (3) "movable" mobilizable plasmids; (2) "stranded" mobilizable plasmids; and (1) non-mobilizable elements, the chromosome, or unknown location. Because mobilizable plasmids lack their own conjugation machinery, a mobilizable plasmid was classified as movable only when a conjugative plasmid of the same lineage co-occurred in the isolate: the predicted host-range taxa of the mobilizable plasmid and of co-occurring conjugative plasmids were compared against the NCBI Taxonomy (ete3 NCBITaxa; Huerta-Cepas et al., 2016), and movability was assigned when the two taxa were in an ancestor–descendant relationship (or identical), but not when they were merely sibling lineages.</w:t>
      </w:r>
    </w:p>
    <w:p w14:paraId="4366831E" w14:textId="77777777" w:rsidR="004F3785" w:rsidRPr="004F3785" w:rsidRDefault="004F3785" w:rsidP="004F3785">
      <w:pPr>
        <w:jc w:val="both"/>
        <w:rPr>
          <w:rFonts w:cs="Times New Roman"/>
          <w:szCs w:val="24"/>
          <w:lang w:eastAsia="ko-KR"/>
        </w:rPr>
      </w:pPr>
      <w:r w:rsidRPr="004F3785">
        <w:rPr>
          <w:rFonts w:cs="Times New Roman"/>
          <w:szCs w:val="24"/>
          <w:lang w:eastAsia="ko-KR"/>
        </w:rPr>
        <w:t>Because ICEs are self-transmissible chromosomal elements that carry their own conjugation machinery and excise, transfer, and re-integrate, a chromosomal ARG located within a called ICE region was not treated as non-transmissible. Instead, such an ARG was scored at the conjugative level of the ladder rather than level 1. As the reference-based detection does not predict the host range of the element, and no standard tool predicts ICE host range in the way MOB-suite does for plasmids, ICE-borne chromosomal ARGs were assigned conservatively to the narrow conjugative level (4) rather than the broad level (5). This assignment affected only acquired ARGs; resistance point mutations were never re-scored for ICE location, because a point mutation is a substitution in a resident chromosomal gene rather than a mobile cargo gene, and its co-localization with an ICE region does not imply that the mutation is itself transferable. All other chromosomal ARGs, and every ARG on a plasmid, were scored exactly as above; plasmid-borne ARGs were unaffected by ICE detection, so no ARG was counted under both the plasmid and the ICE rule.</w:t>
      </w:r>
    </w:p>
    <w:p w14:paraId="4EC0F32F" w14:textId="77777777" w:rsidR="004F3785" w:rsidRPr="004F3785" w:rsidRDefault="004F3785" w:rsidP="004F3785">
      <w:pPr>
        <w:jc w:val="both"/>
        <w:rPr>
          <w:rFonts w:cs="Times New Roman"/>
          <w:b/>
          <w:bCs/>
          <w:szCs w:val="24"/>
          <w:lang w:eastAsia="ko-KR"/>
        </w:rPr>
      </w:pPr>
    </w:p>
    <w:p w14:paraId="5B3E3162"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lastRenderedPageBreak/>
        <w:t>Rank assignment</w:t>
      </w:r>
    </w:p>
    <w:p w14:paraId="27BAFB9F" w14:textId="5FC8BDE5" w:rsidR="004F3785" w:rsidRDefault="00F92117" w:rsidP="004F3785">
      <w:pPr>
        <w:jc w:val="both"/>
        <w:rPr>
          <w:rFonts w:cs="Times New Roman"/>
          <w:szCs w:val="24"/>
          <w:lang w:eastAsia="ko-KR"/>
        </w:rPr>
      </w:pPr>
      <w:r w:rsidRPr="00F92117">
        <w:rPr>
          <w:rFonts w:cs="Times New Roman"/>
          <w:szCs w:val="24"/>
          <w:lang w:eastAsia="ko-KR"/>
        </w:rPr>
        <w:t>The worst-case ARG of an isolate was defined as the ARG ranked highest when ordered first by AWaRe tier (Reserve &gt; Watch &gt; Access) and then, within a tier, by transmissibility level. Ranks were assigned by crossing tier with transmissibility level: for a Reserve-tier worst-case ARG, transmissibility 5→R1, 4→R2, 3→R3, 2→R4, 1→R5; for Watch, 5→R6 … 1→R10; an Access-tier worst-case ARG was assigned R11; and isolates with no detected ARG were assigned R12. Isolates that carried detected determinants but no rankable (tier-assigned) ARG — because their only determinants were intrinsic chromosomal genes with no specific-agent subclass, predominantly the near-universal *Salmonella* multidrug efflux pump mdsAB — were not assigned a hazard rank but were set aside as a separate "not graded" (NG) group. These isolates were retained in the cohort so that all reported fractions use the full denominator (n = 37,811); the NG group is reported as a distinct row rather than folded into R12, to separate "evaluated but carrying no rankable determinant" from "no determinant detected." Because intrinsic determinants map to no tier, this separation does not affect any R1–R11 rank, the high-risk (R1–R3) set, or the ST-enrichment analysis.</w:t>
      </w:r>
    </w:p>
    <w:p w14:paraId="5BF06E46" w14:textId="77777777" w:rsidR="00F92117" w:rsidRPr="00F92117" w:rsidRDefault="00F92117" w:rsidP="004F3785">
      <w:pPr>
        <w:jc w:val="both"/>
        <w:rPr>
          <w:rFonts w:cs="Times New Roman"/>
          <w:b/>
          <w:bCs/>
          <w:szCs w:val="24"/>
          <w:lang w:eastAsia="ko-KR"/>
        </w:rPr>
      </w:pPr>
    </w:p>
    <w:p w14:paraId="4B53C61F"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MDR flag</w:t>
      </w:r>
    </w:p>
    <w:p w14:paraId="67E4786A" w14:textId="77777777" w:rsidR="004F3785" w:rsidRPr="004F3785" w:rsidRDefault="004F3785" w:rsidP="004F3785">
      <w:pPr>
        <w:jc w:val="both"/>
        <w:rPr>
          <w:rFonts w:cs="Times New Roman"/>
          <w:szCs w:val="24"/>
          <w:lang w:eastAsia="ko-KR"/>
        </w:rPr>
      </w:pPr>
      <w:r w:rsidRPr="004F3785">
        <w:rPr>
          <w:rFonts w:cs="Times New Roman"/>
          <w:szCs w:val="24"/>
          <w:lang w:eastAsia="ko-KR"/>
        </w:rPr>
        <w:t>Isolates were flagged as multidrug-resistant ("-MDR") when they carried ARGs spanning ≥ 3 distinct antibiotic classes (Magiorakos et al., 2012). The Class field of the reference table was normalized to canonical antimicrobial classes to count distinct classes. The MDR flag was recorded independently of the R1–R12 rank and did not alter it.</w:t>
      </w:r>
    </w:p>
    <w:p w14:paraId="42EC5C97" w14:textId="77777777" w:rsidR="004F3785" w:rsidRPr="004F3785" w:rsidRDefault="004F3785" w:rsidP="004F3785">
      <w:pPr>
        <w:jc w:val="both"/>
        <w:rPr>
          <w:rFonts w:cs="Times New Roman"/>
          <w:b/>
          <w:bCs/>
          <w:szCs w:val="24"/>
          <w:lang w:eastAsia="ko-KR"/>
        </w:rPr>
      </w:pPr>
    </w:p>
    <w:p w14:paraId="00A8DDC8" w14:textId="77777777" w:rsidR="004F3785" w:rsidRPr="004F3785" w:rsidRDefault="004F3785" w:rsidP="004F3785">
      <w:pPr>
        <w:jc w:val="both"/>
        <w:rPr>
          <w:rFonts w:cs="Times New Roman"/>
          <w:b/>
          <w:bCs/>
          <w:szCs w:val="24"/>
          <w:lang w:eastAsia="ko-KR"/>
        </w:rPr>
      </w:pPr>
      <w:r w:rsidRPr="004F3785">
        <w:rPr>
          <w:rFonts w:cs="Times New Roman"/>
          <w:b/>
          <w:bCs/>
          <w:szCs w:val="24"/>
          <w:lang w:eastAsia="ko-KR"/>
        </w:rPr>
        <w:t>Expression suffix</w:t>
      </w:r>
    </w:p>
    <w:p w14:paraId="6950FBB9" w14:textId="77777777" w:rsidR="004F3785" w:rsidRPr="004F3785" w:rsidRDefault="004F3785" w:rsidP="004F3785">
      <w:pPr>
        <w:jc w:val="both"/>
        <w:rPr>
          <w:rFonts w:cs="Times New Roman"/>
          <w:szCs w:val="24"/>
          <w:lang w:eastAsia="ko-KR"/>
        </w:rPr>
      </w:pPr>
      <w:r w:rsidRPr="004F3785">
        <w:rPr>
          <w:rFonts w:cs="Times New Roman"/>
          <w:szCs w:val="24"/>
          <w:lang w:eastAsia="ko-KR"/>
        </w:rPr>
        <w:t xml:space="preserve">The AST expression status of each isolate's worst-case ARG was annotated as a suffix (a, phenotypically resistant; b, susceptible; u, no result), derived from measured AST or predicted </w:t>
      </w:r>
      <w:r w:rsidRPr="004F3785">
        <w:rPr>
          <w:rFonts w:cs="Times New Roman"/>
          <w:szCs w:val="24"/>
          <w:lang w:eastAsia="ko-KR"/>
        </w:rPr>
        <w:lastRenderedPageBreak/>
        <w:t>susceptibility (Cheon et al., under review). The suffix was provided only as an annotation of heterogeneous source and coverage and was not used in rank assignment or downstream statistics.</w:t>
      </w:r>
    </w:p>
    <w:p w14:paraId="62D5DFA4" w14:textId="77777777" w:rsidR="004F3785" w:rsidRPr="004F3785" w:rsidRDefault="004F3785" w:rsidP="004F3785">
      <w:pPr>
        <w:jc w:val="both"/>
        <w:rPr>
          <w:rFonts w:cs="Times New Roman"/>
          <w:b/>
          <w:bCs/>
          <w:szCs w:val="24"/>
          <w:lang w:eastAsia="ko-KR"/>
        </w:rPr>
      </w:pPr>
    </w:p>
    <w:p w14:paraId="0DB4DB02" w14:textId="5B897246" w:rsidR="00783035" w:rsidRPr="00BE64D0" w:rsidRDefault="00651F7C" w:rsidP="00C3468B">
      <w:pPr>
        <w:jc w:val="both"/>
        <w:rPr>
          <w:b/>
          <w:bCs/>
          <w:lang w:eastAsia="ko-KR"/>
        </w:rPr>
      </w:pPr>
      <w:r w:rsidRPr="00BE64D0">
        <w:rPr>
          <w:rFonts w:hint="eastAsia"/>
          <w:b/>
          <w:bCs/>
          <w:lang w:eastAsia="ko-KR"/>
        </w:rPr>
        <w:t>Results</w:t>
      </w:r>
    </w:p>
    <w:p w14:paraId="76B2CFB2" w14:textId="77777777" w:rsidR="00BE64D0" w:rsidRDefault="00BE64D0" w:rsidP="00BE64D0">
      <w:pPr>
        <w:jc w:val="both"/>
        <w:rPr>
          <w:b/>
          <w:bCs/>
          <w:lang w:eastAsia="ko-KR"/>
        </w:rPr>
      </w:pPr>
    </w:p>
    <w:p w14:paraId="524BE4F7" w14:textId="70EAB1C5" w:rsidR="00BE64D0" w:rsidRPr="00BE64D0" w:rsidRDefault="00BE64D0" w:rsidP="00BE64D0">
      <w:pPr>
        <w:jc w:val="both"/>
        <w:rPr>
          <w:b/>
          <w:bCs/>
          <w:lang w:eastAsia="ko-KR"/>
        </w:rPr>
      </w:pPr>
      <w:r w:rsidRPr="00BE64D0">
        <w:rPr>
          <w:b/>
          <w:bCs/>
          <w:lang w:eastAsia="ko-KR"/>
        </w:rPr>
        <w:t xml:space="preserve">Cohort </w:t>
      </w:r>
      <w:proofErr w:type="gramStart"/>
      <w:r w:rsidRPr="00BE64D0">
        <w:rPr>
          <w:b/>
          <w:bCs/>
          <w:lang w:eastAsia="ko-KR"/>
        </w:rPr>
        <w:t>composition</w:t>
      </w:r>
      <w:proofErr w:type="gramEnd"/>
    </w:p>
    <w:p w14:paraId="449BABCD" w14:textId="77777777" w:rsidR="00BE64D0" w:rsidRPr="00BE64D0" w:rsidRDefault="00BE64D0" w:rsidP="00BE64D0">
      <w:pPr>
        <w:jc w:val="both"/>
        <w:rPr>
          <w:lang w:eastAsia="ko-KR"/>
        </w:rPr>
      </w:pPr>
      <w:r w:rsidRPr="00BE64D0">
        <w:rPr>
          <w:lang w:eastAsia="ko-KR"/>
        </w:rPr>
        <w:t xml:space="preserve">The final cohort comprised 37,811 whole-genome assemblies from five clinically important species: </w:t>
      </w:r>
      <w:r w:rsidRPr="00BE64D0">
        <w:rPr>
          <w:i/>
          <w:iCs/>
          <w:lang w:eastAsia="ko-KR"/>
        </w:rPr>
        <w:t>Salmonella enterica</w:t>
      </w:r>
      <w:r w:rsidRPr="00BE64D0">
        <w:rPr>
          <w:lang w:eastAsia="ko-KR"/>
        </w:rPr>
        <w:t xml:space="preserve"> (n = 11,108), </w:t>
      </w:r>
      <w:r w:rsidRPr="00BE64D0">
        <w:rPr>
          <w:i/>
          <w:iCs/>
          <w:lang w:eastAsia="ko-KR"/>
        </w:rPr>
        <w:t>Klebsiella pneumoniae</w:t>
      </w:r>
      <w:r w:rsidRPr="00BE64D0">
        <w:rPr>
          <w:lang w:eastAsia="ko-KR"/>
        </w:rPr>
        <w:t xml:space="preserve"> (n = 8,462), </w:t>
      </w:r>
      <w:r w:rsidRPr="00BE64D0">
        <w:rPr>
          <w:i/>
          <w:iCs/>
          <w:lang w:eastAsia="ko-KR"/>
        </w:rPr>
        <w:t>Escherichia coli</w:t>
      </w:r>
      <w:r w:rsidRPr="00BE64D0">
        <w:rPr>
          <w:lang w:eastAsia="ko-KR"/>
        </w:rPr>
        <w:t xml:space="preserve"> (n = 7,337), </w:t>
      </w:r>
      <w:r w:rsidRPr="00BE64D0">
        <w:rPr>
          <w:i/>
          <w:iCs/>
          <w:lang w:eastAsia="ko-KR"/>
        </w:rPr>
        <w:t>Staphylococcus aureus</w:t>
      </w:r>
      <w:r w:rsidRPr="00BE64D0">
        <w:rPr>
          <w:lang w:eastAsia="ko-KR"/>
        </w:rPr>
        <w:t xml:space="preserve"> (n = 6,653) and </w:t>
      </w:r>
      <w:r w:rsidRPr="00BE64D0">
        <w:rPr>
          <w:i/>
          <w:iCs/>
          <w:lang w:eastAsia="ko-KR"/>
        </w:rPr>
        <w:t>Acinetobacter baumannii</w:t>
      </w:r>
      <w:r w:rsidRPr="00BE64D0">
        <w:rPr>
          <w:lang w:eastAsia="ko-KR"/>
        </w:rPr>
        <w:t xml:space="preserve"> (n = 4,251). Continent-level geographic annotation and isolation source were collected as metadata wherever available. Isolates originated from Asia (n = 10,438), North America (n = 9,026), Europe (n = 7,679), Africa (n = 4,273), South America (n = 3,912) and Oceania (n = 1,763), while 720 (1.9 %) could not be assigned to a continent. Each isolate was processed through the same feature-extraction pipeline (ARG detection, plasmid reconstruction and mobility prediction, ICE detection, and virulence-factor profiling) and was assigned a single hazard rank (R1–R12), a multidrug-resistance flag, and expression and virulence annotations.</w:t>
      </w:r>
    </w:p>
    <w:p w14:paraId="2DD8A319" w14:textId="77777777" w:rsidR="00BE64D0" w:rsidRDefault="00BE64D0" w:rsidP="00BE64D0">
      <w:pPr>
        <w:jc w:val="both"/>
        <w:rPr>
          <w:b/>
          <w:bCs/>
          <w:lang w:eastAsia="ko-KR"/>
        </w:rPr>
      </w:pPr>
    </w:p>
    <w:p w14:paraId="231AA9AC" w14:textId="63DCEF63" w:rsidR="00BE64D0" w:rsidRPr="00BE64D0" w:rsidRDefault="00BE64D0" w:rsidP="00BE64D0">
      <w:pPr>
        <w:jc w:val="both"/>
        <w:rPr>
          <w:b/>
          <w:bCs/>
          <w:lang w:eastAsia="ko-KR"/>
        </w:rPr>
      </w:pPr>
      <w:r w:rsidRPr="00BE64D0">
        <w:rPr>
          <w:b/>
          <w:bCs/>
          <w:lang w:eastAsia="ko-KR"/>
        </w:rPr>
        <w:t>Distribution of hazard ranks</w:t>
      </w:r>
    </w:p>
    <w:p w14:paraId="50EBE8ED" w14:textId="77777777" w:rsidR="00BE64D0" w:rsidRPr="00BE64D0" w:rsidRDefault="00BE64D0" w:rsidP="00BE64D0">
      <w:pPr>
        <w:jc w:val="both"/>
        <w:rPr>
          <w:lang w:eastAsia="ko-KR"/>
        </w:rPr>
      </w:pPr>
      <w:r w:rsidRPr="00BE64D0">
        <w:rPr>
          <w:lang w:eastAsia="ko-KR"/>
        </w:rPr>
        <w:t xml:space="preserve">Applying the framework across the full cohort resolved isolates into all twelve ranks (Fig. 1), and the distribution was strongly non-uniform. The single largest rank was R5 (16,112 isolates, 42.6 %), comprising isolates </w:t>
      </w:r>
      <w:proofErr w:type="gramStart"/>
      <w:r w:rsidRPr="00BE64D0">
        <w:rPr>
          <w:lang w:eastAsia="ko-KR"/>
        </w:rPr>
        <w:t>whose</w:t>
      </w:r>
      <w:proofErr w:type="gramEnd"/>
      <w:r w:rsidRPr="00BE64D0">
        <w:rPr>
          <w:lang w:eastAsia="ko-KR"/>
        </w:rPr>
        <w:t xml:space="preserve"> worst-case ARG threatened a Reserve-tier antibiotic but resided on the chromosome or another non-mobile element (transmissibility level 1). This was followed by R1 (6,023, 15.9 %) and R10 (4,321, 11.4 %), with a further 4,917 isolates (13.0 %) falling into the not-graded (NG) group discussed below. The remaining ranks were </w:t>
      </w:r>
      <w:r w:rsidRPr="00BE64D0">
        <w:rPr>
          <w:lang w:eastAsia="ko-KR"/>
        </w:rPr>
        <w:lastRenderedPageBreak/>
        <w:t>comparatively rare: R2 (1,022, 2.7 %), R3 (355, 0.9 %), R4 (230, 0.6 %), R6 (2,086, 5.5 %), R7 (444, 1.2 %), R8 (273, 0.7 %), R9 (890, 2.4 %), R11 (735, 1.9 %) and R12 (403, 1.1 %).</w:t>
      </w:r>
    </w:p>
    <w:p w14:paraId="0553A3D8" w14:textId="77777777" w:rsidR="00BE64D0" w:rsidRPr="00BE64D0" w:rsidRDefault="00BE64D0" w:rsidP="00BE64D0">
      <w:pPr>
        <w:jc w:val="both"/>
        <w:rPr>
          <w:lang w:eastAsia="ko-KR"/>
        </w:rPr>
      </w:pPr>
      <w:r w:rsidRPr="00BE64D0">
        <w:rPr>
          <w:lang w:eastAsia="ko-KR"/>
        </w:rPr>
        <w:t>The three ranks in which a Reserve-tier ARG was also transmissible (R1, R2 and R3) were designated the high-risk set. This set comprised 7,400 isolates (19.6 % of the cohort). Multidrug resistance, scored independently of rank, was widespread: 27,503 isolates (72.7 %) carried ARGs spanning ≥ 3 distinct antibiotic classes.</w:t>
      </w:r>
    </w:p>
    <w:p w14:paraId="74C13D7A" w14:textId="77777777" w:rsidR="00BE64D0" w:rsidRPr="00BE64D0" w:rsidRDefault="00BE64D0" w:rsidP="00BE64D0">
      <w:pPr>
        <w:jc w:val="both"/>
        <w:rPr>
          <w:lang w:eastAsia="ko-KR"/>
        </w:rPr>
      </w:pPr>
      <w:r w:rsidRPr="00BE64D0">
        <w:rPr>
          <w:lang w:eastAsia="ko-KR"/>
        </w:rPr>
        <w:t xml:space="preserve">The lowest category of the framework was reported as two distinct groups (Fig. 1). A total of 5,320 isolates had no worst-case ARG that could be placed on the tier × transmissibility grid, but for different reasons. In 403 of these, no ARG was detected at all, and these were assigned R12. The remaining 4,917 carried ARGs that mapped to no </w:t>
      </w:r>
      <w:proofErr w:type="spellStart"/>
      <w:r w:rsidRPr="00BE64D0">
        <w:rPr>
          <w:lang w:eastAsia="ko-KR"/>
        </w:rPr>
        <w:t>AWaRe</w:t>
      </w:r>
      <w:proofErr w:type="spellEnd"/>
      <w:r w:rsidRPr="00BE64D0">
        <w:rPr>
          <w:lang w:eastAsia="ko-KR"/>
        </w:rPr>
        <w:t xml:space="preserve"> tier, either because no specific-agent subclass was assigned or because the agent to which the ARG conferred resistance was not </w:t>
      </w:r>
      <w:proofErr w:type="spellStart"/>
      <w:r w:rsidRPr="00BE64D0">
        <w:rPr>
          <w:lang w:eastAsia="ko-KR"/>
        </w:rPr>
        <w:t>AWaRe</w:t>
      </w:r>
      <w:proofErr w:type="spellEnd"/>
      <w:r w:rsidRPr="00BE64D0">
        <w:rPr>
          <w:lang w:eastAsia="ko-KR"/>
        </w:rPr>
        <w:t>-</w:t>
      </w:r>
      <w:proofErr w:type="gramStart"/>
      <w:r w:rsidRPr="00BE64D0">
        <w:rPr>
          <w:lang w:eastAsia="ko-KR"/>
        </w:rPr>
        <w:t>classifiable</w:t>
      </w:r>
      <w:proofErr w:type="gramEnd"/>
      <w:r w:rsidRPr="00BE64D0">
        <w:rPr>
          <w:lang w:eastAsia="ko-KR"/>
        </w:rPr>
        <w:t xml:space="preserve">; the great majority were the near-universal </w:t>
      </w:r>
      <w:r w:rsidRPr="00BE64D0">
        <w:rPr>
          <w:i/>
          <w:iCs/>
          <w:lang w:eastAsia="ko-KR"/>
        </w:rPr>
        <w:t>Salmonella</w:t>
      </w:r>
      <w:r w:rsidRPr="00BE64D0">
        <w:rPr>
          <w:lang w:eastAsia="ko-KR"/>
        </w:rPr>
        <w:t xml:space="preserve"> multidrug efflux pump </w:t>
      </w:r>
      <w:proofErr w:type="spellStart"/>
      <w:r w:rsidRPr="00BE64D0">
        <w:rPr>
          <w:lang w:eastAsia="ko-KR"/>
        </w:rPr>
        <w:t>mdsAB</w:t>
      </w:r>
      <w:proofErr w:type="spellEnd"/>
      <w:r w:rsidRPr="00BE64D0">
        <w:rPr>
          <w:lang w:eastAsia="ko-KR"/>
        </w:rPr>
        <w:t xml:space="preserve">. Because an ARG that maps to no antibiotic tier is not an actionable resistance signal for ranking, such isolates were not </w:t>
      </w:r>
      <w:proofErr w:type="gramStart"/>
      <w:r w:rsidRPr="00BE64D0">
        <w:rPr>
          <w:lang w:eastAsia="ko-KR"/>
        </w:rPr>
        <w:t>assigned</w:t>
      </w:r>
      <w:proofErr w:type="gramEnd"/>
      <w:r w:rsidRPr="00BE64D0">
        <w:rPr>
          <w:lang w:eastAsia="ko-KR"/>
        </w:rPr>
        <w:t xml:space="preserve"> a hazard rank but were set aside as a separate "not graded" (NG) group. They were retained in the cohort denominator (so that the high-risk fraction remained 7,400/37,811 = 19.6 %) and reported as a separate row. This separation explicitly distinguishes "evaluated but carrying no </w:t>
      </w:r>
      <w:proofErr w:type="spellStart"/>
      <w:r w:rsidRPr="00BE64D0">
        <w:rPr>
          <w:lang w:eastAsia="ko-KR"/>
        </w:rPr>
        <w:t>rankable</w:t>
      </w:r>
      <w:proofErr w:type="spellEnd"/>
      <w:r w:rsidRPr="00BE64D0">
        <w:rPr>
          <w:lang w:eastAsia="ko-KR"/>
        </w:rPr>
        <w:t xml:space="preserve"> ARG" (NG) from "no ARG detected" (R12).</w:t>
      </w:r>
    </w:p>
    <w:p w14:paraId="34607160" w14:textId="77777777" w:rsidR="00BE64D0" w:rsidRPr="00BE64D0" w:rsidRDefault="00BE64D0" w:rsidP="00BE64D0">
      <w:pPr>
        <w:jc w:val="both"/>
        <w:rPr>
          <w:lang w:eastAsia="ko-KR"/>
        </w:rPr>
      </w:pPr>
      <w:r w:rsidRPr="00BE64D0">
        <w:rPr>
          <w:lang w:eastAsia="ko-KR"/>
        </w:rPr>
        <w:t xml:space="preserve">The contrast between R5 and R1–R3 illustrates the central </w:t>
      </w:r>
      <w:proofErr w:type="spellStart"/>
      <w:r w:rsidRPr="00BE64D0">
        <w:rPr>
          <w:lang w:eastAsia="ko-KR"/>
        </w:rPr>
        <w:t>behaviour</w:t>
      </w:r>
      <w:proofErr w:type="spellEnd"/>
      <w:r w:rsidRPr="00BE64D0">
        <w:rPr>
          <w:lang w:eastAsia="ko-KR"/>
        </w:rPr>
        <w:t xml:space="preserve"> of the framework. Reserve-tier ARGs were common throughout the cohort, but </w:t>
      </w:r>
      <w:proofErr w:type="gramStart"/>
      <w:r w:rsidRPr="00BE64D0">
        <w:rPr>
          <w:lang w:eastAsia="ko-KR"/>
        </w:rPr>
        <w:t>the majority of</w:t>
      </w:r>
      <w:proofErr w:type="gramEnd"/>
      <w:r w:rsidRPr="00BE64D0">
        <w:rPr>
          <w:lang w:eastAsia="ko-KR"/>
        </w:rPr>
        <w:t xml:space="preserve"> isolates carrying them held those determinants on the chromosome or another non-mobile element and were therefore assigned to R5 rather than to a high-risk rank. Clinical importance alone did not </w:t>
      </w:r>
      <w:proofErr w:type="gramStart"/>
      <w:r w:rsidRPr="00BE64D0">
        <w:rPr>
          <w:lang w:eastAsia="ko-KR"/>
        </w:rPr>
        <w:t>concentrate</w:t>
      </w:r>
      <w:proofErr w:type="gramEnd"/>
      <w:r w:rsidRPr="00BE64D0">
        <w:rPr>
          <w:lang w:eastAsia="ko-KR"/>
        </w:rPr>
        <w:t xml:space="preserve"> risk. Crossing tier with transmissibility narrowed the high-priority set to the 19.6 % in which a Reserve-tier ARG was simultaneously mobile — whether on a plasmid or within a self-transmissible chromosomal ICE.</w:t>
      </w:r>
    </w:p>
    <w:p w14:paraId="72EA33AF" w14:textId="77777777" w:rsidR="00BE64D0" w:rsidRPr="00BE64D0" w:rsidRDefault="00BE64D0" w:rsidP="00BE64D0">
      <w:pPr>
        <w:jc w:val="both"/>
        <w:rPr>
          <w:lang w:eastAsia="ko-KR"/>
        </w:rPr>
      </w:pPr>
      <w:r w:rsidRPr="00BE64D0">
        <w:rPr>
          <w:lang w:eastAsia="ko-KR"/>
        </w:rPr>
        <w:lastRenderedPageBreak/>
        <w:t>Species-level differences in hazard</w:t>
      </w:r>
    </w:p>
    <w:p w14:paraId="1DCDA92D" w14:textId="77777777" w:rsidR="00BE64D0" w:rsidRPr="00BE64D0" w:rsidRDefault="00BE64D0" w:rsidP="00BE64D0">
      <w:pPr>
        <w:jc w:val="both"/>
        <w:rPr>
          <w:lang w:eastAsia="ko-KR"/>
        </w:rPr>
      </w:pPr>
      <w:r w:rsidRPr="00BE64D0">
        <w:rPr>
          <w:lang w:eastAsia="ko-KR"/>
        </w:rPr>
        <w:t xml:space="preserve">The proportion of high-risk (R1–R3) isolates differed markedly among species (Fig. 2A). </w:t>
      </w:r>
      <w:r w:rsidRPr="00BE64D0">
        <w:rPr>
          <w:i/>
          <w:iCs/>
          <w:lang w:eastAsia="ko-KR"/>
        </w:rPr>
        <w:t>K. pneumoniae</w:t>
      </w:r>
      <w:r w:rsidRPr="00BE64D0">
        <w:rPr>
          <w:lang w:eastAsia="ko-KR"/>
        </w:rPr>
        <w:t xml:space="preserve"> had the highest proportion (47.2 %), followed by </w:t>
      </w:r>
      <w:r w:rsidRPr="00BE64D0">
        <w:rPr>
          <w:i/>
          <w:iCs/>
          <w:lang w:eastAsia="ko-KR"/>
        </w:rPr>
        <w:t>E. coli</w:t>
      </w:r>
      <w:r w:rsidRPr="00BE64D0">
        <w:rPr>
          <w:lang w:eastAsia="ko-KR"/>
        </w:rPr>
        <w:t xml:space="preserve"> (25.4 %); in both species the high-risk ranks were driven by plasmid-borne </w:t>
      </w:r>
      <w:proofErr w:type="spellStart"/>
      <w:r w:rsidRPr="00BE64D0">
        <w:rPr>
          <w:lang w:eastAsia="ko-KR"/>
        </w:rPr>
        <w:t>carbapenemases</w:t>
      </w:r>
      <w:proofErr w:type="spellEnd"/>
      <w:r w:rsidRPr="00BE64D0">
        <w:rPr>
          <w:lang w:eastAsia="ko-KR"/>
        </w:rPr>
        <w:t xml:space="preserve"> and extended-spectrum β-lactamases. </w:t>
      </w:r>
      <w:r w:rsidRPr="00BE64D0">
        <w:rPr>
          <w:i/>
          <w:iCs/>
          <w:lang w:eastAsia="ko-KR"/>
        </w:rPr>
        <w:t>S. aureus</w:t>
      </w:r>
      <w:r w:rsidRPr="00BE64D0">
        <w:rPr>
          <w:lang w:eastAsia="ko-KR"/>
        </w:rPr>
        <w:t xml:space="preserve"> was intermediate (10.5 %); although its high-risk ARGs resided predominantly on the chromosome, they were carried within self-transmissible ICEs, and reflecting this revealed the transmission risk of this species (detailed in the ICE section below). </w:t>
      </w:r>
      <w:r w:rsidRPr="00BE64D0">
        <w:rPr>
          <w:i/>
          <w:iCs/>
          <w:lang w:eastAsia="ko-KR"/>
        </w:rPr>
        <w:t>S. enterica</w:t>
      </w:r>
      <w:r w:rsidRPr="00BE64D0">
        <w:rPr>
          <w:lang w:eastAsia="ko-KR"/>
        </w:rPr>
        <w:t xml:space="preserve"> had a comparatively low high-risk proportion (7.4 %); in addition, 44.3 % of its isolates fell into the NG group because their only detected ARG was the intrinsic </w:t>
      </w:r>
      <w:proofErr w:type="spellStart"/>
      <w:r w:rsidRPr="00BE64D0">
        <w:rPr>
          <w:lang w:eastAsia="ko-KR"/>
        </w:rPr>
        <w:t>mdsAB</w:t>
      </w:r>
      <w:proofErr w:type="spellEnd"/>
      <w:r w:rsidRPr="00BE64D0">
        <w:rPr>
          <w:lang w:eastAsia="ko-KR"/>
        </w:rPr>
        <w:t xml:space="preserve"> efflux pump, and 3.6 % were R12 for lack of any detected ARG. </w:t>
      </w:r>
      <w:r w:rsidRPr="00BE64D0">
        <w:rPr>
          <w:i/>
          <w:iCs/>
          <w:lang w:eastAsia="ko-KR"/>
        </w:rPr>
        <w:t>A. baumannii</w:t>
      </w:r>
      <w:r w:rsidRPr="00BE64D0">
        <w:rPr>
          <w:lang w:eastAsia="ko-KR"/>
        </w:rPr>
        <w:t xml:space="preserve"> had the lowest high-risk proportion (0.6 %); this species frequently carried Reserve-tier ARGs, but these were largely chromosomal and non-mobile and were therefore scored at low transmissibility. Because these differences follow the known mobile genetics of each species rather than being artefacts of the ranking, they support the construct validity of the framework.</w:t>
      </w:r>
    </w:p>
    <w:p w14:paraId="75DFECB3" w14:textId="77777777" w:rsidR="00BE64D0" w:rsidRPr="00BE64D0" w:rsidRDefault="00BE64D0" w:rsidP="00BE64D0">
      <w:pPr>
        <w:jc w:val="both"/>
        <w:rPr>
          <w:lang w:eastAsia="ko-KR"/>
        </w:rPr>
      </w:pPr>
      <w:r w:rsidRPr="00BE64D0">
        <w:rPr>
          <w:lang w:eastAsia="ko-KR"/>
        </w:rPr>
        <w:t>Among the high-risk isolates, the rank-driving worst-case ARG lay on a plasmid in 88.0 % of cases and within a self-transmissible chromosomal ICE in 12.0 %, and the plasmids involved were overwhelmingly conjugative (94.5 %; Fig. 2B, Table 1). These plasmids belonged to replicon families recognized as vehicles for the dissemination of diverse antimicrobial resistance genes (</w:t>
      </w:r>
      <w:proofErr w:type="spellStart"/>
      <w:r w:rsidRPr="00BE64D0">
        <w:rPr>
          <w:lang w:eastAsia="ko-KR"/>
        </w:rPr>
        <w:t>Rozwandowicz</w:t>
      </w:r>
      <w:proofErr w:type="spellEnd"/>
      <w:r w:rsidRPr="00BE64D0">
        <w:rPr>
          <w:lang w:eastAsia="ko-KR"/>
        </w:rPr>
        <w:t xml:space="preserve"> et al., 2018; </w:t>
      </w:r>
      <w:proofErr w:type="spellStart"/>
      <w:r w:rsidRPr="00BE64D0">
        <w:rPr>
          <w:lang w:eastAsia="ko-KR"/>
        </w:rPr>
        <w:t>Carattoli</w:t>
      </w:r>
      <w:proofErr w:type="spellEnd"/>
      <w:r w:rsidRPr="00BE64D0">
        <w:rPr>
          <w:lang w:eastAsia="ko-KR"/>
        </w:rPr>
        <w:t xml:space="preserve">, 2009): an IncF replicon was present in 60.7 % of plasmid-borne cases, followed by </w:t>
      </w:r>
      <w:proofErr w:type="spellStart"/>
      <w:r w:rsidRPr="00BE64D0">
        <w:rPr>
          <w:lang w:eastAsia="ko-KR"/>
        </w:rPr>
        <w:t>IncHI</w:t>
      </w:r>
      <w:proofErr w:type="spellEnd"/>
      <w:r w:rsidRPr="00BE64D0">
        <w:rPr>
          <w:lang w:eastAsia="ko-KR"/>
        </w:rPr>
        <w:t xml:space="preserve"> (including IncHI2; 13.3 %), </w:t>
      </w:r>
      <w:proofErr w:type="spellStart"/>
      <w:r w:rsidRPr="00BE64D0">
        <w:rPr>
          <w:lang w:eastAsia="ko-KR"/>
        </w:rPr>
        <w:t>IncI</w:t>
      </w:r>
      <w:proofErr w:type="spellEnd"/>
      <w:r w:rsidRPr="00BE64D0">
        <w:rPr>
          <w:lang w:eastAsia="ko-KR"/>
        </w:rPr>
        <w:t xml:space="preserve"> (9.9 %), and then </w:t>
      </w:r>
      <w:proofErr w:type="spellStart"/>
      <w:r w:rsidRPr="00BE64D0">
        <w:rPr>
          <w:lang w:eastAsia="ko-KR"/>
        </w:rPr>
        <w:t>IncR</w:t>
      </w:r>
      <w:proofErr w:type="spellEnd"/>
      <w:r w:rsidRPr="00BE64D0">
        <w:rPr>
          <w:lang w:eastAsia="ko-KR"/>
        </w:rPr>
        <w:t xml:space="preserve">, </w:t>
      </w:r>
      <w:proofErr w:type="spellStart"/>
      <w:r w:rsidRPr="00BE64D0">
        <w:rPr>
          <w:lang w:eastAsia="ko-KR"/>
        </w:rPr>
        <w:t>IncN</w:t>
      </w:r>
      <w:proofErr w:type="spellEnd"/>
      <w:r w:rsidRPr="00BE64D0">
        <w:rPr>
          <w:lang w:eastAsia="ko-KR"/>
        </w:rPr>
        <w:t xml:space="preserve">, </w:t>
      </w:r>
      <w:proofErr w:type="spellStart"/>
      <w:r w:rsidRPr="00BE64D0">
        <w:rPr>
          <w:lang w:eastAsia="ko-KR"/>
        </w:rPr>
        <w:t>IncX</w:t>
      </w:r>
      <w:proofErr w:type="spellEnd"/>
      <w:r w:rsidRPr="00BE64D0">
        <w:rPr>
          <w:lang w:eastAsia="ko-KR"/>
        </w:rPr>
        <w:t xml:space="preserve">, </w:t>
      </w:r>
      <w:proofErr w:type="spellStart"/>
      <w:r w:rsidRPr="00BE64D0">
        <w:rPr>
          <w:lang w:eastAsia="ko-KR"/>
        </w:rPr>
        <w:t>IncL</w:t>
      </w:r>
      <w:proofErr w:type="spellEnd"/>
      <w:r w:rsidRPr="00BE64D0">
        <w:rPr>
          <w:lang w:eastAsia="ko-KR"/>
        </w:rPr>
        <w:t xml:space="preserve">/M and </w:t>
      </w:r>
      <w:proofErr w:type="spellStart"/>
      <w:r w:rsidRPr="00BE64D0">
        <w:rPr>
          <w:lang w:eastAsia="ko-KR"/>
        </w:rPr>
        <w:t>IncC</w:t>
      </w:r>
      <w:proofErr w:type="spellEnd"/>
      <w:r w:rsidRPr="00BE64D0">
        <w:rPr>
          <w:lang w:eastAsia="ko-KR"/>
        </w:rPr>
        <w:t xml:space="preserve">. The dominant replicon differed by species — IncF-dominated in </w:t>
      </w:r>
      <w:r w:rsidRPr="00BE64D0">
        <w:rPr>
          <w:i/>
          <w:iCs/>
          <w:lang w:eastAsia="ko-KR"/>
        </w:rPr>
        <w:t>K. pneumoniae</w:t>
      </w:r>
      <w:r w:rsidRPr="00BE64D0">
        <w:rPr>
          <w:lang w:eastAsia="ko-KR"/>
        </w:rPr>
        <w:t xml:space="preserve">; </w:t>
      </w:r>
      <w:proofErr w:type="spellStart"/>
      <w:r w:rsidRPr="00BE64D0">
        <w:rPr>
          <w:lang w:eastAsia="ko-KR"/>
        </w:rPr>
        <w:t>IncI</w:t>
      </w:r>
      <w:proofErr w:type="spellEnd"/>
      <w:r w:rsidRPr="00BE64D0">
        <w:rPr>
          <w:lang w:eastAsia="ko-KR"/>
        </w:rPr>
        <w:t xml:space="preserve">, IncF and </w:t>
      </w:r>
      <w:proofErr w:type="spellStart"/>
      <w:r w:rsidRPr="00BE64D0">
        <w:rPr>
          <w:lang w:eastAsia="ko-KR"/>
        </w:rPr>
        <w:t>IncX</w:t>
      </w:r>
      <w:proofErr w:type="spellEnd"/>
      <w:r w:rsidRPr="00BE64D0">
        <w:rPr>
          <w:lang w:eastAsia="ko-KR"/>
        </w:rPr>
        <w:t xml:space="preserve"> in </w:t>
      </w:r>
      <w:r w:rsidRPr="00BE64D0">
        <w:rPr>
          <w:i/>
          <w:iCs/>
          <w:lang w:eastAsia="ko-KR"/>
        </w:rPr>
        <w:t>E. coli</w:t>
      </w:r>
      <w:r w:rsidRPr="00BE64D0">
        <w:rPr>
          <w:lang w:eastAsia="ko-KR"/>
        </w:rPr>
        <w:t xml:space="preserve">; and IncF and IncHI2 in </w:t>
      </w:r>
      <w:r w:rsidRPr="00BE64D0">
        <w:rPr>
          <w:i/>
          <w:iCs/>
          <w:lang w:eastAsia="ko-KR"/>
        </w:rPr>
        <w:t>S. enterica</w:t>
      </w:r>
      <w:r w:rsidRPr="00BE64D0">
        <w:rPr>
          <w:lang w:eastAsia="ko-KR"/>
        </w:rPr>
        <w:t xml:space="preserve"> — whereas the plasmids of </w:t>
      </w:r>
      <w:r w:rsidRPr="00BE64D0">
        <w:rPr>
          <w:i/>
          <w:iCs/>
          <w:lang w:eastAsia="ko-KR"/>
        </w:rPr>
        <w:t>A. baumannii</w:t>
      </w:r>
      <w:r w:rsidRPr="00BE64D0">
        <w:rPr>
          <w:lang w:eastAsia="ko-KR"/>
        </w:rPr>
        <w:t xml:space="preserve"> and </w:t>
      </w:r>
      <w:r w:rsidRPr="00BE64D0">
        <w:rPr>
          <w:i/>
          <w:iCs/>
          <w:lang w:eastAsia="ko-KR"/>
        </w:rPr>
        <w:t>S. aureus</w:t>
      </w:r>
      <w:r w:rsidRPr="00BE64D0">
        <w:rPr>
          <w:lang w:eastAsia="ko-KR"/>
        </w:rPr>
        <w:t xml:space="preserve"> were largely not assigned a named Inc type, because the Inc replicon classification scheme is itself </w:t>
      </w:r>
      <w:proofErr w:type="spellStart"/>
      <w:r w:rsidRPr="00BE64D0">
        <w:rPr>
          <w:lang w:eastAsia="ko-KR"/>
        </w:rPr>
        <w:t>centred</w:t>
      </w:r>
      <w:proofErr w:type="spellEnd"/>
      <w:r w:rsidRPr="00BE64D0">
        <w:rPr>
          <w:lang w:eastAsia="ko-KR"/>
        </w:rPr>
        <w:t xml:space="preserve"> on the Enterobacteriaceae and the plasmids of Gram-positive organisms and </w:t>
      </w:r>
      <w:r w:rsidRPr="00BE64D0">
        <w:rPr>
          <w:i/>
          <w:iCs/>
          <w:lang w:eastAsia="ko-KR"/>
        </w:rPr>
        <w:t>Acinetobacter</w:t>
      </w:r>
      <w:r w:rsidRPr="00BE64D0">
        <w:rPr>
          <w:lang w:eastAsia="ko-KR"/>
        </w:rPr>
        <w:t xml:space="preserve"> belong to </w:t>
      </w:r>
      <w:r w:rsidRPr="00BE64D0">
        <w:rPr>
          <w:lang w:eastAsia="ko-KR"/>
        </w:rPr>
        <w:lastRenderedPageBreak/>
        <w:t>distinct replicon lineages (MOB-suite; Robertson &amp; Nash, 2018). At finer resolution the rank-driving ARG usually lay within a mobile genetic unit: it overlapped a transposon in 79.3 % of cases and a transposon, ICE or IS in 89.3 %. (Replicons were assigned at the plasmid-cluster level, and transposon and ICE detection was homology-based.)</w:t>
      </w:r>
    </w:p>
    <w:p w14:paraId="0BF138DF" w14:textId="77777777" w:rsidR="00BE64D0" w:rsidRDefault="00BE64D0" w:rsidP="00BE64D0">
      <w:pPr>
        <w:jc w:val="both"/>
        <w:rPr>
          <w:b/>
          <w:bCs/>
          <w:lang w:eastAsia="ko-KR"/>
        </w:rPr>
      </w:pPr>
    </w:p>
    <w:p w14:paraId="2A888890" w14:textId="4EFE46DC" w:rsidR="00BE64D0" w:rsidRPr="00BE64D0" w:rsidRDefault="00BE64D0" w:rsidP="00BE64D0">
      <w:pPr>
        <w:jc w:val="both"/>
        <w:rPr>
          <w:b/>
          <w:bCs/>
          <w:lang w:eastAsia="ko-KR"/>
        </w:rPr>
      </w:pPr>
      <w:r w:rsidRPr="00BE64D0">
        <w:rPr>
          <w:b/>
          <w:bCs/>
          <w:lang w:eastAsia="ko-KR"/>
        </w:rPr>
        <w:t>Chromosomal ARGs carried on ICEs</w:t>
      </w:r>
    </w:p>
    <w:p w14:paraId="52EBC7C4" w14:textId="77777777" w:rsidR="00BE64D0" w:rsidRPr="00BE64D0" w:rsidRDefault="00BE64D0" w:rsidP="00BE64D0">
      <w:pPr>
        <w:jc w:val="both"/>
        <w:rPr>
          <w:lang w:eastAsia="ko-KR"/>
        </w:rPr>
      </w:pPr>
      <w:r w:rsidRPr="00BE64D0">
        <w:rPr>
          <w:lang w:eastAsia="ko-KR"/>
        </w:rPr>
        <w:t xml:space="preserve">Because a chromosomal ARG can still be transferred horizontally when it lies within a self-transmissible ICE, the framework did not treat such ARGs as non-mobile but instead included them in the transmissibility scoring, and the extent of this re-scoring across the cohort was quantified. Of 239,521 detected chromosomal ARGs, 9,943 (4.15 %) fell within a called ICE region, and 3,048 isolates (8.06 % of the cohort) carried at least one such ICE-borne chromosomal ARG (Table 2). The genes carried on ICEs represented the typical repertoire of horizontally transmissible resistance: by class, the most frequent were aminoglycoside (2,923), β-lactam (1,630), tetracycline (1,508), sulfonamide (1,379), trimethoprim (715) and phenicol (516) determinants, and among individual genes sul1, </w:t>
      </w:r>
      <w:proofErr w:type="spellStart"/>
      <w:r w:rsidRPr="00BE64D0">
        <w:rPr>
          <w:lang w:eastAsia="ko-KR"/>
        </w:rPr>
        <w:t>tet</w:t>
      </w:r>
      <w:proofErr w:type="spellEnd"/>
      <w:r w:rsidRPr="00BE64D0">
        <w:rPr>
          <w:lang w:eastAsia="ko-KR"/>
        </w:rPr>
        <w:t xml:space="preserve">(M), aadA1, </w:t>
      </w:r>
      <w:proofErr w:type="spellStart"/>
      <w:r w:rsidRPr="00BE64D0">
        <w:rPr>
          <w:lang w:eastAsia="ko-KR"/>
        </w:rPr>
        <w:t>tet</w:t>
      </w:r>
      <w:proofErr w:type="spellEnd"/>
      <w:r w:rsidRPr="00BE64D0">
        <w:rPr>
          <w:lang w:eastAsia="ko-KR"/>
        </w:rPr>
        <w:t xml:space="preserve">(A), sul2, </w:t>
      </w:r>
      <w:proofErr w:type="spellStart"/>
      <w:proofErr w:type="gramStart"/>
      <w:r w:rsidRPr="00BE64D0">
        <w:rPr>
          <w:lang w:eastAsia="ko-KR"/>
        </w:rPr>
        <w:t>aph</w:t>
      </w:r>
      <w:proofErr w:type="spellEnd"/>
      <w:r w:rsidRPr="00BE64D0">
        <w:rPr>
          <w:lang w:eastAsia="ko-KR"/>
        </w:rPr>
        <w:t>(</w:t>
      </w:r>
      <w:proofErr w:type="gramEnd"/>
      <w:r w:rsidRPr="00BE64D0">
        <w:rPr>
          <w:lang w:eastAsia="ko-KR"/>
        </w:rPr>
        <w:t xml:space="preserve">6)-Id, blaTEM-1 and dfrA1 were the most common. From the high-risk perspective, the effect of this re-scoring was direct and could be resolved by species. The rank-driving worst-case ARG lay within a chromosomal ICE in 888 cases, of which 76.6 % (680) were </w:t>
      </w:r>
      <w:r w:rsidRPr="00BE64D0">
        <w:rPr>
          <w:i/>
          <w:iCs/>
          <w:lang w:eastAsia="ko-KR"/>
        </w:rPr>
        <w:t>S. aureus</w:t>
      </w:r>
      <w:r w:rsidRPr="00BE64D0">
        <w:rPr>
          <w:lang w:eastAsia="ko-KR"/>
        </w:rPr>
        <w:t xml:space="preserve"> and the remainder were distributed across </w:t>
      </w:r>
      <w:r w:rsidRPr="00BE64D0">
        <w:rPr>
          <w:i/>
          <w:iCs/>
          <w:lang w:eastAsia="ko-KR"/>
        </w:rPr>
        <w:t>E. coli</w:t>
      </w:r>
      <w:r w:rsidRPr="00BE64D0">
        <w:rPr>
          <w:lang w:eastAsia="ko-KR"/>
        </w:rPr>
        <w:t xml:space="preserve"> (13.3 %, 118), </w:t>
      </w:r>
      <w:r w:rsidRPr="00BE64D0">
        <w:rPr>
          <w:i/>
          <w:iCs/>
          <w:lang w:eastAsia="ko-KR"/>
        </w:rPr>
        <w:t>K. pneumoniae</w:t>
      </w:r>
      <w:r w:rsidRPr="00BE64D0">
        <w:rPr>
          <w:lang w:eastAsia="ko-KR"/>
        </w:rPr>
        <w:t xml:space="preserve"> (6.2 %, 55), </w:t>
      </w:r>
      <w:r w:rsidRPr="00BE64D0">
        <w:rPr>
          <w:i/>
          <w:iCs/>
          <w:lang w:eastAsia="ko-KR"/>
        </w:rPr>
        <w:t>S. enterica</w:t>
      </w:r>
      <w:r w:rsidRPr="00BE64D0">
        <w:rPr>
          <w:lang w:eastAsia="ko-KR"/>
        </w:rPr>
        <w:t xml:space="preserve"> (3.4 %, 30) and </w:t>
      </w:r>
      <w:r w:rsidRPr="00BE64D0">
        <w:rPr>
          <w:i/>
          <w:iCs/>
          <w:lang w:eastAsia="ko-KR"/>
        </w:rPr>
        <w:t>A. baumannii</w:t>
      </w:r>
      <w:r w:rsidRPr="00BE64D0">
        <w:rPr>
          <w:lang w:eastAsia="ko-KR"/>
        </w:rPr>
        <w:t xml:space="preserve"> (0.6 %, 5). Compared with a counterfactual that ignored ICE location (scoring these ARGs at transmissibility level 1), most of these isolates (885) lost high-risk status — all reverting to R5 (870) or R4 (15), with no transitions in the reverse direction — confirming that ICE recognition genuinely conferred the high-risk status of these isolates (Fig. 2A, Table 2). This re-scoring was overwhelmingly driven by </w:t>
      </w:r>
      <w:proofErr w:type="spellStart"/>
      <w:r w:rsidRPr="00BE64D0">
        <w:rPr>
          <w:lang w:eastAsia="ko-KR"/>
        </w:rPr>
        <w:t>tet</w:t>
      </w:r>
      <w:proofErr w:type="spellEnd"/>
      <w:r w:rsidRPr="00BE64D0">
        <w:rPr>
          <w:lang w:eastAsia="ko-KR"/>
        </w:rPr>
        <w:t xml:space="preserve">(M) (687 cases), followed by blaCTX-M-15 (79) and others. The relative magnitude of the effect, however, differed </w:t>
      </w:r>
      <w:r w:rsidRPr="00BE64D0">
        <w:rPr>
          <w:lang w:eastAsia="ko-KR"/>
        </w:rPr>
        <w:lastRenderedPageBreak/>
        <w:t xml:space="preserve">greatly among species. In </w:t>
      </w:r>
      <w:r w:rsidRPr="00BE64D0">
        <w:rPr>
          <w:i/>
          <w:iCs/>
          <w:lang w:eastAsia="ko-KR"/>
        </w:rPr>
        <w:t>S. aureus</w:t>
      </w:r>
      <w:r w:rsidRPr="00BE64D0">
        <w:rPr>
          <w:lang w:eastAsia="ko-KR"/>
        </w:rPr>
        <w:t xml:space="preserve">, whose high-risk ARGs are predominantly chromosomal, most of the high-risk fraction (10.5 %) depended on ICE recognition (falling to approximately 0.3 % without it), whereas in </w:t>
      </w:r>
      <w:r w:rsidRPr="00BE64D0">
        <w:rPr>
          <w:i/>
          <w:iCs/>
          <w:lang w:eastAsia="ko-KR"/>
        </w:rPr>
        <w:t>E. coli</w:t>
      </w:r>
      <w:r w:rsidRPr="00BE64D0">
        <w:rPr>
          <w:lang w:eastAsia="ko-KR"/>
        </w:rPr>
        <w:t xml:space="preserve"> and </w:t>
      </w:r>
      <w:r w:rsidRPr="00BE64D0">
        <w:rPr>
          <w:i/>
          <w:iCs/>
          <w:lang w:eastAsia="ko-KR"/>
        </w:rPr>
        <w:t>K. pneumoniae</w:t>
      </w:r>
      <w:r w:rsidRPr="00BE64D0">
        <w:rPr>
          <w:lang w:eastAsia="ko-KR"/>
        </w:rPr>
        <w:t xml:space="preserve">, where plasmid-borne high-risk ARGs already predominated, the ICE contribution accounted for only a minority of each species' high-risk set. ICE-aware scoring therefore acted across several species, but the change it made to the framework was qualitative in </w:t>
      </w:r>
      <w:r w:rsidRPr="00BE64D0">
        <w:rPr>
          <w:i/>
          <w:iCs/>
          <w:lang w:eastAsia="ko-KR"/>
        </w:rPr>
        <w:t>S. aureus</w:t>
      </w:r>
      <w:r w:rsidRPr="00BE64D0">
        <w:rPr>
          <w:lang w:eastAsia="ko-KR"/>
        </w:rPr>
        <w:t xml:space="preserve">, which lacks other routes to mobility. (ICE detection was based on homology to </w:t>
      </w:r>
      <w:proofErr w:type="spellStart"/>
      <w:r w:rsidRPr="00BE64D0">
        <w:rPr>
          <w:lang w:eastAsia="ko-KR"/>
        </w:rPr>
        <w:t>ICEberg</w:t>
      </w:r>
      <w:proofErr w:type="spellEnd"/>
      <w:r w:rsidRPr="00BE64D0">
        <w:rPr>
          <w:lang w:eastAsia="ko-KR"/>
        </w:rPr>
        <w:t xml:space="preserve"> and did not constitute de novo verification of a complete conjugation module.)</w:t>
      </w:r>
    </w:p>
    <w:p w14:paraId="3A5B80AC" w14:textId="77777777" w:rsidR="00BE64D0" w:rsidRPr="00BE64D0" w:rsidRDefault="00BE64D0" w:rsidP="00BE64D0">
      <w:pPr>
        <w:jc w:val="both"/>
        <w:rPr>
          <w:lang w:eastAsia="ko-KR"/>
        </w:rPr>
      </w:pPr>
      <w:r w:rsidRPr="00BE64D0">
        <w:rPr>
          <w:lang w:eastAsia="ko-KR"/>
        </w:rPr>
        <w:t>Recovery of established high-risk clones and flagging of candidate STs for further investigation</w:t>
      </w:r>
    </w:p>
    <w:p w14:paraId="6364117C" w14:textId="77777777" w:rsidR="00BE64D0" w:rsidRPr="00BE64D0" w:rsidRDefault="00BE64D0" w:rsidP="00BE64D0">
      <w:pPr>
        <w:jc w:val="both"/>
        <w:rPr>
          <w:lang w:eastAsia="ko-KR"/>
        </w:rPr>
      </w:pPr>
      <w:r w:rsidRPr="00BE64D0">
        <w:rPr>
          <w:lang w:eastAsia="ko-KR"/>
        </w:rPr>
        <w:t>To test whether the ranking captured epidemiologically meaningful biology, the association between ST and high-risk status was evaluated within each species. Across all STs with ≥ 30 isolates, enrichment for high-risk (R1–R3) membership was tested statistically; 38 STs were significantly enriched among the high-risk isolates, and this enrichment recovered major pandemic and high-risk clones established in the literature (Table 3).</w:t>
      </w:r>
    </w:p>
    <w:p w14:paraId="10FFBB6F" w14:textId="77777777" w:rsidR="00BE64D0" w:rsidRPr="00BE64D0" w:rsidRDefault="00BE64D0" w:rsidP="00BE64D0">
      <w:pPr>
        <w:jc w:val="both"/>
        <w:rPr>
          <w:lang w:eastAsia="ko-KR"/>
        </w:rPr>
      </w:pPr>
      <w:r w:rsidRPr="00BE64D0">
        <w:rPr>
          <w:lang w:eastAsia="ko-KR"/>
        </w:rPr>
        <w:t xml:space="preserve">Because ST information was not used in constructing the ranking, this recovery was unsupervised: the ranking independently re-identified the major pandemic and high-risk clones of each species — the CG258 complex and ST307 in </w:t>
      </w:r>
      <w:r w:rsidRPr="00BE64D0">
        <w:rPr>
          <w:i/>
          <w:iCs/>
          <w:lang w:eastAsia="ko-KR"/>
        </w:rPr>
        <w:t>K. pneumoniae</w:t>
      </w:r>
      <w:r w:rsidRPr="00BE64D0">
        <w:rPr>
          <w:lang w:eastAsia="ko-KR"/>
        </w:rPr>
        <w:t xml:space="preserve">; ST131, ST410 and ST167 in </w:t>
      </w:r>
      <w:r w:rsidRPr="00BE64D0">
        <w:rPr>
          <w:i/>
          <w:iCs/>
          <w:lang w:eastAsia="ko-KR"/>
        </w:rPr>
        <w:t>E. coli</w:t>
      </w:r>
      <w:r w:rsidRPr="00BE64D0">
        <w:rPr>
          <w:lang w:eastAsia="ko-KR"/>
        </w:rPr>
        <w:t xml:space="preserve">; the </w:t>
      </w:r>
      <w:proofErr w:type="spellStart"/>
      <w:r w:rsidRPr="00BE64D0">
        <w:rPr>
          <w:lang w:eastAsia="ko-KR"/>
        </w:rPr>
        <w:t>pESI</w:t>
      </w:r>
      <w:proofErr w:type="spellEnd"/>
      <w:r w:rsidRPr="00BE64D0">
        <w:rPr>
          <w:lang w:eastAsia="ko-KR"/>
        </w:rPr>
        <w:t xml:space="preserve">-associated </w:t>
      </w:r>
      <w:r w:rsidRPr="00BE64D0">
        <w:rPr>
          <w:i/>
          <w:iCs/>
          <w:lang w:eastAsia="ko-KR"/>
        </w:rPr>
        <w:t>S.</w:t>
      </w:r>
      <w:r w:rsidRPr="00BE64D0">
        <w:rPr>
          <w:lang w:eastAsia="ko-KR"/>
        </w:rPr>
        <w:t xml:space="preserve"> </w:t>
      </w:r>
      <w:proofErr w:type="spellStart"/>
      <w:r w:rsidRPr="00BE64D0">
        <w:rPr>
          <w:lang w:eastAsia="ko-KR"/>
        </w:rPr>
        <w:t>Infantis</w:t>
      </w:r>
      <w:proofErr w:type="spellEnd"/>
      <w:r w:rsidRPr="00BE64D0">
        <w:rPr>
          <w:lang w:eastAsia="ko-KR"/>
        </w:rPr>
        <w:t xml:space="preserve"> ST32 and the monophasic </w:t>
      </w:r>
      <w:r w:rsidRPr="00BE64D0">
        <w:rPr>
          <w:i/>
          <w:iCs/>
          <w:lang w:eastAsia="ko-KR"/>
        </w:rPr>
        <w:t>S.</w:t>
      </w:r>
      <w:r w:rsidRPr="00BE64D0">
        <w:rPr>
          <w:lang w:eastAsia="ko-KR"/>
        </w:rPr>
        <w:t xml:space="preserve"> Typhimurium ST34; the livestock- and hospital-associated MRSA lineages ST398 and ST239; and the </w:t>
      </w:r>
      <w:r w:rsidRPr="00BE64D0">
        <w:rPr>
          <w:i/>
          <w:iCs/>
          <w:lang w:eastAsia="ko-KR"/>
        </w:rPr>
        <w:t>A. baumannii</w:t>
      </w:r>
      <w:r w:rsidRPr="00BE64D0">
        <w:rPr>
          <w:lang w:eastAsia="ko-KR"/>
        </w:rPr>
        <w:t xml:space="preserve"> international clone ST25 — which supports the construct validity of the framework. Beyond this validation, of the 38 STs, 21 had literature support and 17 were significantly enriched but not reported as high-risk in the literature surveyed (the "Not reported" category in Table 3); nine of these met the robustness criterion. The clearest robust example was </w:t>
      </w:r>
      <w:r w:rsidRPr="00BE64D0">
        <w:rPr>
          <w:i/>
          <w:iCs/>
          <w:lang w:eastAsia="ko-KR"/>
        </w:rPr>
        <w:t>K. pneumoniae</w:t>
      </w:r>
      <w:r w:rsidRPr="00BE64D0">
        <w:rPr>
          <w:lang w:eastAsia="ko-KR"/>
        </w:rPr>
        <w:t xml:space="preserve"> ST16 (n = 255, OR = 2.60, q = 5 × 10⁻¹²), based on a well-populated contingency table. </w:t>
      </w:r>
      <w:r w:rsidRPr="00BE64D0">
        <w:rPr>
          <w:i/>
          <w:iCs/>
          <w:lang w:eastAsia="ko-KR"/>
        </w:rPr>
        <w:t>S. aureus</w:t>
      </w:r>
      <w:r w:rsidRPr="00BE64D0">
        <w:rPr>
          <w:lang w:eastAsia="ko-KR"/>
        </w:rPr>
        <w:t xml:space="preserve"> ST612 showed a more extreme nominal significance (n = 48, OR = 420), but this odds </w:t>
      </w:r>
      <w:r w:rsidRPr="00BE64D0">
        <w:rPr>
          <w:lang w:eastAsia="ko-KR"/>
        </w:rPr>
        <w:lastRenderedPageBreak/>
        <w:t>ratio was derived from a near-empty contingency-table cell and should be read as a strong but unstable estimate rather than a precise effect size. These STs are not asserted to be validated novel high-risk clones; rather, they are presented as candidates flagged by the framework and warranting further investigation.</w:t>
      </w:r>
    </w:p>
    <w:p w14:paraId="3DC64EB1" w14:textId="77777777" w:rsidR="00BE64D0" w:rsidRPr="00BE64D0" w:rsidRDefault="00BE64D0" w:rsidP="00BE64D0">
      <w:pPr>
        <w:jc w:val="both"/>
        <w:rPr>
          <w:lang w:eastAsia="ko-KR"/>
        </w:rPr>
      </w:pPr>
      <w:r w:rsidRPr="00BE64D0">
        <w:rPr>
          <w:lang w:eastAsia="ko-KR"/>
        </w:rPr>
        <w:t xml:space="preserve">These results were not artefacts of biased sampling. Counting each </w:t>
      </w:r>
      <w:proofErr w:type="spellStart"/>
      <w:r w:rsidRPr="00BE64D0">
        <w:rPr>
          <w:lang w:eastAsia="ko-KR"/>
        </w:rPr>
        <w:t>BioProject</w:t>
      </w:r>
      <w:proofErr w:type="spellEnd"/>
      <w:r w:rsidRPr="00BE64D0">
        <w:rPr>
          <w:lang w:eastAsia="ko-KR"/>
        </w:rPr>
        <w:t xml:space="preserve"> accession strictly, the high-risk isolates were dispersed across 1,736 of the 5,943 </w:t>
      </w:r>
      <w:proofErr w:type="spellStart"/>
      <w:r w:rsidRPr="00BE64D0">
        <w:rPr>
          <w:lang w:eastAsia="ko-KR"/>
        </w:rPr>
        <w:t>BioProjects</w:t>
      </w:r>
      <w:proofErr w:type="spellEnd"/>
      <w:r w:rsidRPr="00BE64D0">
        <w:rPr>
          <w:lang w:eastAsia="ko-KR"/>
        </w:rPr>
        <w:t xml:space="preserve"> present in the full cohort (Fig. 3A). Because consecutive accessions within a registry can correspond to a single study submitted in parts, a conservative lower bound was additionally applied by merging accessions with consecutive numbering within the same prefix (PRJNA/PRJEB/PRJDB) into a single project. Even under this stricter grouping the high-risk isolates spanned 1,681 independent projects (with the full cohort reduced from 5,943 to 5,246 projects), and the conclusion did not change. The distribution of project sizes was strongly skewed, with 60 % of all </w:t>
      </w:r>
      <w:proofErr w:type="spellStart"/>
      <w:r w:rsidRPr="00BE64D0">
        <w:rPr>
          <w:lang w:eastAsia="ko-KR"/>
        </w:rPr>
        <w:t>BioProjects</w:t>
      </w:r>
      <w:proofErr w:type="spellEnd"/>
      <w:r w:rsidRPr="00BE64D0">
        <w:rPr>
          <w:lang w:eastAsia="ko-KR"/>
        </w:rPr>
        <w:t xml:space="preserve"> (3,592/5,943) containing only a single isolate. The high-risk isolates were likewise not concentrated </w:t>
      </w:r>
      <w:proofErr w:type="gramStart"/>
      <w:r w:rsidRPr="00BE64D0">
        <w:rPr>
          <w:lang w:eastAsia="ko-KR"/>
        </w:rPr>
        <w:t>in</w:t>
      </w:r>
      <w:proofErr w:type="gramEnd"/>
      <w:r w:rsidRPr="00BE64D0">
        <w:rPr>
          <w:lang w:eastAsia="ko-KR"/>
        </w:rPr>
        <w:t xml:space="preserve"> a few large projects: the top 20 </w:t>
      </w:r>
      <w:proofErr w:type="spellStart"/>
      <w:r w:rsidRPr="00BE64D0">
        <w:rPr>
          <w:lang w:eastAsia="ko-KR"/>
        </w:rPr>
        <w:t>BioProjects</w:t>
      </w:r>
      <w:proofErr w:type="spellEnd"/>
      <w:r w:rsidRPr="00BE64D0">
        <w:rPr>
          <w:lang w:eastAsia="ko-KR"/>
        </w:rPr>
        <w:t xml:space="preserve"> contributing the most high-risk isolates together accounted for only 17.1 % of all high-risk isolates. For reference, the 20 largest </w:t>
      </w:r>
      <w:proofErr w:type="spellStart"/>
      <w:r w:rsidRPr="00BE64D0">
        <w:rPr>
          <w:lang w:eastAsia="ko-KR"/>
        </w:rPr>
        <w:t>BioProjects</w:t>
      </w:r>
      <w:proofErr w:type="spellEnd"/>
      <w:r w:rsidRPr="00BE64D0">
        <w:rPr>
          <w:lang w:eastAsia="ko-KR"/>
        </w:rPr>
        <w:t xml:space="preserve"> in the whole cohort accounted for 13.8 % of the cohort, so high-risk isolates were not especially concentrated in large submissions (Fig. 3B). Because even the top 20 submissions together fell well short of one-fifth of the high-risk isolates, the enrichment was not driven by biased data from a small number of large </w:t>
      </w:r>
      <w:proofErr w:type="spellStart"/>
      <w:r w:rsidRPr="00BE64D0">
        <w:rPr>
          <w:lang w:eastAsia="ko-KR"/>
        </w:rPr>
        <w:t>BioProjects</w:t>
      </w:r>
      <w:proofErr w:type="spellEnd"/>
      <w:r w:rsidRPr="00BE64D0">
        <w:rPr>
          <w:lang w:eastAsia="ko-KR"/>
        </w:rPr>
        <w:t>.</w:t>
      </w:r>
    </w:p>
    <w:p w14:paraId="7BC5AD12" w14:textId="77777777" w:rsidR="00BE64D0" w:rsidRPr="00BE64D0" w:rsidRDefault="00BE64D0" w:rsidP="00BE64D0">
      <w:pPr>
        <w:jc w:val="both"/>
        <w:rPr>
          <w:lang w:eastAsia="ko-KR"/>
        </w:rPr>
      </w:pPr>
      <w:r w:rsidRPr="00BE64D0">
        <w:rPr>
          <w:lang w:eastAsia="ko-KR"/>
        </w:rPr>
        <w:t xml:space="preserve">On this basis, the framework combining mobility and clinical importance not only recovered previously known high-risk STs but also flagged STs not described as high-risk in the literature, presenting them as hypothesis-generating candidates warranting further investigation. These are not discoveries of novel </w:t>
      </w:r>
      <w:proofErr w:type="gramStart"/>
      <w:r w:rsidRPr="00BE64D0">
        <w:rPr>
          <w:lang w:eastAsia="ko-KR"/>
        </w:rPr>
        <w:t>lineages</w:t>
      </w:r>
      <w:proofErr w:type="gramEnd"/>
      <w:r w:rsidRPr="00BE64D0">
        <w:rPr>
          <w:lang w:eastAsia="ko-KR"/>
        </w:rPr>
        <w:t xml:space="preserve"> but hypotheses generated as a by-product of a validation-oriented tool.</w:t>
      </w:r>
    </w:p>
    <w:p w14:paraId="0584EA42" w14:textId="77777777" w:rsidR="00BE64D0" w:rsidRDefault="00BE64D0" w:rsidP="00BE64D0">
      <w:pPr>
        <w:jc w:val="both"/>
        <w:rPr>
          <w:b/>
          <w:bCs/>
          <w:lang w:eastAsia="ko-KR"/>
        </w:rPr>
      </w:pPr>
    </w:p>
    <w:p w14:paraId="698D8465" w14:textId="7DBE385B" w:rsidR="00BE64D0" w:rsidRPr="00BE64D0" w:rsidRDefault="00BE64D0" w:rsidP="00BE64D0">
      <w:pPr>
        <w:jc w:val="both"/>
        <w:rPr>
          <w:b/>
          <w:bCs/>
          <w:lang w:eastAsia="ko-KR"/>
        </w:rPr>
      </w:pPr>
      <w:r w:rsidRPr="00BE64D0">
        <w:rPr>
          <w:b/>
          <w:bCs/>
          <w:lang w:eastAsia="ko-KR"/>
        </w:rPr>
        <w:lastRenderedPageBreak/>
        <w:t>Geographic and source distribution of high-risk isolates</w:t>
      </w:r>
    </w:p>
    <w:p w14:paraId="751D1671" w14:textId="77777777" w:rsidR="00BE64D0" w:rsidRPr="00BE64D0" w:rsidRDefault="00BE64D0" w:rsidP="00BE64D0">
      <w:pPr>
        <w:jc w:val="both"/>
        <w:rPr>
          <w:lang w:eastAsia="ko-KR"/>
        </w:rPr>
      </w:pPr>
      <w:r w:rsidRPr="00BE64D0">
        <w:rPr>
          <w:lang w:eastAsia="ko-KR"/>
        </w:rPr>
        <w:t xml:space="preserve">These geographic and source-based trends are reported as exploratory, because isolation-source information was recorded for only a minority of isolates (15–46 % by species) and continental sample sizes were uneven. With this caveat, among isolates with a known source, high-risk </w:t>
      </w:r>
      <w:r w:rsidRPr="00BE64D0">
        <w:rPr>
          <w:i/>
          <w:iCs/>
          <w:lang w:eastAsia="ko-KR"/>
        </w:rPr>
        <w:t>E. coli</w:t>
      </w:r>
      <w:r w:rsidRPr="00BE64D0">
        <w:rPr>
          <w:lang w:eastAsia="ko-KR"/>
        </w:rPr>
        <w:t xml:space="preserve"> and </w:t>
      </w:r>
      <w:r w:rsidRPr="00BE64D0">
        <w:rPr>
          <w:i/>
          <w:iCs/>
          <w:lang w:eastAsia="ko-KR"/>
        </w:rPr>
        <w:t>K. pneumoniae</w:t>
      </w:r>
      <w:r w:rsidRPr="00BE64D0">
        <w:rPr>
          <w:lang w:eastAsia="ko-KR"/>
        </w:rPr>
        <w:t xml:space="preserve"> were concentrated in clinical sources and high-risk </w:t>
      </w:r>
      <w:r w:rsidRPr="00BE64D0">
        <w:rPr>
          <w:i/>
          <w:iCs/>
          <w:lang w:eastAsia="ko-KR"/>
        </w:rPr>
        <w:t>S. enterica</w:t>
      </w:r>
      <w:r w:rsidRPr="00BE64D0">
        <w:rPr>
          <w:lang w:eastAsia="ko-KR"/>
        </w:rPr>
        <w:t xml:space="preserve"> in food-related sources, reflecting the clinical versus food-borne epidemiology of these two groups (Fig. 4A). The major high-risk clones were geographically widespread: ST258, ST11 and ST307 (</w:t>
      </w:r>
      <w:r w:rsidRPr="00BE64D0">
        <w:rPr>
          <w:i/>
          <w:iCs/>
          <w:lang w:eastAsia="ko-KR"/>
        </w:rPr>
        <w:t>K. pneumoniae</w:t>
      </w:r>
      <w:r w:rsidRPr="00BE64D0">
        <w:rPr>
          <w:lang w:eastAsia="ko-KR"/>
        </w:rPr>
        <w:t>; Peirano et al., 2020), ST131 (</w:t>
      </w:r>
      <w:r w:rsidRPr="00BE64D0">
        <w:rPr>
          <w:i/>
          <w:iCs/>
          <w:lang w:eastAsia="ko-KR"/>
        </w:rPr>
        <w:t>E. coli</w:t>
      </w:r>
      <w:r w:rsidRPr="00BE64D0">
        <w:rPr>
          <w:lang w:eastAsia="ko-KR"/>
        </w:rPr>
        <w:t>; Mondal et al., 2022) and ST34 (</w:t>
      </w:r>
      <w:r w:rsidRPr="00BE64D0">
        <w:rPr>
          <w:i/>
          <w:iCs/>
          <w:lang w:eastAsia="ko-KR"/>
        </w:rPr>
        <w:t>S. enterica</w:t>
      </w:r>
      <w:r w:rsidRPr="00BE64D0">
        <w:rPr>
          <w:lang w:eastAsia="ko-KR"/>
        </w:rPr>
        <w:t>; Sun et al., 2019) each occurred on five to six continents, recovering the intercontinental spread expected of these pandemic lineages (Fig. 4B).</w:t>
      </w:r>
    </w:p>
    <w:p w14:paraId="3FC67919" w14:textId="77777777" w:rsidR="00BE64D0" w:rsidRDefault="00BE64D0" w:rsidP="00BE64D0">
      <w:pPr>
        <w:jc w:val="both"/>
        <w:rPr>
          <w:b/>
          <w:bCs/>
          <w:lang w:eastAsia="ko-KR"/>
        </w:rPr>
      </w:pPr>
    </w:p>
    <w:p w14:paraId="77F2E1A3" w14:textId="3E9D9E16" w:rsidR="00BE64D0" w:rsidRPr="00BE64D0" w:rsidRDefault="00BE64D0" w:rsidP="00BE64D0">
      <w:pPr>
        <w:jc w:val="both"/>
        <w:rPr>
          <w:b/>
          <w:bCs/>
          <w:lang w:eastAsia="ko-KR"/>
        </w:rPr>
      </w:pPr>
      <w:r w:rsidRPr="00BE64D0">
        <w:rPr>
          <w:b/>
          <w:bCs/>
          <w:lang w:eastAsia="ko-KR"/>
        </w:rPr>
        <w:t>Virulence profiles are orthogonal to ARG hazard</w:t>
      </w:r>
    </w:p>
    <w:p w14:paraId="3BC71C55" w14:textId="77777777" w:rsidR="00BE64D0" w:rsidRPr="00BE64D0" w:rsidRDefault="00BE64D0" w:rsidP="00BE64D0">
      <w:pPr>
        <w:jc w:val="both"/>
        <w:rPr>
          <w:lang w:eastAsia="ko-KR"/>
        </w:rPr>
      </w:pPr>
      <w:r w:rsidRPr="00BE64D0">
        <w:rPr>
          <w:lang w:eastAsia="ko-KR"/>
        </w:rPr>
        <w:t>The virulence-factor (VF) profile, summarized into six functional categories (adherence, iron uptake, immune evasion, exotoxin, biofilm and invasion), was largely determined at the species level and was relatively uniform within species. Differences in VF profile among STs were significant but small in effect size.</w:t>
      </w:r>
    </w:p>
    <w:p w14:paraId="6096B4EE" w14:textId="77777777" w:rsidR="00BE64D0" w:rsidRPr="00BE64D0" w:rsidRDefault="00BE64D0" w:rsidP="00BE64D0">
      <w:pPr>
        <w:jc w:val="both"/>
        <w:rPr>
          <w:lang w:eastAsia="ko-KR"/>
        </w:rPr>
      </w:pPr>
      <w:r w:rsidRPr="00BE64D0">
        <w:rPr>
          <w:lang w:eastAsia="ko-KR"/>
        </w:rPr>
        <w:t xml:space="preserve">Critically, the ARG hazard rank was independent of the virulence profile within species (Table 4). The number of VF categories an isolate carried did not track its hazard rank: the within-species Spearman correlation between rank and VF-category count was close to zero in every species (|ρ| ≤ 0.07). (A correlation computed by pooling the cohort is uninterpretable, being confounded by systematic differences between species in both rank distribution and VF repertoire.) The median number of VF categories was essentially identical between high-risk (R1–R3) and remaining isolates in four of the five species; in the only exception, </w:t>
      </w:r>
      <w:r w:rsidRPr="00BE64D0">
        <w:rPr>
          <w:i/>
          <w:iCs/>
          <w:lang w:eastAsia="ko-KR"/>
        </w:rPr>
        <w:t>E. coli</w:t>
      </w:r>
      <w:r w:rsidRPr="00BE64D0">
        <w:rPr>
          <w:lang w:eastAsia="ko-KR"/>
        </w:rPr>
        <w:t xml:space="preserve">, high-risk isolates carried slightly </w:t>
      </w:r>
      <w:r w:rsidRPr="00BE64D0">
        <w:rPr>
          <w:i/>
          <w:iCs/>
          <w:lang w:eastAsia="ko-KR"/>
        </w:rPr>
        <w:t>fewer</w:t>
      </w:r>
      <w:r w:rsidRPr="00BE64D0">
        <w:rPr>
          <w:lang w:eastAsia="ko-KR"/>
        </w:rPr>
        <w:t xml:space="preserve"> (median 5 vs 6) — the opposite of a positive association. The association between high-risk status and the presence of any individual VF category was </w:t>
      </w:r>
      <w:r w:rsidRPr="00BE64D0">
        <w:rPr>
          <w:lang w:eastAsia="ko-KR"/>
        </w:rPr>
        <w:lastRenderedPageBreak/>
        <w:t xml:space="preserve">consistently weak across all species and categories (Cramér's </w:t>
      </w:r>
      <w:r w:rsidRPr="00BE64D0">
        <w:rPr>
          <w:i/>
          <w:iCs/>
          <w:lang w:eastAsia="ko-KR"/>
        </w:rPr>
        <w:t>V</w:t>
      </w:r>
      <w:r w:rsidRPr="00BE64D0">
        <w:rPr>
          <w:lang w:eastAsia="ko-KR"/>
        </w:rPr>
        <w:t xml:space="preserve"> ≤ 0.093). Owing to the large sample sizes, some tests were statistically significant (e.g. </w:t>
      </w:r>
      <w:r w:rsidRPr="00BE64D0">
        <w:rPr>
          <w:i/>
          <w:iCs/>
          <w:lang w:eastAsia="ko-KR"/>
        </w:rPr>
        <w:t>S. enterica</w:t>
      </w:r>
      <w:r w:rsidRPr="00BE64D0">
        <w:rPr>
          <w:lang w:eastAsia="ko-KR"/>
        </w:rPr>
        <w:t xml:space="preserve">, Mann–Whitney </w:t>
      </w:r>
      <w:r w:rsidRPr="00BE64D0">
        <w:rPr>
          <w:i/>
          <w:iCs/>
          <w:lang w:eastAsia="ko-KR"/>
        </w:rPr>
        <w:t>p</w:t>
      </w:r>
      <w:r w:rsidRPr="00BE64D0">
        <w:rPr>
          <w:lang w:eastAsia="ko-KR"/>
        </w:rPr>
        <w:t xml:space="preserve"> = 5.7 × 10⁻¹⁸), but the effect sizes were negligible (identical medians, </w:t>
      </w:r>
      <w:r w:rsidRPr="00BE64D0">
        <w:rPr>
          <w:i/>
          <w:iCs/>
          <w:lang w:eastAsia="ko-KR"/>
        </w:rPr>
        <w:t>V</w:t>
      </w:r>
      <w:r w:rsidRPr="00BE64D0">
        <w:rPr>
          <w:lang w:eastAsia="ko-KR"/>
        </w:rPr>
        <w:t xml:space="preserve"> ≤ 0.093). This orthogonality justifies reporting the virulence profile as an independent annotation rather than folding it into the hazard rank.</w:t>
      </w:r>
    </w:p>
    <w:p w14:paraId="10A7F651" w14:textId="77777777" w:rsidR="00BE64D0" w:rsidRPr="00BE64D0" w:rsidRDefault="00BE64D0" w:rsidP="00BE64D0">
      <w:pPr>
        <w:jc w:val="both"/>
        <w:rPr>
          <w:lang w:eastAsia="ko-KR"/>
        </w:rPr>
      </w:pPr>
      <w:r w:rsidRPr="00BE64D0">
        <w:rPr>
          <w:lang w:eastAsia="ko-KR"/>
        </w:rPr>
        <w:t xml:space="preserve">One feature of the VF data warrants caution. The VFDB "invasion" category is composed of the epithelial-invasion determinants of enteric and intracellular pathogens (e.g. </w:t>
      </w:r>
      <w:r w:rsidRPr="00BE64D0">
        <w:rPr>
          <w:i/>
          <w:iCs/>
          <w:lang w:eastAsia="ko-KR"/>
        </w:rPr>
        <w:t>Listeria</w:t>
      </w:r>
      <w:r w:rsidRPr="00BE64D0">
        <w:rPr>
          <w:lang w:eastAsia="ko-KR"/>
        </w:rPr>
        <w:t xml:space="preserve"> </w:t>
      </w:r>
      <w:proofErr w:type="spellStart"/>
      <w:r w:rsidRPr="00BE64D0">
        <w:rPr>
          <w:lang w:eastAsia="ko-KR"/>
        </w:rPr>
        <w:t>internalins</w:t>
      </w:r>
      <w:proofErr w:type="spellEnd"/>
      <w:r w:rsidRPr="00BE64D0">
        <w:rPr>
          <w:lang w:eastAsia="ko-KR"/>
        </w:rPr>
        <w:t xml:space="preserve">, neonatal-meningitis </w:t>
      </w:r>
      <w:r w:rsidRPr="00BE64D0">
        <w:rPr>
          <w:i/>
          <w:iCs/>
          <w:lang w:eastAsia="ko-KR"/>
        </w:rPr>
        <w:t>E. coli</w:t>
      </w:r>
      <w:r w:rsidRPr="00BE64D0">
        <w:rPr>
          <w:lang w:eastAsia="ko-KR"/>
        </w:rPr>
        <w:t xml:space="preserve"> </w:t>
      </w:r>
      <w:proofErr w:type="spellStart"/>
      <w:r w:rsidRPr="00BE64D0">
        <w:rPr>
          <w:lang w:eastAsia="ko-KR"/>
        </w:rPr>
        <w:t>invasins</w:t>
      </w:r>
      <w:proofErr w:type="spellEnd"/>
      <w:r w:rsidRPr="00BE64D0">
        <w:rPr>
          <w:lang w:eastAsia="ko-KR"/>
        </w:rPr>
        <w:t xml:space="preserve">, and </w:t>
      </w:r>
      <w:r w:rsidRPr="00BE64D0">
        <w:rPr>
          <w:i/>
          <w:iCs/>
          <w:lang w:eastAsia="ko-KR"/>
        </w:rPr>
        <w:t>Salmonella</w:t>
      </w:r>
      <w:r w:rsidRPr="00BE64D0">
        <w:rPr>
          <w:lang w:eastAsia="ko-KR"/>
        </w:rPr>
        <w:t xml:space="preserve"> invasion determinants). The absence of this category in </w:t>
      </w:r>
      <w:r w:rsidRPr="00BE64D0">
        <w:rPr>
          <w:i/>
          <w:iCs/>
          <w:lang w:eastAsia="ko-KR"/>
        </w:rPr>
        <w:t>A. baumannii</w:t>
      </w:r>
      <w:r w:rsidRPr="00BE64D0">
        <w:rPr>
          <w:lang w:eastAsia="ko-KR"/>
        </w:rPr>
        <w:t xml:space="preserve"> and </w:t>
      </w:r>
      <w:r w:rsidRPr="00BE64D0">
        <w:rPr>
          <w:i/>
          <w:iCs/>
          <w:lang w:eastAsia="ko-KR"/>
        </w:rPr>
        <w:t>S. aureus</w:t>
      </w:r>
      <w:r w:rsidRPr="00BE64D0">
        <w:rPr>
          <w:lang w:eastAsia="ko-KR"/>
        </w:rPr>
        <w:t xml:space="preserve"> therefore reflects a taxonomic bias in the VFDB category assignment rather than an absence of invasive capacity. For example, the fibronectin-binding proteins that mediate </w:t>
      </w:r>
      <w:r w:rsidRPr="00BE64D0">
        <w:rPr>
          <w:i/>
          <w:iCs/>
          <w:lang w:eastAsia="ko-KR"/>
        </w:rPr>
        <w:t>S. aureus</w:t>
      </w:r>
      <w:r w:rsidRPr="00BE64D0">
        <w:rPr>
          <w:lang w:eastAsia="ko-KR"/>
        </w:rPr>
        <w:t xml:space="preserve"> invasion do exist but are classified under "Adherence" in the VFDB, where they were detected in 95.4 % of </w:t>
      </w:r>
      <w:r w:rsidRPr="00BE64D0">
        <w:rPr>
          <w:i/>
          <w:iCs/>
          <w:lang w:eastAsia="ko-KR"/>
        </w:rPr>
        <w:t>S. aureus</w:t>
      </w:r>
      <w:r w:rsidRPr="00BE64D0">
        <w:rPr>
          <w:lang w:eastAsia="ko-KR"/>
        </w:rPr>
        <w:t xml:space="preserve"> isolates.</w:t>
      </w:r>
    </w:p>
    <w:p w14:paraId="27977CBD" w14:textId="77777777" w:rsidR="00BE64D0" w:rsidRDefault="00BE64D0" w:rsidP="00BE64D0">
      <w:pPr>
        <w:jc w:val="both"/>
        <w:rPr>
          <w:b/>
          <w:bCs/>
          <w:lang w:eastAsia="ko-KR"/>
        </w:rPr>
      </w:pPr>
    </w:p>
    <w:p w14:paraId="16A12B77" w14:textId="5709A1F8" w:rsidR="00BE64D0" w:rsidRPr="00BE64D0" w:rsidRDefault="00BE64D0" w:rsidP="00BE64D0">
      <w:pPr>
        <w:jc w:val="both"/>
        <w:rPr>
          <w:b/>
          <w:bCs/>
          <w:lang w:eastAsia="ko-KR"/>
        </w:rPr>
      </w:pPr>
      <w:r w:rsidRPr="00BE64D0">
        <w:rPr>
          <w:b/>
          <w:bCs/>
          <w:lang w:eastAsia="ko-KR"/>
        </w:rPr>
        <w:t>Robustness to parameter choices</w:t>
      </w:r>
    </w:p>
    <w:p w14:paraId="400D23E3" w14:textId="77777777" w:rsidR="00BE64D0" w:rsidRPr="00BE64D0" w:rsidRDefault="00BE64D0" w:rsidP="00BE64D0">
      <w:pPr>
        <w:jc w:val="both"/>
        <w:rPr>
          <w:lang w:eastAsia="ko-KR"/>
        </w:rPr>
      </w:pPr>
      <w:r w:rsidRPr="00BE64D0">
        <w:rPr>
          <w:lang w:eastAsia="ko-KR"/>
        </w:rPr>
        <w:t xml:space="preserve">Because the framework depends on four parameters — host-range boundary, MDR threshold, high-risk cut-off and tier fallback — the robustness of the results to these choices was tested (Table 5). Widening or narrowing the broad/narrow host-range boundary (genus, family or order) left the high-risk set completely unchanged at 7,400 isolates; the only movement was between adjacent ranks within the same tier (R1↔R2, R6↔R7), so no isolate crossed the high-risk boundary, and the ST-enrichment results were identical. Changing the MDR threshold (≥ 2, ≥ 3 or ≥ 4 distinct classes) also left the high-risk set unchanged (7,400), because the MDR flag is independent of rank; only the proportion of MDR-flagged isolates changed (82 %, 73 % and </w:t>
      </w:r>
      <w:proofErr w:type="gramStart"/>
      <w:r w:rsidRPr="00BE64D0">
        <w:rPr>
          <w:lang w:eastAsia="ko-KR"/>
        </w:rPr>
        <w:t>65 %,</w:t>
      </w:r>
      <w:proofErr w:type="gramEnd"/>
      <w:r w:rsidRPr="00BE64D0">
        <w:rPr>
          <w:lang w:eastAsia="ko-KR"/>
        </w:rPr>
        <w:t xml:space="preserve"> respectively). Varying the high-risk cut-off (R1–R2, R1–R3 or R1–R4) gave high-risk sets of 7,045, 7,400 and 7,630 isolates, and the major clones (ST258, ST131, ST32 and ST25) were significantly enriched under all three definitions.</w:t>
      </w:r>
    </w:p>
    <w:p w14:paraId="53268305" w14:textId="77777777" w:rsidR="00BE64D0" w:rsidRPr="00BE64D0" w:rsidRDefault="00BE64D0" w:rsidP="00BE64D0">
      <w:pPr>
        <w:jc w:val="both"/>
        <w:rPr>
          <w:lang w:eastAsia="ko-KR"/>
        </w:rPr>
      </w:pPr>
      <w:r w:rsidRPr="00BE64D0">
        <w:rPr>
          <w:lang w:eastAsia="ko-KR"/>
        </w:rPr>
        <w:lastRenderedPageBreak/>
        <w:t xml:space="preserve">The only parameter with a substantive effect was the class-level tier fallback used when the agent was unspecified. Replacing the representative (mode) tier with a worst-case rule increased the high-risk set by about 6 % (7,400 → 7,837), whereas a median rule left it unchanged (7,400). Under the worst-case fallback the strong enrichment signals of the major clones (ST258, ST131, ST32) were retained, but the signal of the small-sample </w:t>
      </w:r>
      <w:r w:rsidRPr="00BE64D0">
        <w:rPr>
          <w:i/>
          <w:iCs/>
          <w:lang w:eastAsia="ko-KR"/>
        </w:rPr>
        <w:t>A. baumannii</w:t>
      </w:r>
      <w:r w:rsidRPr="00BE64D0">
        <w:rPr>
          <w:lang w:eastAsia="ko-KR"/>
        </w:rPr>
        <w:t xml:space="preserve"> ST25 weakened (OR ≈ 17 → OR ≈ 3.5, though still significant). </w:t>
      </w:r>
      <w:proofErr w:type="gramStart"/>
      <w:r w:rsidRPr="00BE64D0">
        <w:rPr>
          <w:lang w:eastAsia="ko-KR"/>
        </w:rPr>
        <w:t>Thus</w:t>
      </w:r>
      <w:proofErr w:type="gramEnd"/>
      <w:r w:rsidRPr="00BE64D0">
        <w:rPr>
          <w:lang w:eastAsia="ko-KR"/>
        </w:rPr>
        <w:t xml:space="preserve"> the recovery of the major pandemic clones was stable across all parameter settings, whereas the weaker signals of sparsely sampled species should be interpreted with corresponding caution.</w:t>
      </w:r>
    </w:p>
    <w:p w14:paraId="330BACAF" w14:textId="77777777" w:rsidR="00BE64D0" w:rsidRDefault="00BE64D0" w:rsidP="00BE64D0">
      <w:pPr>
        <w:jc w:val="both"/>
        <w:rPr>
          <w:b/>
          <w:bCs/>
          <w:lang w:eastAsia="ko-KR"/>
        </w:rPr>
      </w:pPr>
    </w:p>
    <w:p w14:paraId="077D4291" w14:textId="198F8C72" w:rsidR="00BE64D0" w:rsidRPr="00BE64D0" w:rsidRDefault="00BE64D0" w:rsidP="00BE64D0">
      <w:pPr>
        <w:jc w:val="both"/>
        <w:rPr>
          <w:b/>
          <w:bCs/>
          <w:lang w:eastAsia="ko-KR"/>
        </w:rPr>
      </w:pPr>
      <w:r w:rsidRPr="00BE64D0">
        <w:rPr>
          <w:b/>
          <w:bCs/>
          <w:lang w:eastAsia="ko-KR"/>
        </w:rPr>
        <w:t>Hazard ranks are concordant with measured resistance phenotypes</w:t>
      </w:r>
    </w:p>
    <w:p w14:paraId="6B6F6FCB" w14:textId="77777777" w:rsidR="00BE64D0" w:rsidRPr="00BE64D0" w:rsidRDefault="00BE64D0" w:rsidP="00BE64D0">
      <w:pPr>
        <w:jc w:val="both"/>
        <w:rPr>
          <w:lang w:eastAsia="ko-KR"/>
        </w:rPr>
      </w:pPr>
      <w:r w:rsidRPr="00BE64D0">
        <w:rPr>
          <w:lang w:eastAsia="ko-KR"/>
        </w:rPr>
        <w:t xml:space="preserve">Because the hazard rank is computed solely from genotype and element mobility and uses no phenotypic data, independently obtained laboratory-measured antimicrobial susceptibility results serve as an external anchor for the tier axis of the rank. Standard laboratory measurements distinct from predicted susceptibility calls ("Laboratory Method" records) were available for 1,027 isolates, i.e. 2.7 % of the cohort. For each isolate the proportion of tested antibiotics called resistant was computed, and the distributions were compared between high-risk (R1–R3) and remaining isolates within each species using a one-sided Mann–Whitney </w:t>
      </w:r>
      <w:r w:rsidRPr="00BE64D0">
        <w:rPr>
          <w:i/>
          <w:iCs/>
          <w:lang w:eastAsia="ko-KR"/>
        </w:rPr>
        <w:t>U</w:t>
      </w:r>
      <w:r w:rsidRPr="00BE64D0">
        <w:rPr>
          <w:lang w:eastAsia="ko-KR"/>
        </w:rPr>
        <w:t xml:space="preserve"> test (Table 6).</w:t>
      </w:r>
    </w:p>
    <w:p w14:paraId="2D20A4A6" w14:textId="77777777" w:rsidR="00BE64D0" w:rsidRPr="00BE64D0" w:rsidRDefault="00BE64D0" w:rsidP="00BE64D0">
      <w:pPr>
        <w:jc w:val="both"/>
        <w:rPr>
          <w:lang w:eastAsia="ko-KR"/>
        </w:rPr>
      </w:pPr>
      <w:r w:rsidRPr="00BE64D0">
        <w:rPr>
          <w:lang w:eastAsia="ko-KR"/>
        </w:rPr>
        <w:t xml:space="preserve">The main signal appeared on the high-risk axis. In four of the five species — all except </w:t>
      </w:r>
      <w:r w:rsidRPr="00BE64D0">
        <w:rPr>
          <w:i/>
          <w:iCs/>
          <w:lang w:eastAsia="ko-KR"/>
        </w:rPr>
        <w:t>A. baumannii</w:t>
      </w:r>
      <w:r w:rsidRPr="00BE64D0">
        <w:rPr>
          <w:lang w:eastAsia="ko-KR"/>
        </w:rPr>
        <w:t xml:space="preserve"> — high-risk isolates were significantly more resistant in measured AST than the remaining isolates (all </w:t>
      </w:r>
      <w:r w:rsidRPr="00BE64D0">
        <w:rPr>
          <w:i/>
          <w:iCs/>
          <w:lang w:eastAsia="ko-KR"/>
        </w:rPr>
        <w:t>p</w:t>
      </w:r>
      <w:r w:rsidRPr="00BE64D0">
        <w:rPr>
          <w:lang w:eastAsia="ko-KR"/>
        </w:rPr>
        <w:t xml:space="preserve"> &lt; 0.05; Table 6). The difference was non-significant only in </w:t>
      </w:r>
      <w:r w:rsidRPr="00BE64D0">
        <w:rPr>
          <w:i/>
          <w:iCs/>
          <w:lang w:eastAsia="ko-KR"/>
        </w:rPr>
        <w:t>A. baumannii</w:t>
      </w:r>
      <w:r w:rsidRPr="00BE64D0">
        <w:rPr>
          <w:lang w:eastAsia="ko-KR"/>
        </w:rPr>
        <w:t>, where the baseline resistance of the remaining isolates was already near saturation and only three high-risk isolates had measurements.</w:t>
      </w:r>
    </w:p>
    <w:p w14:paraId="58594F57" w14:textId="77777777" w:rsidR="00BE64D0" w:rsidRPr="00BE64D0" w:rsidRDefault="00BE64D0" w:rsidP="00BE64D0">
      <w:pPr>
        <w:jc w:val="both"/>
        <w:rPr>
          <w:lang w:eastAsia="ko-KR"/>
        </w:rPr>
      </w:pPr>
      <w:r w:rsidRPr="00BE64D0">
        <w:rPr>
          <w:lang w:eastAsia="ko-KR"/>
        </w:rPr>
        <w:t xml:space="preserve">The opposite end of the rank spectrum served as a negative control confirming that this contrast was not a methodological artefact. Measured resistance was lowest in R12, the lowest rank, </w:t>
      </w:r>
      <w:r w:rsidRPr="00BE64D0">
        <w:rPr>
          <w:lang w:eastAsia="ko-KR"/>
        </w:rPr>
        <w:lastRenderedPageBreak/>
        <w:t xml:space="preserve">and isolates carrying only ARGs to which no tier could be assigned were likewise near the floor (Table 6). That is, isolates the framework judged </w:t>
      </w:r>
      <w:proofErr w:type="spellStart"/>
      <w:r w:rsidRPr="00BE64D0">
        <w:rPr>
          <w:lang w:eastAsia="ko-KR"/>
        </w:rPr>
        <w:t>untierable</w:t>
      </w:r>
      <w:proofErr w:type="spellEnd"/>
      <w:r w:rsidRPr="00BE64D0">
        <w:rPr>
          <w:lang w:eastAsia="ko-KR"/>
        </w:rPr>
        <w:t xml:space="preserve"> were almost devoid of measured resistance, showing that the test behaved as expected at both extremes of the spectrum.</w:t>
      </w:r>
    </w:p>
    <w:p w14:paraId="7545B10B" w14:textId="77777777" w:rsidR="00BE64D0" w:rsidRPr="00BE64D0" w:rsidRDefault="00BE64D0" w:rsidP="00BE64D0">
      <w:pPr>
        <w:jc w:val="both"/>
        <w:rPr>
          <w:lang w:eastAsia="ko-KR"/>
        </w:rPr>
      </w:pPr>
      <w:r w:rsidRPr="00BE64D0">
        <w:rPr>
          <w:lang w:eastAsia="ko-KR"/>
        </w:rPr>
        <w:t>This anchor is deliberately coarse and exploratory. The subset with measured susceptibility is small and is not a random sample of the cohort, so it may be skewed towards clinical and resistant isolates, and whole proportions of resistant calls were compared rather than matching individual genes to individual agents. We therefore report not a monotonic increase across ranks but concordance at the two extremes — elevated measured resistance among high-risk isolates and a floor at the lowest ranks.</w:t>
      </w:r>
    </w:p>
    <w:p w14:paraId="0068E2B5" w14:textId="77777777" w:rsidR="005E38FE" w:rsidRPr="00BE64D0" w:rsidRDefault="005E38FE" w:rsidP="005B0EED">
      <w:pPr>
        <w:jc w:val="both"/>
        <w:rPr>
          <w:lang w:eastAsia="ko-KR"/>
        </w:rPr>
      </w:pPr>
    </w:p>
    <w:sectPr w:rsidR="005E38FE" w:rsidRPr="00BE64D0" w:rsidSect="00783035">
      <w:pgSz w:w="11906" w:h="16838"/>
      <w:pgMar w:top="1440"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4672" w14:textId="77777777" w:rsidR="00310E6D" w:rsidRDefault="00310E6D" w:rsidP="00783035">
      <w:pPr>
        <w:spacing w:line="240" w:lineRule="auto"/>
      </w:pPr>
      <w:r>
        <w:separator/>
      </w:r>
    </w:p>
  </w:endnote>
  <w:endnote w:type="continuationSeparator" w:id="0">
    <w:p w14:paraId="1A34A1DC" w14:textId="77777777" w:rsidR="00310E6D" w:rsidRDefault="00310E6D" w:rsidP="00783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12A9" w14:textId="77777777" w:rsidR="00310E6D" w:rsidRDefault="00310E6D" w:rsidP="00783035">
      <w:pPr>
        <w:spacing w:line="240" w:lineRule="auto"/>
      </w:pPr>
      <w:r>
        <w:separator/>
      </w:r>
    </w:p>
  </w:footnote>
  <w:footnote w:type="continuationSeparator" w:id="0">
    <w:p w14:paraId="4885106B" w14:textId="77777777" w:rsidR="00310E6D" w:rsidRDefault="00310E6D" w:rsidP="0078303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70"/>
    <w:rsid w:val="00013557"/>
    <w:rsid w:val="000370F3"/>
    <w:rsid w:val="00051C30"/>
    <w:rsid w:val="000742B4"/>
    <w:rsid w:val="00085D6D"/>
    <w:rsid w:val="00097964"/>
    <w:rsid w:val="000D0BFA"/>
    <w:rsid w:val="001004B7"/>
    <w:rsid w:val="001269BE"/>
    <w:rsid w:val="001301CA"/>
    <w:rsid w:val="00155C37"/>
    <w:rsid w:val="001565AB"/>
    <w:rsid w:val="001709D4"/>
    <w:rsid w:val="001D7BAB"/>
    <w:rsid w:val="001E6039"/>
    <w:rsid w:val="00246776"/>
    <w:rsid w:val="00256167"/>
    <w:rsid w:val="002A4405"/>
    <w:rsid w:val="002B2A70"/>
    <w:rsid w:val="00300763"/>
    <w:rsid w:val="00310E6D"/>
    <w:rsid w:val="003B69EB"/>
    <w:rsid w:val="003C78DF"/>
    <w:rsid w:val="003E7BE5"/>
    <w:rsid w:val="00415CD8"/>
    <w:rsid w:val="00466F7C"/>
    <w:rsid w:val="004A567A"/>
    <w:rsid w:val="004E1944"/>
    <w:rsid w:val="004F3785"/>
    <w:rsid w:val="005523D8"/>
    <w:rsid w:val="00571420"/>
    <w:rsid w:val="005B0EED"/>
    <w:rsid w:val="005C7D5E"/>
    <w:rsid w:val="005D1257"/>
    <w:rsid w:val="005D6635"/>
    <w:rsid w:val="005E38FE"/>
    <w:rsid w:val="005F1099"/>
    <w:rsid w:val="00604622"/>
    <w:rsid w:val="00633510"/>
    <w:rsid w:val="00651F7C"/>
    <w:rsid w:val="00695F5F"/>
    <w:rsid w:val="006B6D74"/>
    <w:rsid w:val="006C33B4"/>
    <w:rsid w:val="00707728"/>
    <w:rsid w:val="00710212"/>
    <w:rsid w:val="007420D3"/>
    <w:rsid w:val="007802EE"/>
    <w:rsid w:val="00783035"/>
    <w:rsid w:val="007935A7"/>
    <w:rsid w:val="007A22E5"/>
    <w:rsid w:val="007E0B66"/>
    <w:rsid w:val="00813E4A"/>
    <w:rsid w:val="0084601D"/>
    <w:rsid w:val="00876DBB"/>
    <w:rsid w:val="00896C80"/>
    <w:rsid w:val="009235C1"/>
    <w:rsid w:val="00961D03"/>
    <w:rsid w:val="00967DAC"/>
    <w:rsid w:val="009B1EF7"/>
    <w:rsid w:val="00A17B07"/>
    <w:rsid w:val="00A73C59"/>
    <w:rsid w:val="00B7612F"/>
    <w:rsid w:val="00BE64D0"/>
    <w:rsid w:val="00C02F98"/>
    <w:rsid w:val="00C03B8F"/>
    <w:rsid w:val="00C3468B"/>
    <w:rsid w:val="00C63420"/>
    <w:rsid w:val="00D661DC"/>
    <w:rsid w:val="00E5778E"/>
    <w:rsid w:val="00E84B43"/>
    <w:rsid w:val="00EB19DC"/>
    <w:rsid w:val="00F51316"/>
    <w:rsid w:val="00F82F9E"/>
    <w:rsid w:val="00F92117"/>
    <w:rsid w:val="00FD4D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C9B72"/>
  <w15:chartTrackingRefBased/>
  <w15:docId w15:val="{574DEA3D-24A5-450D-A0CA-3D685D94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3035"/>
    <w:pPr>
      <w:spacing w:after="0" w:line="480" w:lineRule="auto"/>
    </w:pPr>
    <w:rPr>
      <w:rFonts w:ascii="Times New Roman" w:hAnsi="Times New Roman"/>
      <w:kern w:val="0"/>
      <w:sz w:val="24"/>
      <w:szCs w:val="22"/>
      <w:lang w:eastAsia="en-US"/>
      <w14:ligatures w14:val="none"/>
    </w:rPr>
  </w:style>
  <w:style w:type="paragraph" w:styleId="1">
    <w:name w:val="heading 1"/>
    <w:basedOn w:val="a"/>
    <w:next w:val="a"/>
    <w:link w:val="1Char"/>
    <w:uiPriority w:val="9"/>
    <w:qFormat/>
    <w:rsid w:val="002B2A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B2A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B2A70"/>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2B2A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B2A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B2A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B2A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B2A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B2A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B2A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B2A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B2A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B2A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B2A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B2A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B2A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B2A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B2A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B2A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B2A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2A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B2A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B2A70"/>
    <w:pPr>
      <w:spacing w:before="160"/>
      <w:jc w:val="center"/>
    </w:pPr>
    <w:rPr>
      <w:i/>
      <w:iCs/>
      <w:color w:val="404040" w:themeColor="text1" w:themeTint="BF"/>
    </w:rPr>
  </w:style>
  <w:style w:type="character" w:customStyle="1" w:styleId="Char1">
    <w:name w:val="인용 Char"/>
    <w:basedOn w:val="a0"/>
    <w:link w:val="a5"/>
    <w:uiPriority w:val="29"/>
    <w:rsid w:val="002B2A70"/>
    <w:rPr>
      <w:i/>
      <w:iCs/>
      <w:color w:val="404040" w:themeColor="text1" w:themeTint="BF"/>
    </w:rPr>
  </w:style>
  <w:style w:type="paragraph" w:styleId="a6">
    <w:name w:val="List Paragraph"/>
    <w:basedOn w:val="a"/>
    <w:uiPriority w:val="34"/>
    <w:qFormat/>
    <w:rsid w:val="002B2A70"/>
    <w:pPr>
      <w:ind w:left="720"/>
      <w:contextualSpacing/>
    </w:pPr>
  </w:style>
  <w:style w:type="character" w:styleId="a7">
    <w:name w:val="Intense Emphasis"/>
    <w:basedOn w:val="a0"/>
    <w:uiPriority w:val="21"/>
    <w:qFormat/>
    <w:rsid w:val="002B2A70"/>
    <w:rPr>
      <w:i/>
      <w:iCs/>
      <w:color w:val="0F4761" w:themeColor="accent1" w:themeShade="BF"/>
    </w:rPr>
  </w:style>
  <w:style w:type="paragraph" w:styleId="a8">
    <w:name w:val="Intense Quote"/>
    <w:basedOn w:val="a"/>
    <w:next w:val="a"/>
    <w:link w:val="Char2"/>
    <w:uiPriority w:val="30"/>
    <w:qFormat/>
    <w:rsid w:val="002B2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B2A70"/>
    <w:rPr>
      <w:i/>
      <w:iCs/>
      <w:color w:val="0F4761" w:themeColor="accent1" w:themeShade="BF"/>
    </w:rPr>
  </w:style>
  <w:style w:type="character" w:styleId="a9">
    <w:name w:val="Intense Reference"/>
    <w:basedOn w:val="a0"/>
    <w:uiPriority w:val="32"/>
    <w:qFormat/>
    <w:rsid w:val="002B2A70"/>
    <w:rPr>
      <w:b/>
      <w:bCs/>
      <w:smallCaps/>
      <w:color w:val="0F4761" w:themeColor="accent1" w:themeShade="BF"/>
      <w:spacing w:val="5"/>
    </w:rPr>
  </w:style>
  <w:style w:type="character" w:styleId="aa">
    <w:name w:val="line number"/>
    <w:basedOn w:val="a0"/>
    <w:uiPriority w:val="99"/>
    <w:semiHidden/>
    <w:unhideWhenUsed/>
    <w:rsid w:val="00783035"/>
  </w:style>
  <w:style w:type="paragraph" w:styleId="ab">
    <w:name w:val="header"/>
    <w:basedOn w:val="a"/>
    <w:link w:val="Char3"/>
    <w:uiPriority w:val="99"/>
    <w:unhideWhenUsed/>
    <w:rsid w:val="00783035"/>
    <w:pPr>
      <w:tabs>
        <w:tab w:val="center" w:pos="4513"/>
        <w:tab w:val="right" w:pos="9026"/>
      </w:tabs>
      <w:snapToGrid w:val="0"/>
    </w:pPr>
  </w:style>
  <w:style w:type="character" w:customStyle="1" w:styleId="Char3">
    <w:name w:val="머리글 Char"/>
    <w:basedOn w:val="a0"/>
    <w:link w:val="ab"/>
    <w:uiPriority w:val="99"/>
    <w:rsid w:val="00783035"/>
  </w:style>
  <w:style w:type="paragraph" w:styleId="ac">
    <w:name w:val="footer"/>
    <w:basedOn w:val="a"/>
    <w:link w:val="Char4"/>
    <w:uiPriority w:val="99"/>
    <w:unhideWhenUsed/>
    <w:rsid w:val="00783035"/>
    <w:pPr>
      <w:tabs>
        <w:tab w:val="center" w:pos="4513"/>
        <w:tab w:val="right" w:pos="9026"/>
      </w:tabs>
      <w:snapToGrid w:val="0"/>
    </w:pPr>
  </w:style>
  <w:style w:type="character" w:customStyle="1" w:styleId="Char4">
    <w:name w:val="바닥글 Char"/>
    <w:basedOn w:val="a0"/>
    <w:link w:val="ac"/>
    <w:uiPriority w:val="99"/>
    <w:rsid w:val="00783035"/>
  </w:style>
  <w:style w:type="character" w:styleId="ad">
    <w:name w:val="Hyperlink"/>
    <w:basedOn w:val="a0"/>
    <w:uiPriority w:val="99"/>
    <w:unhideWhenUsed/>
    <w:rsid w:val="0078303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tsu@cbnu.ac.k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82B22-4981-4E05-8246-6851E6140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11426</TotalTime>
  <Pages>16</Pages>
  <Words>4404</Words>
  <Characters>25105</Characters>
  <Application>Microsoft Office Word</Application>
  <DocSecurity>0</DocSecurity>
  <Lines>209</Lines>
  <Paragraphs>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영진 천</dc:creator>
  <cp:keywords/>
  <dc:description/>
  <cp:lastModifiedBy>영진 천</cp:lastModifiedBy>
  <cp:revision>3</cp:revision>
  <dcterms:created xsi:type="dcterms:W3CDTF">2026-07-04T06:50:00Z</dcterms:created>
  <dcterms:modified xsi:type="dcterms:W3CDTF">2026-08-21T00:39:00Z</dcterms:modified>
</cp:coreProperties>
</file>