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2b6030d6e91b2d2cd772f9067986d7508bdfe1f"/>
    <w:p>
      <w:pPr>
        <w:pStyle w:val="Heading1"/>
      </w:pPr>
      <w:r>
        <w:t xml:space="preserve">Phase 3 Signal Processing Plan for Field4D</w:t>
      </w:r>
    </w:p>
    <w:p>
      <w:pPr>
        <w:pStyle w:val="FirstParagraph"/>
      </w:pPr>
      <w:r>
        <w:t xml:space="preserve">This plan outlines the tasks required to extend</w:t>
      </w:r>
      <w:r>
        <w:t xml:space="preserve"> </w:t>
      </w:r>
      <w:r>
        <w:rPr>
          <w:b/>
          <w:bCs/>
        </w:rPr>
        <w:t xml:space="preserve">Field4D</w:t>
      </w:r>
      <w:r>
        <w:t xml:space="preserve"> </w:t>
      </w:r>
      <w:r>
        <w:t xml:space="preserve">with signal‑processing utilities. The goal is to provide researchers with tools for spectral analysis, correlation, coherence and delay estimation on 4D datasets while maintaining the design principles established in earlier phases (axis metadata, 4D shape preservation, and unit consistency). The work will involve implementing core computation methods and thin plotting wrappers, accompanied by comprehensive tests and documentation.</w:t>
      </w:r>
    </w:p>
    <w:bookmarkStart w:id="21" w:name="objectives"/>
    <w:p>
      <w:pPr>
        <w:pStyle w:val="Heading2"/>
      </w:pPr>
      <w:r>
        <w:t xml:space="preserve">Objectives</w:t>
      </w:r>
    </w:p>
    <w:p>
      <w:pPr>
        <w:pStyle w:val="Compact"/>
        <w:numPr>
          <w:ilvl w:val="0"/>
          <w:numId w:val="1001"/>
        </w:numPr>
      </w:pPr>
      <w:r>
        <w:t xml:space="preserve">Enable frequency‑domain analysis of Field4D data through power spectral density (PSD) estimation and frequency–space mapping.</w:t>
      </w:r>
    </w:p>
    <w:p>
      <w:pPr>
        <w:pStyle w:val="Compact"/>
        <w:numPr>
          <w:ilvl w:val="0"/>
          <w:numId w:val="1001"/>
        </w:numPr>
      </w:pPr>
      <w:r>
        <w:t xml:space="preserve">Provide correlation and delay tools (cross‑correlation and time‑delay maps) for studying signal propagation.</w:t>
      </w:r>
    </w:p>
    <w:p>
      <w:pPr>
        <w:pStyle w:val="Compact"/>
        <w:numPr>
          <w:ilvl w:val="0"/>
          <w:numId w:val="1001"/>
        </w:numPr>
      </w:pPr>
      <w:r>
        <w:t xml:space="preserve">Implement coherence maps to quantify similarity between signals across the spatial domain.</w:t>
      </w:r>
    </w:p>
    <w:p>
      <w:pPr>
        <w:pStyle w:val="Compact"/>
        <w:numPr>
          <w:ilvl w:val="0"/>
          <w:numId w:val="1001"/>
        </w:numPr>
      </w:pPr>
      <w:r>
        <w:t xml:space="preserve">Maintain separation between data computation and visualization; computation functions should return reusable objects, with plotting handled by thin wrappers.</w:t>
      </w:r>
    </w:p>
    <w:p>
      <w:pPr>
        <w:pStyle w:val="Compact"/>
        <w:numPr>
          <w:ilvl w:val="0"/>
          <w:numId w:val="1001"/>
        </w:numPr>
      </w:pPr>
      <w:r>
        <w:t xml:space="preserve">Support reproducible research by including deterministic examples and tests.</w:t>
      </w:r>
    </w:p>
    <w:bookmarkEnd w:id="21"/>
    <w:bookmarkStart w:id="28" w:name="tasks"/>
    <w:p>
      <w:pPr>
        <w:pStyle w:val="Heading2"/>
      </w:pPr>
      <w:r>
        <w:t xml:space="preserve">Tasks</w:t>
      </w:r>
    </w:p>
    <w:bookmarkStart w:id="22" w:name="shared-groundwork"/>
    <w:p>
      <w:pPr>
        <w:pStyle w:val="Heading3"/>
      </w:pPr>
      <w:r>
        <w:t xml:space="preserve">1. Shared groundwork</w:t>
      </w:r>
    </w:p>
    <w:p>
      <w:pPr>
        <w:pStyle w:val="Compact"/>
        <w:numPr>
          <w:ilvl w:val="0"/>
          <w:numId w:val="1002"/>
        </w:numPr>
      </w:pPr>
      <w:r>
        <w:rPr>
          <w:b/>
          <w:bCs/>
        </w:rPr>
        <w:t xml:space="preserve">Demo data generation</w:t>
      </w:r>
    </w:p>
    <w:p>
      <w:pPr>
        <w:pStyle w:val="Compact"/>
        <w:numPr>
          <w:ilvl w:val="0"/>
          <w:numId w:val="1002"/>
        </w:numPr>
      </w:pPr>
      <w:r>
        <w:t xml:space="preserve">Implement a helper function (e.g.</w:t>
      </w:r>
      <w:r>
        <w:t xml:space="preserve"> </w:t>
      </w:r>
      <w:r>
        <w:rPr>
          <w:rStyle w:val="VerbatimChar"/>
        </w:rPr>
        <w:t xml:space="preserve">make_demo_field4d</w:t>
      </w:r>
      <w:r>
        <w:t xml:space="preserve">) that creates deterministic Field4D objects using fixed seeds and known waveforms (e.g. propagating Gaussian or sinusoidal waves).</w:t>
      </w:r>
    </w:p>
    <w:p>
      <w:pPr>
        <w:pStyle w:val="Compact"/>
        <w:numPr>
          <w:ilvl w:val="0"/>
          <w:numId w:val="1002"/>
        </w:numPr>
      </w:pPr>
      <w:r>
        <w:t xml:space="preserve">Ensure unit and axis metadata are correctly assigned (time, spatial axes).</w:t>
      </w:r>
    </w:p>
    <w:p>
      <w:pPr>
        <w:numPr>
          <w:ilvl w:val="0"/>
          <w:numId w:val="1002"/>
        </w:numPr>
      </w:pPr>
      <w:r>
        <w:t xml:space="preserve">Use this function in notebooks, examples and tests to guarantee reproducibility.</w:t>
      </w:r>
    </w:p>
    <w:p>
      <w:pPr>
        <w:numPr>
          <w:ilvl w:val="0"/>
          <w:numId w:val="1002"/>
        </w:numPr>
      </w:pPr>
      <w:r>
        <w:rPr>
          <w:b/>
          <w:bCs/>
        </w:rPr>
        <w:t xml:space="preserve">Coordinate utilities (reuse from Phase 2)</w:t>
      </w:r>
    </w:p>
    <w:p>
      <w:pPr>
        <w:pStyle w:val="Compact"/>
        <w:numPr>
          <w:ilvl w:val="0"/>
          <w:numId w:val="1002"/>
        </w:numPr>
      </w:pPr>
      <w:r>
        <w:t xml:space="preserve">Confirm that the nearest index conversion and slice helpers can operate on irregular time vectors or frequencies (needed for Welch PSD).</w:t>
      </w:r>
    </w:p>
    <w:p>
      <w:pPr>
        <w:pStyle w:val="Compact"/>
        <w:numPr>
          <w:ilvl w:val="0"/>
          <w:numId w:val="1002"/>
        </w:numPr>
      </w:pPr>
      <w:r>
        <w:t xml:space="preserve">Extend the</w:t>
      </w:r>
      <w:r>
        <w:t xml:space="preserve"> </w:t>
      </w:r>
      <w:r>
        <w:rPr>
          <w:rStyle w:val="VerbatimChar"/>
        </w:rPr>
        <w:t xml:space="preserve">select_value</w:t>
      </w:r>
      <w:r>
        <w:t xml:space="preserve"> </w:t>
      </w:r>
      <w:r>
        <w:t xml:space="preserve">helper to support spectral power (e.g.</w:t>
      </w:r>
      <w:r>
        <w:t xml:space="preserve"> </w:t>
      </w:r>
      <w:r>
        <w:rPr>
          <w:rStyle w:val="VerbatimChar"/>
        </w:rPr>
        <w:t xml:space="preserve">mode="power"</w:t>
      </w:r>
      <w:r>
        <w:t xml:space="preserve">) where appropriate.</w:t>
      </w:r>
    </w:p>
    <w:bookmarkEnd w:id="22"/>
    <w:bookmarkStart w:id="23" w:name="power-spectral-density-psd"/>
    <w:p>
      <w:pPr>
        <w:pStyle w:val="Heading3"/>
      </w:pPr>
      <w:r>
        <w:t xml:space="preserve">2. Power spectral density (PSD)</w:t>
      </w:r>
    </w:p>
    <w:p>
      <w:pPr>
        <w:pStyle w:val="Compact"/>
        <w:numPr>
          <w:ilvl w:val="0"/>
          <w:numId w:val="1003"/>
        </w:numPr>
      </w:pPr>
      <w:r>
        <w:rPr>
          <w:b/>
          <w:bCs/>
        </w:rPr>
        <w:t xml:space="preserve">Computation</w:t>
      </w:r>
      <w:r>
        <w:t xml:space="preserve">:</w:t>
      </w:r>
      <w:r>
        <w:t xml:space="preserve"> </w:t>
      </w:r>
      <w:r>
        <w:rPr>
          <w:rStyle w:val="VerbatimChar"/>
        </w:rPr>
        <w:t xml:space="preserve">compute_psd(point_or_region, *, nperseg, noverlap, window, detrend)</w:t>
      </w:r>
    </w:p>
    <w:p>
      <w:pPr>
        <w:pStyle w:val="Compact"/>
        <w:numPr>
          <w:ilvl w:val="0"/>
          <w:numId w:val="1003"/>
        </w:numPr>
      </w:pPr>
      <w:r>
        <w:t xml:space="preserve">Use</w:t>
      </w:r>
      <w:r>
        <w:t xml:space="preserve"> </w:t>
      </w:r>
      <w:r>
        <w:rPr>
          <w:rStyle w:val="VerbatimChar"/>
        </w:rPr>
        <w:t xml:space="preserve">scipy.signal.welch</w:t>
      </w:r>
      <w:r>
        <w:t xml:space="preserve"> </w:t>
      </w:r>
      <w:r>
        <w:t xml:space="preserve">to estimate the PSD of time series extracted from single points or spatial regions.</w:t>
      </w:r>
    </w:p>
    <w:p>
      <w:pPr>
        <w:pStyle w:val="Compact"/>
        <w:numPr>
          <w:ilvl w:val="0"/>
          <w:numId w:val="1003"/>
        </w:numPr>
      </w:pPr>
      <w:r>
        <w:t xml:space="preserve">Return a</w:t>
      </w:r>
      <w:r>
        <w:t xml:space="preserve"> </w:t>
      </w:r>
      <w:r>
        <w:rPr>
          <w:rStyle w:val="VerbatimChar"/>
        </w:rPr>
        <w:t xml:space="preserve">FrequencySeries</w:t>
      </w:r>
      <w:r>
        <w:t xml:space="preserve"> </w:t>
      </w:r>
      <w:r>
        <w:t xml:space="preserve">(single point) or</w:t>
      </w:r>
      <w:r>
        <w:t xml:space="preserve"> </w:t>
      </w:r>
      <w:r>
        <w:rPr>
          <w:rStyle w:val="VerbatimChar"/>
        </w:rPr>
        <w:t xml:space="preserve">FrequencySeriesList</w:t>
      </w:r>
      <w:r>
        <w:t xml:space="preserve"> </w:t>
      </w:r>
      <w:r>
        <w:t xml:space="preserve">(multiple points/region).</w:t>
      </w:r>
    </w:p>
    <w:p>
      <w:pPr>
        <w:pStyle w:val="Compact"/>
        <w:numPr>
          <w:ilvl w:val="0"/>
          <w:numId w:val="1003"/>
        </w:numPr>
      </w:pPr>
      <w:r>
        <w:t xml:space="preserve">Validate the time axis is uniformly sampled; raise descriptive errors otherwise.</w:t>
      </w:r>
    </w:p>
    <w:p>
      <w:pPr>
        <w:numPr>
          <w:ilvl w:val="0"/>
          <w:numId w:val="1003"/>
        </w:numPr>
      </w:pPr>
      <w:r>
        <w:t xml:space="preserve">Accept region definitions via slices or masks; allow optional averaging across points.</w:t>
      </w:r>
    </w:p>
    <w:p>
      <w:pPr>
        <w:numPr>
          <w:ilvl w:val="0"/>
          <w:numId w:val="1003"/>
        </w:numPr>
      </w:pPr>
      <w:r>
        <w:rPr>
          <w:b/>
          <w:bCs/>
        </w:rPr>
        <w:t xml:space="preserve">Frequency–space map</w:t>
      </w:r>
      <w:r>
        <w:t xml:space="preserve">:</w:t>
      </w:r>
      <w:r>
        <w:t xml:space="preserve"> </w:t>
      </w:r>
      <w:r>
        <w:rPr>
          <w:rStyle w:val="VerbatimChar"/>
        </w:rPr>
        <w:t xml:space="preserve">freq_space_map(axis, at, *, method="welch", **kwargs)</w:t>
      </w:r>
    </w:p>
    <w:p>
      <w:pPr>
        <w:pStyle w:val="Compact"/>
        <w:numPr>
          <w:ilvl w:val="0"/>
          <w:numId w:val="1003"/>
        </w:numPr>
      </w:pPr>
      <w:r>
        <w:t xml:space="preserve">Compute a PSD at each position along one spatial axis (e.g. x) while fixing other coordinates.</w:t>
      </w:r>
    </w:p>
    <w:p>
      <w:pPr>
        <w:pStyle w:val="Compact"/>
        <w:numPr>
          <w:ilvl w:val="0"/>
          <w:numId w:val="1003"/>
        </w:numPr>
      </w:pPr>
      <w:r>
        <w:t xml:space="preserve">Produce a 2D matrix with frequency on one axis and spatial coordinate on the other.</w:t>
      </w:r>
    </w:p>
    <w:p>
      <w:pPr>
        <w:pStyle w:val="Compact"/>
        <w:numPr>
          <w:ilvl w:val="0"/>
          <w:numId w:val="1003"/>
        </w:numPr>
      </w:pPr>
      <w:r>
        <w:t xml:space="preserve">Return an</w:t>
      </w:r>
      <w:r>
        <w:t xml:space="preserve"> </w:t>
      </w:r>
      <w:r>
        <w:rPr>
          <w:rStyle w:val="VerbatimChar"/>
        </w:rPr>
        <w:t xml:space="preserve">Array2D</w:t>
      </w:r>
      <w:r>
        <w:t xml:space="preserve"> </w:t>
      </w:r>
      <w:r>
        <w:t xml:space="preserve">or</w:t>
      </w:r>
      <w:r>
        <w:t xml:space="preserve"> </w:t>
      </w:r>
      <w:r>
        <w:rPr>
          <w:rStyle w:val="VerbatimChar"/>
        </w:rPr>
        <w:t xml:space="preserve">Field4D</w:t>
      </w:r>
      <w:r>
        <w:t xml:space="preserve"> </w:t>
      </w:r>
      <w:r>
        <w:t xml:space="preserve">view for downstream plotting.</w:t>
      </w:r>
    </w:p>
    <w:p>
      <w:pPr>
        <w:numPr>
          <w:ilvl w:val="0"/>
          <w:numId w:val="1003"/>
        </w:numPr>
      </w:pPr>
      <w:r>
        <w:t xml:space="preserve">Provide an alias such as</w:t>
      </w:r>
      <w:r>
        <w:t xml:space="preserve"> </w:t>
      </w:r>
      <w:r>
        <w:rPr>
          <w:rStyle w:val="VerbatimChar"/>
        </w:rPr>
        <w:t xml:space="preserve">compute_freq_space</w:t>
      </w:r>
      <w:r>
        <w:t xml:space="preserve"> </w:t>
      </w:r>
      <w:r>
        <w:t xml:space="preserve">for clarity.</w:t>
      </w:r>
    </w:p>
    <w:p>
      <w:pPr>
        <w:numPr>
          <w:ilvl w:val="0"/>
          <w:numId w:val="1003"/>
        </w:numPr>
      </w:pPr>
      <w:r>
        <w:rPr>
          <w:b/>
          <w:bCs/>
        </w:rPr>
        <w:t xml:space="preserve">Plot wrappers</w:t>
      </w:r>
      <w:r>
        <w:t xml:space="preserve">:</w:t>
      </w:r>
      <w:r>
        <w:t xml:space="preserve"> </w:t>
      </w:r>
      <w:r>
        <w:rPr>
          <w:rStyle w:val="VerbatimChar"/>
        </w:rPr>
        <w:t xml:space="preserve">plot_psd</w:t>
      </w:r>
      <w:r>
        <w:t xml:space="preserve"> </w:t>
      </w:r>
      <w:r>
        <w:t xml:space="preserve">and</w:t>
      </w:r>
      <w:r>
        <w:t xml:space="preserve"> </w:t>
      </w:r>
      <w:r>
        <w:rPr>
          <w:rStyle w:val="VerbatimChar"/>
        </w:rPr>
        <w:t xml:space="preserve">plot_freq_space</w:t>
      </w:r>
    </w:p>
    <w:p>
      <w:pPr>
        <w:pStyle w:val="Compact"/>
        <w:numPr>
          <w:ilvl w:val="0"/>
          <w:numId w:val="1003"/>
        </w:numPr>
      </w:pPr>
      <w:r>
        <w:t xml:space="preserve">Implement thin wrappers that call the computation functions and plot the result using Matplotlib.</w:t>
      </w:r>
    </w:p>
    <w:p>
      <w:pPr>
        <w:numPr>
          <w:ilvl w:val="0"/>
          <w:numId w:val="1003"/>
        </w:numPr>
      </w:pPr>
      <w:r>
        <w:t xml:space="preserve">Use consistent labeling (frequency in Hz, power spectral density) and allow log‑scale options.</w:t>
      </w:r>
    </w:p>
    <w:p>
      <w:pPr>
        <w:numPr>
          <w:ilvl w:val="0"/>
          <w:numId w:val="1003"/>
        </w:numPr>
      </w:pPr>
      <w:r>
        <w:rPr>
          <w:b/>
          <w:bCs/>
        </w:rPr>
        <w:t xml:space="preserve">Tests</w:t>
      </w:r>
    </w:p>
    <w:p>
      <w:pPr>
        <w:pStyle w:val="Compact"/>
        <w:numPr>
          <w:ilvl w:val="0"/>
          <w:numId w:val="1003"/>
        </w:numPr>
      </w:pPr>
      <w:r>
        <w:t xml:space="preserve">Test PSD computation on synthetic sine waves; verify peak frequencies and power levels.</w:t>
      </w:r>
    </w:p>
    <w:p>
      <w:pPr>
        <w:pStyle w:val="Compact"/>
        <w:numPr>
          <w:ilvl w:val="0"/>
          <w:numId w:val="1003"/>
        </w:numPr>
      </w:pPr>
      <w:r>
        <w:t xml:space="preserve">Confirm that PSD of white noise is approximately flat.</w:t>
      </w:r>
    </w:p>
    <w:p>
      <w:pPr>
        <w:pStyle w:val="Compact"/>
        <w:numPr>
          <w:ilvl w:val="0"/>
          <w:numId w:val="1003"/>
        </w:numPr>
      </w:pPr>
      <w:r>
        <w:t xml:space="preserve">Validate that</w:t>
      </w:r>
      <w:r>
        <w:t xml:space="preserve"> </w:t>
      </w:r>
      <w:r>
        <w:rPr>
          <w:rStyle w:val="VerbatimChar"/>
        </w:rPr>
        <w:t xml:space="preserve">freq_space_map</w:t>
      </w:r>
      <w:r>
        <w:t xml:space="preserve"> </w:t>
      </w:r>
      <w:r>
        <w:t xml:space="preserve">returns the expected shape and axis metadata.</w:t>
      </w:r>
    </w:p>
    <w:bookmarkEnd w:id="23"/>
    <w:bookmarkStart w:id="24" w:name="crosscorrelation-and-delay-estimation"/>
    <w:p>
      <w:pPr>
        <w:pStyle w:val="Heading3"/>
      </w:pPr>
      <w:r>
        <w:t xml:space="preserve">3. Cross‑correlation and delay estimation</w:t>
      </w:r>
    </w:p>
    <w:p>
      <w:pPr>
        <w:pStyle w:val="Compact"/>
        <w:numPr>
          <w:ilvl w:val="0"/>
          <w:numId w:val="1004"/>
        </w:numPr>
      </w:pPr>
      <w:r>
        <w:rPr>
          <w:b/>
          <w:bCs/>
        </w:rPr>
        <w:t xml:space="preserve">Cross‑correlation</w:t>
      </w:r>
      <w:r>
        <w:t xml:space="preserve">:</w:t>
      </w:r>
      <w:r>
        <w:t xml:space="preserve"> </w:t>
      </w:r>
      <w:r>
        <w:rPr>
          <w:rStyle w:val="VerbatimChar"/>
        </w:rPr>
        <w:t xml:space="preserve">compute_xcorr(point_a, point_b, *, max_lag, mode)</w:t>
      </w:r>
    </w:p>
    <w:p>
      <w:pPr>
        <w:pStyle w:val="Compact"/>
        <w:numPr>
          <w:ilvl w:val="0"/>
          <w:numId w:val="1004"/>
        </w:numPr>
      </w:pPr>
      <w:r>
        <w:t xml:space="preserve">Compute the normalized cross‑correlation function between two time series.</w:t>
      </w:r>
    </w:p>
    <w:p>
      <w:pPr>
        <w:pStyle w:val="Compact"/>
        <w:numPr>
          <w:ilvl w:val="0"/>
          <w:numId w:val="1004"/>
        </w:numPr>
      </w:pPr>
      <w:r>
        <w:t xml:space="preserve">Allow modes such as</w:t>
      </w:r>
      <w:r>
        <w:t xml:space="preserve"> </w:t>
      </w:r>
      <w:r>
        <w:rPr>
          <w:rStyle w:val="VerbatimChar"/>
        </w:rPr>
        <w:t xml:space="preserve">'full'</w:t>
      </w:r>
      <w:r>
        <w:t xml:space="preserve">,</w:t>
      </w:r>
      <w:r>
        <w:t xml:space="preserve"> </w:t>
      </w:r>
      <w:r>
        <w:rPr>
          <w:rStyle w:val="VerbatimChar"/>
        </w:rPr>
        <w:t xml:space="preserve">'same'</w:t>
      </w:r>
      <w:r>
        <w:t xml:space="preserve"> </w:t>
      </w:r>
      <w:r>
        <w:t xml:space="preserve">and return a</w:t>
      </w:r>
      <w:r>
        <w:t xml:space="preserve"> </w:t>
      </w:r>
      <w:r>
        <w:rPr>
          <w:rStyle w:val="VerbatimChar"/>
        </w:rPr>
        <w:t xml:space="preserve">TimeSeries</w:t>
      </w:r>
      <w:r>
        <w:t xml:space="preserve"> </w:t>
      </w:r>
      <w:r>
        <w:t xml:space="preserve">with lag axis.</w:t>
      </w:r>
    </w:p>
    <w:p>
      <w:pPr>
        <w:numPr>
          <w:ilvl w:val="0"/>
          <w:numId w:val="1004"/>
        </w:numPr>
      </w:pPr>
      <w:r>
        <w:t xml:space="preserve">Optionally detrend or window the signals before correlation.</w:t>
      </w:r>
    </w:p>
    <w:p>
      <w:pPr>
        <w:numPr>
          <w:ilvl w:val="0"/>
          <w:numId w:val="1004"/>
        </w:numPr>
      </w:pPr>
      <w:r>
        <w:rPr>
          <w:b/>
          <w:bCs/>
        </w:rPr>
        <w:t xml:space="preserve">Time delay map</w:t>
      </w:r>
      <w:r>
        <w:t xml:space="preserve">:</w:t>
      </w:r>
      <w:r>
        <w:t xml:space="preserve"> </w:t>
      </w:r>
      <w:r>
        <w:rPr>
          <w:rStyle w:val="VerbatimChar"/>
        </w:rPr>
        <w:t xml:space="preserve">time_delay_map(ref_point, plane, *, max_lag, stride, roi)</w:t>
      </w:r>
    </w:p>
    <w:p>
      <w:pPr>
        <w:pStyle w:val="Compact"/>
        <w:numPr>
          <w:ilvl w:val="0"/>
          <w:numId w:val="1004"/>
        </w:numPr>
      </w:pPr>
      <w:r>
        <w:t xml:space="preserve">Compute cross‑correlation between a reference point and every point on a 2D slice.</w:t>
      </w:r>
    </w:p>
    <w:p>
      <w:pPr>
        <w:pStyle w:val="Compact"/>
        <w:numPr>
          <w:ilvl w:val="0"/>
          <w:numId w:val="1004"/>
        </w:numPr>
      </w:pPr>
      <w:r>
        <w:t xml:space="preserve">Extract the lag corresponding to the maximum correlation (or absolute maximum) and store as a scalar map.</w:t>
      </w:r>
    </w:p>
    <w:p>
      <w:pPr>
        <w:pStyle w:val="Compact"/>
        <w:numPr>
          <w:ilvl w:val="0"/>
          <w:numId w:val="1004"/>
        </w:numPr>
      </w:pPr>
      <w:r>
        <w:t xml:space="preserve">Accept stride and region‑of‑interest (ROI) parameters to manage computational cost.</w:t>
      </w:r>
    </w:p>
    <w:p>
      <w:pPr>
        <w:numPr>
          <w:ilvl w:val="0"/>
          <w:numId w:val="1004"/>
        </w:numPr>
      </w:pPr>
      <w:r>
        <w:t xml:space="preserve">Return a</w:t>
      </w:r>
      <w:r>
        <w:t xml:space="preserve"> </w:t>
      </w:r>
      <w:r>
        <w:rPr>
          <w:rStyle w:val="VerbatimChar"/>
        </w:rPr>
        <w:t xml:space="preserve">Field4D</w:t>
      </w:r>
      <w:r>
        <w:t xml:space="preserve"> </w:t>
      </w:r>
      <w:r>
        <w:t xml:space="preserve">slice with the delay values.</w:t>
      </w:r>
    </w:p>
    <w:p>
      <w:pPr>
        <w:numPr>
          <w:ilvl w:val="0"/>
          <w:numId w:val="1004"/>
        </w:numPr>
      </w:pPr>
      <w:r>
        <w:rPr>
          <w:b/>
          <w:bCs/>
        </w:rPr>
        <w:t xml:space="preserve">Plot wrappers</w:t>
      </w:r>
      <w:r>
        <w:t xml:space="preserve">:</w:t>
      </w:r>
      <w:r>
        <w:t xml:space="preserve"> </w:t>
      </w:r>
      <w:r>
        <w:rPr>
          <w:rStyle w:val="VerbatimChar"/>
        </w:rPr>
        <w:t xml:space="preserve">plot_xcorr</w:t>
      </w:r>
      <w:r>
        <w:t xml:space="preserve"> </w:t>
      </w:r>
      <w:r>
        <w:t xml:space="preserve">and</w:t>
      </w:r>
      <w:r>
        <w:t xml:space="preserve"> </w:t>
      </w:r>
      <w:r>
        <w:rPr>
          <w:rStyle w:val="VerbatimChar"/>
        </w:rPr>
        <w:t xml:space="preserve">plot_delay_map</w:t>
      </w:r>
    </w:p>
    <w:p>
      <w:pPr>
        <w:pStyle w:val="Compact"/>
        <w:numPr>
          <w:ilvl w:val="0"/>
          <w:numId w:val="1004"/>
        </w:numPr>
      </w:pPr>
      <w:r>
        <w:t xml:space="preserve">Provide simple wrappers to visualize correlation functions and delay maps using Matplotlib.</w:t>
      </w:r>
    </w:p>
    <w:p>
      <w:pPr>
        <w:numPr>
          <w:ilvl w:val="0"/>
          <w:numId w:val="1004"/>
        </w:numPr>
      </w:pPr>
      <w:r>
        <w:t xml:space="preserve">Include options to annotate the peak delay and highlight significant regions.</w:t>
      </w:r>
    </w:p>
    <w:p>
      <w:pPr>
        <w:numPr>
          <w:ilvl w:val="0"/>
          <w:numId w:val="1004"/>
        </w:numPr>
      </w:pPr>
      <w:r>
        <w:rPr>
          <w:b/>
          <w:bCs/>
        </w:rPr>
        <w:t xml:space="preserve">Tests</w:t>
      </w:r>
    </w:p>
    <w:p>
      <w:pPr>
        <w:pStyle w:val="Compact"/>
        <w:numPr>
          <w:ilvl w:val="0"/>
          <w:numId w:val="1004"/>
        </w:numPr>
      </w:pPr>
      <w:r>
        <w:t xml:space="preserve">Use synthetic signals with known time shifts to verify the estimated lag.</w:t>
      </w:r>
    </w:p>
    <w:p>
      <w:pPr>
        <w:pStyle w:val="Compact"/>
        <w:numPr>
          <w:ilvl w:val="0"/>
          <w:numId w:val="1004"/>
        </w:numPr>
      </w:pPr>
      <w:r>
        <w:t xml:space="preserve">Ensure that delay maps are smooth and that stride/ROI options reduce computation without altering peak lag values.</w:t>
      </w:r>
    </w:p>
    <w:bookmarkEnd w:id="24"/>
    <w:bookmarkStart w:id="25" w:name="coherence-analysis"/>
    <w:p>
      <w:pPr>
        <w:pStyle w:val="Heading3"/>
      </w:pPr>
      <w:r>
        <w:t xml:space="preserve">4. Coherence analysis</w:t>
      </w:r>
    </w:p>
    <w:p>
      <w:pPr>
        <w:pStyle w:val="Compact"/>
        <w:numPr>
          <w:ilvl w:val="0"/>
          <w:numId w:val="1005"/>
        </w:numPr>
      </w:pPr>
      <w:r>
        <w:rPr>
          <w:b/>
          <w:bCs/>
        </w:rPr>
        <w:t xml:space="preserve">Coherence computation</w:t>
      </w:r>
      <w:r>
        <w:t xml:space="preserve">:</w:t>
      </w:r>
      <w:r>
        <w:t xml:space="preserve"> </w:t>
      </w:r>
      <w:r>
        <w:rPr>
          <w:rStyle w:val="VerbatimChar"/>
        </w:rPr>
        <w:t xml:space="preserve">coherence_map(ref_point, *, band, nperseg, noverlap, window)</w:t>
      </w:r>
    </w:p>
    <w:p>
      <w:pPr>
        <w:pStyle w:val="Compact"/>
        <w:numPr>
          <w:ilvl w:val="0"/>
          <w:numId w:val="1005"/>
        </w:numPr>
      </w:pPr>
      <w:r>
        <w:t xml:space="preserve">Compute magnitude‑squared coherence between a reference signal and signals at each spatial location across the entire 3D domain or a 2D slice.</w:t>
      </w:r>
    </w:p>
    <w:p>
      <w:pPr>
        <w:pStyle w:val="Compact"/>
        <w:numPr>
          <w:ilvl w:val="0"/>
          <w:numId w:val="1005"/>
        </w:numPr>
      </w:pPr>
      <w:r>
        <w:t xml:space="preserve">Optionally average coherence over a frequency band</w:t>
      </w:r>
      <w:r>
        <w:t xml:space="preserve"> </w:t>
      </w:r>
      <w:r>
        <w:rPr>
          <w:rStyle w:val="VerbatimChar"/>
        </w:rPr>
        <w:t xml:space="preserve">[fmin, fmax]</w:t>
      </w:r>
      <w:r>
        <w:t xml:space="preserve"> </w:t>
      </w:r>
      <w:r>
        <w:t xml:space="preserve">to obtain a single scalar value per spatial point.</w:t>
      </w:r>
    </w:p>
    <w:p>
      <w:pPr>
        <w:numPr>
          <w:ilvl w:val="0"/>
          <w:numId w:val="1005"/>
        </w:numPr>
      </w:pPr>
      <w:r>
        <w:t xml:space="preserve">Return a</w:t>
      </w:r>
      <w:r>
        <w:t xml:space="preserve"> </w:t>
      </w:r>
      <w:r>
        <w:rPr>
          <w:rStyle w:val="VerbatimChar"/>
        </w:rPr>
        <w:t xml:space="preserve">Field4D</w:t>
      </w:r>
      <w:r>
        <w:t xml:space="preserve"> </w:t>
      </w:r>
      <w:r>
        <w:t xml:space="preserve">or</w:t>
      </w:r>
      <w:r>
        <w:t xml:space="preserve"> </w:t>
      </w:r>
      <w:r>
        <w:rPr>
          <w:rStyle w:val="VerbatimChar"/>
        </w:rPr>
        <w:t xml:space="preserve">Field4DDict</w:t>
      </w:r>
      <w:r>
        <w:t xml:space="preserve"> </w:t>
      </w:r>
      <w:r>
        <w:t xml:space="preserve">depending on whether coherence is computed per band or across multiple bands.</w:t>
      </w:r>
    </w:p>
    <w:p>
      <w:pPr>
        <w:numPr>
          <w:ilvl w:val="0"/>
          <w:numId w:val="1005"/>
        </w:numPr>
      </w:pPr>
      <w:r>
        <w:rPr>
          <w:b/>
          <w:bCs/>
        </w:rPr>
        <w:t xml:space="preserve">Plot wrapper</w:t>
      </w:r>
      <w:r>
        <w:t xml:space="preserve">:</w:t>
      </w:r>
      <w:r>
        <w:t xml:space="preserve"> </w:t>
      </w:r>
      <w:r>
        <w:rPr>
          <w:rStyle w:val="VerbatimChar"/>
        </w:rPr>
        <w:t xml:space="preserve">plot_coherence_map</w:t>
      </w:r>
    </w:p>
    <w:p>
      <w:pPr>
        <w:pStyle w:val="Compact"/>
        <w:numPr>
          <w:ilvl w:val="0"/>
          <w:numId w:val="1005"/>
        </w:numPr>
      </w:pPr>
      <w:r>
        <w:t xml:space="preserve">Visualize coherence maps as 2D heatmaps.</w:t>
      </w:r>
    </w:p>
    <w:p>
      <w:pPr>
        <w:numPr>
          <w:ilvl w:val="0"/>
          <w:numId w:val="1005"/>
        </w:numPr>
      </w:pPr>
      <w:r>
        <w:t xml:space="preserve">Provide options to change the color normalization and to annotate regions of high coherence.</w:t>
      </w:r>
    </w:p>
    <w:p>
      <w:pPr>
        <w:numPr>
          <w:ilvl w:val="0"/>
          <w:numId w:val="1005"/>
        </w:numPr>
      </w:pPr>
      <w:r>
        <w:rPr>
          <w:b/>
          <w:bCs/>
        </w:rPr>
        <w:t xml:space="preserve">Tests</w:t>
      </w:r>
    </w:p>
    <w:p>
      <w:pPr>
        <w:pStyle w:val="Compact"/>
        <w:numPr>
          <w:ilvl w:val="0"/>
          <w:numId w:val="1005"/>
        </w:numPr>
      </w:pPr>
      <w:r>
        <w:t xml:space="preserve">Validate coherence computation on synthetic signals with known phase relationships.</w:t>
      </w:r>
    </w:p>
    <w:p>
      <w:pPr>
        <w:pStyle w:val="Compact"/>
        <w:numPr>
          <w:ilvl w:val="0"/>
          <w:numId w:val="1005"/>
        </w:numPr>
      </w:pPr>
      <w:r>
        <w:t xml:space="preserve">Ensure band averaging and normalization behave as expected.</w:t>
      </w:r>
    </w:p>
    <w:bookmarkEnd w:id="25"/>
    <w:bookmarkStart w:id="26" w:name="documentation-and-examples"/>
    <w:p>
      <w:pPr>
        <w:pStyle w:val="Heading3"/>
      </w:pPr>
      <w:r>
        <w:t xml:space="preserve">5. Documentation and examples</w:t>
      </w:r>
    </w:p>
    <w:p>
      <w:pPr>
        <w:pStyle w:val="Compact"/>
        <w:numPr>
          <w:ilvl w:val="0"/>
          <w:numId w:val="1006"/>
        </w:numPr>
      </w:pPr>
      <w:r>
        <w:rPr>
          <w:b/>
          <w:bCs/>
        </w:rPr>
        <w:t xml:space="preserve">Tutorial notebooks</w:t>
      </w:r>
    </w:p>
    <w:p>
      <w:pPr>
        <w:pStyle w:val="Compact"/>
        <w:numPr>
          <w:ilvl w:val="0"/>
          <w:numId w:val="1006"/>
        </w:numPr>
      </w:pPr>
      <w:r>
        <w:t xml:space="preserve">Create a new notebook</w:t>
      </w:r>
      <w:r>
        <w:t xml:space="preserve"> </w:t>
      </w:r>
      <w:r>
        <w:rPr>
          <w:rStyle w:val="VerbatimChar"/>
        </w:rPr>
        <w:t xml:space="preserve">Field4D_signal_processing.ipynb</w:t>
      </w:r>
      <w:r>
        <w:t xml:space="preserve"> </w:t>
      </w:r>
      <w:r>
        <w:t xml:space="preserve">demonstrating the PSD, frequency–space maps, cross‑correlation, delay maps and coherence analysis on the demo dataset.</w:t>
      </w:r>
    </w:p>
    <w:p>
      <w:pPr>
        <w:pStyle w:val="Compact"/>
        <w:numPr>
          <w:ilvl w:val="0"/>
          <w:numId w:val="1006"/>
        </w:numPr>
      </w:pPr>
      <w:r>
        <w:t xml:space="preserve">Include explanatory text and code cells that replicate tests and show correct usage patterns.</w:t>
      </w:r>
    </w:p>
    <w:p>
      <w:pPr>
        <w:numPr>
          <w:ilvl w:val="0"/>
          <w:numId w:val="1006"/>
        </w:numPr>
      </w:pPr>
      <w:r>
        <w:t xml:space="preserve">Use deterministic data to ensure reproducibility.</w:t>
      </w:r>
    </w:p>
    <w:p>
      <w:pPr>
        <w:numPr>
          <w:ilvl w:val="0"/>
          <w:numId w:val="1006"/>
        </w:numPr>
      </w:pPr>
      <w:r>
        <w:rPr>
          <w:b/>
          <w:bCs/>
        </w:rPr>
        <w:t xml:space="preserve">Reference documentation</w:t>
      </w:r>
    </w:p>
    <w:p>
      <w:pPr>
        <w:pStyle w:val="Compact"/>
        <w:numPr>
          <w:ilvl w:val="0"/>
          <w:numId w:val="1006"/>
        </w:numPr>
      </w:pPr>
      <w:r>
        <w:t xml:space="preserve">Write API documentation for each new method: purpose, parameters, return types, examples and notes on computational cost.</w:t>
      </w:r>
    </w:p>
    <w:p>
      <w:pPr>
        <w:pStyle w:val="Compact"/>
        <w:numPr>
          <w:ilvl w:val="0"/>
          <w:numId w:val="1006"/>
        </w:numPr>
      </w:pPr>
      <w:r>
        <w:t xml:space="preserve">Update the English and Japanese indices to include these new functions.</w:t>
      </w:r>
    </w:p>
    <w:p>
      <w:pPr>
        <w:numPr>
          <w:ilvl w:val="0"/>
          <w:numId w:val="1006"/>
        </w:numPr>
      </w:pPr>
      <w:r>
        <w:t xml:space="preserve">Highlight differences between Field4D 1D/2D plots and the new signal‑processing plots.</w:t>
      </w:r>
    </w:p>
    <w:p>
      <w:pPr>
        <w:numPr>
          <w:ilvl w:val="0"/>
          <w:numId w:val="1006"/>
        </w:numPr>
      </w:pPr>
      <w:r>
        <w:rPr>
          <w:b/>
          <w:bCs/>
        </w:rPr>
        <w:t xml:space="preserve">Examples directory</w:t>
      </w:r>
    </w:p>
    <w:p>
      <w:pPr>
        <w:pStyle w:val="Compact"/>
        <w:numPr>
          <w:ilvl w:val="0"/>
          <w:numId w:val="1006"/>
        </w:numPr>
      </w:pPr>
      <w:r>
        <w:t xml:space="preserve">Add a script in</w:t>
      </w:r>
      <w:r>
        <w:t xml:space="preserve"> </w:t>
      </w:r>
      <w:r>
        <w:rPr>
          <w:rStyle w:val="VerbatimChar"/>
        </w:rPr>
        <w:t xml:space="preserve">examples/</w:t>
      </w:r>
      <w:r>
        <w:t xml:space="preserve"> </w:t>
      </w:r>
      <w:r>
        <w:t xml:space="preserve">that generates static images of the new plots using</w:t>
      </w:r>
      <w:r>
        <w:t xml:space="preserve"> </w:t>
      </w:r>
      <w:r>
        <w:rPr>
          <w:rStyle w:val="VerbatimChar"/>
        </w:rPr>
        <w:t xml:space="preserve">matplotlib.backends.backend_agg</w:t>
      </w:r>
      <w:r>
        <w:t xml:space="preserve">, suitable for testing and demonstration.</w:t>
      </w:r>
    </w:p>
    <w:p>
      <w:pPr>
        <w:pStyle w:val="Compact"/>
        <w:numPr>
          <w:ilvl w:val="0"/>
          <w:numId w:val="1006"/>
        </w:numPr>
      </w:pPr>
      <w:r>
        <w:t xml:space="preserve">Provide command‑line options for selecting the plot type and saving the output.</w:t>
      </w:r>
    </w:p>
    <w:bookmarkEnd w:id="26"/>
    <w:bookmarkStart w:id="27" w:name="testing-and-validation"/>
    <w:p>
      <w:pPr>
        <w:pStyle w:val="Heading3"/>
      </w:pPr>
      <w:r>
        <w:t xml:space="preserve">6. Testing and validation</w:t>
      </w:r>
    </w:p>
    <w:p>
      <w:pPr>
        <w:pStyle w:val="Compact"/>
        <w:numPr>
          <w:ilvl w:val="0"/>
          <w:numId w:val="1007"/>
        </w:numPr>
      </w:pPr>
      <w:r>
        <w:rPr>
          <w:b/>
          <w:bCs/>
        </w:rPr>
        <w:t xml:space="preserve">Automated tests</w:t>
      </w:r>
    </w:p>
    <w:p>
      <w:pPr>
        <w:pStyle w:val="Compact"/>
        <w:numPr>
          <w:ilvl w:val="0"/>
          <w:numId w:val="1007"/>
        </w:numPr>
      </w:pPr>
      <w:r>
        <w:t xml:space="preserve">Expand the pytest suite to cover each new function.</w:t>
      </w:r>
    </w:p>
    <w:p>
      <w:pPr>
        <w:pStyle w:val="Compact"/>
        <w:numPr>
          <w:ilvl w:val="0"/>
          <w:numId w:val="1007"/>
        </w:numPr>
      </w:pPr>
      <w:r>
        <w:t xml:space="preserve">Include tests for edge cases (e.g. non‑uniform sampling, empty regions, zero signals).</w:t>
      </w:r>
    </w:p>
    <w:p>
      <w:pPr>
        <w:numPr>
          <w:ilvl w:val="0"/>
          <w:numId w:val="1007"/>
        </w:numPr>
      </w:pPr>
      <w:r>
        <w:t xml:space="preserve">Ensure that exceptions are raised appropriately when preconditions (like uniform sampling) are violated.</w:t>
      </w:r>
    </w:p>
    <w:p>
      <w:pPr>
        <w:numPr>
          <w:ilvl w:val="0"/>
          <w:numId w:val="1007"/>
        </w:numPr>
      </w:pPr>
      <w:r>
        <w:rPr>
          <w:b/>
          <w:bCs/>
        </w:rPr>
        <w:t xml:space="preserve">Performance considerations</w:t>
      </w:r>
    </w:p>
    <w:p>
      <w:pPr>
        <w:pStyle w:val="Compact"/>
        <w:numPr>
          <w:ilvl w:val="0"/>
          <w:numId w:val="1007"/>
        </w:numPr>
      </w:pPr>
      <w:r>
        <w:t xml:space="preserve">Profile computationally intensive functions (e.g.</w:t>
      </w:r>
      <w:r>
        <w:t xml:space="preserve"> </w:t>
      </w:r>
      <w:r>
        <w:rPr>
          <w:rStyle w:val="VerbatimChar"/>
        </w:rPr>
        <w:t xml:space="preserve">time_delay_map</w:t>
      </w:r>
      <w:r>
        <w:t xml:space="preserve"> </w:t>
      </w:r>
      <w:r>
        <w:t xml:space="preserve">and</w:t>
      </w:r>
      <w:r>
        <w:t xml:space="preserve"> </w:t>
      </w:r>
      <w:r>
        <w:rPr>
          <w:rStyle w:val="VerbatimChar"/>
        </w:rPr>
        <w:t xml:space="preserve">coherence_map</w:t>
      </w:r>
      <w:r>
        <w:t xml:space="preserve">) and implement stride/ROI options.</w:t>
      </w:r>
    </w:p>
    <w:p>
      <w:pPr>
        <w:numPr>
          <w:ilvl w:val="0"/>
          <w:numId w:val="1007"/>
        </w:numPr>
      </w:pPr>
      <w:r>
        <w:t xml:space="preserve">Benchmark typical use cases to ensure that default parameters are practical for interactive use.</w:t>
      </w:r>
    </w:p>
    <w:p>
      <w:pPr>
        <w:numPr>
          <w:ilvl w:val="0"/>
          <w:numId w:val="1007"/>
        </w:numPr>
      </w:pPr>
      <w:r>
        <w:rPr>
          <w:b/>
          <w:bCs/>
        </w:rPr>
        <w:t xml:space="preserve">Continuous integration</w:t>
      </w:r>
    </w:p>
    <w:p>
      <w:pPr>
        <w:pStyle w:val="Compact"/>
        <w:numPr>
          <w:ilvl w:val="0"/>
          <w:numId w:val="1007"/>
        </w:numPr>
      </w:pPr>
      <w:r>
        <w:t xml:space="preserve">Integrate new tests into the existing CI workflow.</w:t>
      </w:r>
    </w:p>
    <w:p>
      <w:pPr>
        <w:pStyle w:val="Compact"/>
        <w:numPr>
          <w:ilvl w:val="0"/>
          <w:numId w:val="1007"/>
        </w:numPr>
      </w:pPr>
      <w:r>
        <w:t xml:space="preserve">Verify that notebooks run end‑to‑end under CI conditions.</w:t>
      </w:r>
    </w:p>
    <w:bookmarkEnd w:id="27"/>
    <w:bookmarkEnd w:id="28"/>
    <w:bookmarkStart w:id="29" w:name="proposed-english-title"/>
    <w:p>
      <w:pPr>
        <w:pStyle w:val="Heading2"/>
      </w:pPr>
      <w:r>
        <w:t xml:space="preserve">Proposed English Title</w:t>
      </w:r>
    </w:p>
    <w:p>
      <w:pPr>
        <w:pStyle w:val="FirstParagraph"/>
      </w:pPr>
      <w:r>
        <w:rPr>
          <w:b/>
          <w:bCs/>
        </w:rPr>
        <w:t xml:space="preserve">“Signal Processing Extensions for Field4D: PSD, Correlation and Coherence Utilities”</w:t>
      </w:r>
    </w:p>
    <w:p>
      <w:pPr>
        <w:pStyle w:val="BodyText"/>
      </w:pPr>
      <w:r>
        <w:t xml:space="preserve">This title succinctly captures the essence of Phase 3: enriching Field4D with spectral and correlation analysis tools.</w:t>
      </w:r>
    </w:p>
    <w:bookmarkEnd w:id="29"/>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2026-01-21T06:11:40Z</dcterms:created>
  <dcterms:modified xsi:type="dcterms:W3CDTF">2026-01-21T06:11:40Z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