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Yu Gothic" w:hAnsi="Yu Gothic" w:eastAsia="游ゴシック"/>
          <w:b/>
          <w:color w:val="3D2F6B"/>
          <w:sz w:val="44"/>
        </w:rPr>
        <w:t>SPLL システムアーキテクチャ説明資料</w:t>
      </w:r>
    </w:p>
    <w:p>
      <w:pPr>
        <w:spacing w:after="280"/>
        <w:jc w:val="center"/>
      </w:pPr>
      <w:r>
        <w:rPr>
          <w:rFonts w:ascii="Yu Gothic" w:hAnsi="Yu Gothic" w:eastAsia="游ゴシック"/>
          <w:b w:val="0"/>
          <w:color w:val="6A6577"/>
          <w:sz w:val="26"/>
        </w:rPr>
        <w:t>（社内向け）</w:t>
      </w:r>
    </w:p>
    <w:p>
      <w:pPr>
        <w:spacing w:after="40"/>
        <w:jc w:val="center"/>
      </w:pPr>
      <w:r>
        <w:rPr>
          <w:rFonts w:ascii="Yu Gothic" w:hAnsi="Yu Gothic" w:eastAsia="游ゴシック"/>
          <w:b w:val="0"/>
          <w:color w:val="6A6577"/>
          <w:sz w:val="20"/>
        </w:rPr>
        <w:t>版：v1.0　　日付：2026年7月15日　　作成：SPLL開発チーム</w:t>
      </w:r>
    </w:p>
    <w:p>
      <w:pPr>
        <w:spacing w:after="360"/>
        <w:jc w:val="center"/>
      </w:pPr>
      <w:r>
        <w:rPr>
          <w:rFonts w:ascii="Yu Gothic" w:hAnsi="Yu Gothic" w:eastAsia="游ゴシック"/>
          <w:b w:val="0"/>
          <w:color w:val="6A6577"/>
          <w:sz w:val="18"/>
        </w:rPr>
        <w:t>関連資料：役割説明資料 v0.3／業務フロー確認資料 v0.4／修正設計書 v2.0（SPLL-SYS-RD-002）／3プロジェクト分割手順 v1.0</w:t>
      </w:r>
    </w:p>
    <w:p>
      <w:pPr>
        <w:pStyle w:val="Heading1"/>
      </w:pPr>
      <w:r>
        <w:t>1. 本資料の目的と対象</w:t>
      </w:r>
    </w:p>
    <w:p>
      <w:pPr>
        <w:spacing w:after="120"/>
      </w:pPr>
      <w:r>
        <w:rPr>
          <w:rFonts w:ascii="Yu Gothic" w:hAnsi="Yu Gothic" w:eastAsia="游ゴシック"/>
          <w:b w:val="0"/>
        </w:rPr>
        <w:t>本資料は、TRPG二次創作ライセンスプラットフォーム「SPLL」のシステム構成（アーキテクチャ）を、社内の非エンジニアにも把握できる粒度で説明するものです。業務の流れは「業務フロー確認資料 v0.4」、役割ごとの概要は「役割説明資料 v0.3」を参照してください。</w:t>
      </w:r>
    </w:p>
    <w:p>
      <w:pPr>
        <w:pStyle w:val="Heading1"/>
      </w:pPr>
      <w:r>
        <w:t>2. 全体像</w:t>
      </w:r>
    </w:p>
    <w:p>
      <w:pPr>
        <w:spacing w:after="120"/>
      </w:pPr>
      <w:r>
        <w:rPr>
          <w:rFonts w:ascii="Yu Gothic" w:hAnsi="Yu Gothic" w:eastAsia="游ゴシック"/>
          <w:b w:val="0"/>
        </w:rPr>
        <w:t>SPLLは Google Workspace（スプレッドシート・ドライブ・Apps Script）上に構築し、外部の専門サービス（電子契約・フォーム・AI）と連携します。サーバーの自前運用はありません。</w:t>
      </w:r>
    </w:p>
    <w:p>
      <w:pPr>
        <w:spacing w:after="120"/>
      </w:pPr>
      <w:r>
        <w:rPr>
          <w:rFonts w:ascii="Yu Gothic" w:hAnsi="Yu Gothic" w:eastAsia="游ゴシック"/>
          <w:b/>
        </w:rPr>
        <w:t>システム本体は、役割の異なる3つのアプリケーション（GASプロジェクト）に物理的に分離しています。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システム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役割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公開範囲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含まれない機能（分離の要点）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① 公開ポータル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原作の検索・複数選択、同意取得、申込作成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sz w:val="19"/>
              </w:rPr>
              <w:t>誰でも（匿名可）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管理機能・Webhook処理・トークン発行・外部API鍵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② 業務処理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電子契約Webhook受信、作品提出・AI一次審査、売上報告、バッジ配信、検証ポータル、自動バッチ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sz w:val="19"/>
              </w:rPr>
              <w:t>匿名可（トークン・署名検証で防御)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管理機能・初期セットアップ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③ 管理コンソール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審査・契約・入金・清算・マスタ・権限・法務文書の管理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sz w:val="19"/>
              </w:rPr>
              <w:t>事務局限定（ロール別権限）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Webhook受信・匿名向け処理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Yu Gothic" w:hAnsi="Yu Gothic" w:eastAsia="游ゴシック"/>
          <w:b w:val="0"/>
        </w:rPr>
        <w:t>3つのシステムは同じ「業務台帳（スプレッドシート）」と「保管庫（ドライブ）」を共有し、それぞれの権限で読み書きします。コードの正本は1つのGitリポジトリで管理し、ビルド工程が各システムへ必要な機能だけを自動配布します（公開面に管理機能や秘密情報が物理的に存在しない構成）。</w:t>
      </w:r>
    </w:p>
    <w:p>
      <w:pPr>
        <w:pStyle w:val="Heading1"/>
      </w:pPr>
      <w:r>
        <w:t>3. 外部サービス連携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サービス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用途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備考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クラウドサインフォーム（powered by formrun）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申込者情報の取得・同意・契約導線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当社はメールアドレスを保持しない方針の要。回答受領はWebhookで自動記録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CloudSign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電子契約の締結、締結通知（Webhook）、計算書（仕入明細書）の送付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本番では締結通知の真正性をAPI照会で必ず確認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Vertex AI Gemini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提出作品のAI一次スクリーニング（複数原作対応）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判定は目安。最終判断は必ず人手。停止時も提出は人手審査へ自動回送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X（Twitter）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原作公開の告知投稿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自動送信はしない。担当者の承認ポップアップを経て送信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sz w:val="19"/>
              </w:rPr>
              <w:t>QR画像生成（quickchart.io）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認証バッジ内の検証QRコード描画</w:t>
            </w:r>
          </w:p>
        </w:tc>
        <w:tc>
          <w:tcPr>
            <w:tcW w:type="dxa" w:w="3628"/>
          </w:tcPr>
          <w:p>
            <w:r/>
            <w:r>
              <w:rPr>
                <w:rFonts w:ascii="Yu Gothic" w:hAnsi="Yu Gothic" w:eastAsia="游ゴシック"/>
                <w:sz w:val="19"/>
              </w:rPr>
              <w:t>設定で差し替え可能</w:t>
            </w:r>
          </w:p>
        </w:tc>
      </w:tr>
    </w:tbl>
    <w:p>
      <w:pPr>
        <w:spacing w:after="40"/>
      </w:pPr>
    </w:p>
    <w:p>
      <w:pPr>
        <w:pStyle w:val="Heading1"/>
      </w:pPr>
      <w:r>
        <w:t>4. データ管理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業務台帳（スプレッドシート）が業務の単一の正本。全ての状態変更を Events（監査ログ）に追記し、後から誰が・いつ・何をしたかを追跡可能。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提出原本・AIの生レスポンス・発行済み計算書・署名済み契約PDFは上書きせずドライブに保全。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契約時に対象原作・料率・パートナー情報（名称・適格請求書番号・配分方式）をスナップショット。マスタの事後変更が過去の契約・清算に影響しない。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スキーマ（台帳の列構成）は版管理し、更新時は移行処理（setup_migrate）が不足列を自動追加。実行履歴も台帳に記録。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秘密情報（API鍵・Webhook鍵・署名鍵）はコードに書かず、各プロジェクトのScriptPropertiesで管理。</w:t>
      </w:r>
    </w:p>
    <w:p>
      <w:pPr>
        <w:pStyle w:val="Heading1"/>
      </w:pPr>
      <w:r>
        <w:t>5. セキュリティ設計（修正設計書v2.0 反映済み）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領域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対策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効果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権限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ロール別権限（RBAC）：システム管理／法務／運営／経理／監査の5ロール。全ての管理機能でサーバー側強制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担当外の操作・なりすましを遮断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職務分離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認証の失効・再有効化など重要操作は「申請→別担当者の承認」で適用。本人承認は緊急理由必須＋監査記録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誤操作・単独不正の防止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外部連携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Webhookは共有鍵の照合＋受信台帳記録＋自動再試行。本番はCloudSign APIへの真正性照会必須。突合不能は手動確認キューへ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偽装通知・取りこぼし・二重処理の防止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改ざん検知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フォームへ引き継ぐ隠し項目にHMAC署名。受信時に照合し、不一致は自動処理せず保留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引継ぎデータの改ざん検出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同意証跡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同意文書は版管理（下書き→公開）。申込時に文書の版・セッション・表示内容ハッシュを記録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「いつ・どの文面に同意したか」を立証可能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アクセス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提出・報告・バッジ取得は用途別トークン（期限・回数付き）。照合コードは暗号学的乱数・台帳はハッシュのみ保存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リンク拡散・総当たり・漏えい対策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バッジ配信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ドライブ共有リンクを廃止し、トークン検証後に本人へ直接配信。再有効化時は旧QRバッジを自動差し替え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第三者取得・旧バッジ残存の防止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入力防御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提出ファイルはサーバー側でファイル形式・実体（マジックバイト）を検証。AI出力は全て無害化して保存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不正ファイル・数式インジェクション対策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環境分離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development／staging／production を明示必須（未設定は起動停止）。本番はフェイルクローズ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設定漏れによる事故の防止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sz w:val="19"/>
              </w:rPr>
              <w:t>お金</w:t>
            </w:r>
          </w:p>
        </w:tc>
        <w:tc>
          <w:tcPr>
            <w:tcW w:type="dxa" w:w="4876"/>
          </w:tcPr>
          <w:p>
            <w:r/>
            <w:r>
              <w:rPr>
                <w:rFonts w:ascii="Yu Gothic" w:hAnsi="Yu Gothic" w:eastAsia="游ゴシック"/>
                <w:sz w:val="19"/>
              </w:rPr>
              <w:t>入金は累計消込（一部入金・過入金検出）。取消は理由必須。計算書送信は送信IDで冪等化</w:t>
            </w:r>
          </w:p>
        </w:tc>
        <w:tc>
          <w:tcPr>
            <w:tcW w:type="dxa" w:w="3515"/>
          </w:tcPr>
          <w:p>
            <w:r/>
            <w:r>
              <w:rPr>
                <w:rFonts w:ascii="Yu Gothic" w:hAnsi="Yu Gothic" w:eastAsia="游ゴシック"/>
                <w:sz w:val="19"/>
              </w:rPr>
              <w:t>会計事故・二重送信の防止</w:t>
            </w:r>
          </w:p>
        </w:tc>
      </w:tr>
    </w:tbl>
    <w:p>
      <w:pPr>
        <w:spacing w:after="40"/>
      </w:pPr>
    </w:p>
    <w:p>
      <w:pPr>
        <w:pStyle w:val="Heading1"/>
      </w:pPr>
      <w:r>
        <w:t>6. 業務フロー（エンドツーエンド）</w:t>
      </w:r>
    </w:p>
    <w:p>
      <w:pPr>
        <w:spacing w:after="120"/>
      </w:pPr>
      <w:r>
        <w:rPr>
          <w:rFonts w:ascii="Yu Gothic" w:hAnsi="Yu Gothic" w:eastAsia="游ゴシック"/>
          <w:b w:val="0"/>
        </w:rPr>
        <w:t>カスタマー（申込者）と社内担当者、それぞれの視点のレーン図です。より詳細な工程・台帳との対応は「業務フロー確認資料 v0.4」を参照してください。</w:t>
      </w:r>
    </w:p>
    <w:p>
      <w:pPr>
        <w:pStyle w:val="Heading2"/>
      </w:pPr>
      <w:r>
        <w:t>6.1 カスタマー（申込者）の流れ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3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e_custo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游ゴシック"/>
          <w:b w:val="0"/>
          <w:color w:val="6A6577"/>
          <w:sz w:val="18"/>
        </w:rPr>
        <w:t>図1：カスタマーの流れ（申込 → 契約 → バッジ受取 → 提出 → 報告・支払）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1. 公開ポータルで原作を複数選択し、同意のうえ申込（申込番号 application_ref を発行）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2. クラウドサインフォームで申込者情報を入力（申込内容は自動引継ぎ・改ざん検知つき）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3. CloudSignで電子契約に署名（メールアドレスは当社非保持）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4. 締結をシステムが自動処理：契約登録・認証／バッジ発行・提出／報告リンクの準備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5. 提出ページのリンクからバッジを受取（トークン検証つき）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6. 作品を提出（締結後・再提出は版管理）→ AI一次チェック → 事務局の最終判断。是正依頼があれば対応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7. 販売開始。半期ごとに売上を報告し、許諾料を支払 → 清算を経て原作者へ還元</w:t>
      </w:r>
    </w:p>
    <w:p>
      <w:pPr>
        <w:pStyle w:val="Heading2"/>
      </w:pPr>
      <w:r>
        <w:t>6.2 社内担当者の流れ（ロール別）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57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e_sta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57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游ゴシック"/>
          <w:b w:val="0"/>
          <w:color w:val="6A6577"/>
          <w:sz w:val="18"/>
        </w:rPr>
        <w:t>図2：社内担当者の流れ（システム＝自動／運営／法務／経理）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運営（OPERATIONS）：原作の公開・X告知の承認、未紐付け締結の手動紐付け、利用者への案内、認証変更の申請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法務（LEGAL_ADMIN）：作品の最終判断（承認／是正／上申）、認証変更申請の承認・却下（申請者と別の担当者）、計算書の承認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経理（ACCOUNTING）：利用報告の確認・承認、入金の記録・消込、計算書の送付・確定・配分支払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システム（自動）：AI一次チェック、未紐付け検知、期限督促（審査SLA・報告期限）、請求自動起票、計算書ドラフト生成</w:t>
      </w:r>
    </w:p>
    <w:p>
      <w:pPr>
        <w:pStyle w:val="Heading1"/>
      </w:pPr>
      <w:r>
        <w:t>7. 認証マーク（認証バッジ）のイメージ</w:t>
      </w:r>
    </w:p>
    <w:p>
      <w:pPr>
        <w:spacing w:after="120"/>
      </w:pPr>
      <w:r>
        <w:rPr>
          <w:rFonts w:ascii="Yu Gothic" w:hAnsi="Yu Gothic" w:eastAsia="游ゴシック"/>
          <w:b w:val="0"/>
        </w:rPr>
        <w:t>契約締結と同時に自動発行される認証マークのデザインモックです。右下のQRコードは検証ポータルへつながり、第三者（購入者・イベント主催者等）が「本物か・今も有効か」をその場で確認できます。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ge_m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游ゴシック"/>
          <w:b w:val="0"/>
          <w:color w:val="6A6577"/>
          <w:sz w:val="18"/>
        </w:rPr>
        <w:t>図3：認証マーク モックアップ（QRコード＝ライセンスID＋照合コードで検証ポータルへ）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77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ge_siz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hAnsi="Yu Gothic" w:eastAsia="游ゴシック"/>
          <w:b w:val="0"/>
          <w:color w:val="6A6577"/>
          <w:sz w:val="18"/>
        </w:rPr>
        <w:t>図4：PNG 3サイズで自動生成・配布（大＝告知バナー／中＝商品ページ／小＝奥付・SNS）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配布はDrive共有リンクを使わず、トークン検証を通過した本人にだけシステムが直接配信します。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照合コードは12桁の暗号学的乱数。台帳にはハッシュのみ保存し、失効・再有効化時は旧QR入りバッジを自動差し替え。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本画像はデザイン検討用モックです。意匠・ロゴ・掲載情報・使用条件は要決定事項（チェックリスト C-14）。</w:t>
      </w:r>
    </w:p>
    <w:p>
      <w:pPr>
        <w:pStyle w:val="Heading1"/>
      </w:pPr>
      <w:r>
        <w:t>8. 開発・品質・デプロイ体制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コードはGitHubで版管理（正本）。変更のたびに自動テスト215件（業務フロー194＋分離検査21）を全件実行。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ビルドが3システムへ必要ファイルだけを配布し、「公開面に管理機能・秘密情報が混入していないこと」を機械検査。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デプロイはコマンド1つ（npm run push:all）で3システムへ反映。公開URLへの反映は新バージョン作成で制御。</w:t>
      </w:r>
    </w:p>
    <w:p>
      <w:pPr>
        <w:pStyle w:val="ListBullet"/>
        <w:ind w:left="340"/>
      </w:pPr>
      <w:r>
        <w:rPr>
          <w:rFonts w:ascii="Yu Gothic" w:hAnsi="Yu Gothic" w:eastAsia="游ゴシック"/>
        </w:rPr>
        <w:t>AI・Webhook・バッジ発行の失敗は自動再試行（5分毎バッチ）。期限超過（審査SLA・報告期限）は自動検知して督促起票。</w:t>
      </w:r>
    </w:p>
    <w:p>
      <w:pPr>
        <w:pStyle w:val="Heading1"/>
      </w:pPr>
      <w:r>
        <w:t>9. 現在の状況と残作業（2026年7月15日時点）</w:t>
      </w:r>
    </w:p>
    <w:p>
      <w:pPr>
        <w:spacing w:after="120"/>
      </w:pPr>
      <w:r>
        <w:rPr>
          <w:rFonts w:ascii="Yu Gothic" w:hAnsi="Yu Gothic" w:eastAsia="游ゴシック"/>
          <w:b/>
        </w:rPr>
        <w:t>実装は修正設計書v2.0のP0（最優先12項目）・P1（高優先5項目）まで完了。本番と同じ3システム構成の試験環境が稼働中です。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残作業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状態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游ゴシック"/>
                <w:sz w:val="19"/>
              </w:rPr>
              <w:t>試験環境の最終調整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sz w:val="19"/>
              </w:rPr>
              <w:t>管理画面への切替ボタン設定 ほか軽微な設定</w:t>
            </w:r>
          </w:p>
        </w:tc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対応中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游ゴシック"/>
                <w:sz w:val="19"/>
              </w:rPr>
              <w:t>クラウドサインフォーム構築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sz w:val="19"/>
              </w:rPr>
              <w:t>項目設計書v1.0に沿ったフォーム作成とWebhook接続</w:t>
            </w:r>
          </w:p>
        </w:tc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未着手（設計済み）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游ゴシック"/>
                <w:sz w:val="19"/>
              </w:rPr>
              <w:t>ステージング統合テスト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sz w:val="19"/>
              </w:rPr>
              <w:t>申込〜清算の15シナリオ（異常系含む）を実環境で検証</w:t>
            </w:r>
          </w:p>
        </w:tc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未着手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游ゴシック"/>
                <w:sz w:val="19"/>
              </w:rPr>
              <w:t>運用ダッシュボード・手順書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sz w:val="19"/>
              </w:rPr>
              <w:t>監視画面と運用マニュアル（P2）</w:t>
            </w:r>
          </w:p>
        </w:tc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未着手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Yu Gothic" w:hAnsi="Yu Gothic" w:eastAsia="游ゴシック"/>
                <w:sz w:val="19"/>
              </w:rPr>
              <w:t>本番切替</w:t>
            </w:r>
          </w:p>
        </w:tc>
        <w:tc>
          <w:tcPr>
            <w:tcW w:type="dxa" w:w="5102"/>
          </w:tcPr>
          <w:p>
            <w:r/>
            <w:r>
              <w:rPr>
                <w:rFonts w:ascii="Yu Gothic" w:hAnsi="Yu Gothic" w:eastAsia="游ゴシック"/>
                <w:sz w:val="19"/>
              </w:rPr>
              <w:t>production設定・CloudSign本番接続・リリース判定</w:t>
            </w:r>
          </w:p>
        </w:tc>
        <w:tc>
          <w:tcPr>
            <w:tcW w:type="dxa" w:w="1814"/>
          </w:tcPr>
          <w:p>
            <w:r/>
            <w:r>
              <w:rPr>
                <w:rFonts w:ascii="Yu Gothic" w:hAnsi="Yu Gothic" w:eastAsia="游ゴシック"/>
                <w:sz w:val="19"/>
              </w:rPr>
              <w:t>統合テスト後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Yu Gothic" w:hAnsi="Yu Gothic" w:eastAsia="游ゴシック"/>
          <w:b w:val="0"/>
        </w:rPr>
        <w:t>あわせて、料率・事務手数料・締め日・同意文/規約の法務確定・バッジデザイン等の業務決定事項が残っています（業務フロー確認資料 v0.4 §9 チェックリスト参照）。</w:t>
      </w:r>
    </w:p>
    <w:p>
      <w:pPr>
        <w:spacing w:after="40"/>
      </w:pPr>
      <w:r>
        <w:rPr>
          <w:rFonts w:ascii="Yu Gothic" w:hAnsi="Yu Gothic" w:eastAsia="游ゴシック"/>
          <w:b w:val="0"/>
        </w:rPr>
      </w:r>
    </w:p>
    <w:p>
      <w:pPr>
        <w:spacing w:after="120"/>
        <w:jc w:val="right"/>
      </w:pPr>
      <w:r>
        <w:rPr>
          <w:rFonts w:ascii="Yu Gothic" w:hAnsi="Yu Gothic" w:eastAsia="游ゴシック"/>
          <w:b w:val="0"/>
          <w:color w:val="6A6577"/>
        </w:rPr>
        <w:t>以上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3D2F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3D2F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3D2F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