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00"/>
        <w:jc w:val="left"/>
      </w:pPr>
      <w:r>
        <w:rPr>
          <w:rFonts w:ascii="Georgia" w:cs="Georgia" w:eastAsia="Georgia" w:hAnsi="Georgia"/>
          <w:b/>
          <w:bCs/>
          <w:color w:val="0A0A0A"/>
          <w:sz w:val="72"/>
          <w:szCs w:val="72"/>
        </w:rPr>
        <w:t xml:space="preserve">arq.</w:t>
      </w:r>
      <w:r>
        <w:rPr>
          <w:sz w:val="72"/>
          <w:szCs w:val="72"/>
        </w:rPr>
        <w:t xml:space="preserve">  </w:t>
      </w:r>
    </w:p>
    <w:p>
      <w:pPr>
        <w:pBdr>
          <w:bottom w:val="single" w:color="C9A050" w:sz="8" w:space="1"/>
        </w:pBdr>
        <w:spacing w:after="400"/>
      </w:pPr>
    </w:p>
    <w:p>
      <w:pPr>
        <w:spacing w:after="200"/>
      </w:pPr>
    </w:p>
    <w:p>
      <w:pPr>
        <w:spacing w:after="80"/>
      </w:pPr>
      <w:r>
        <w:rPr>
          <w:rFonts w:ascii="Arial" w:cs="Arial" w:eastAsia="Arial" w:hAnsi="Arial"/>
          <w:b/>
          <w:bCs/>
          <w:color w:val="0A0A0A"/>
          <w:spacing w:val="80"/>
          <w:sz w:val="52"/>
          <w:szCs w:val="52"/>
        </w:rPr>
        <w:t xml:space="preserve">THE $100M PLAYBOOK</w:t>
      </w:r>
    </w:p>
    <w:p>
      <w:pPr>
        <w:spacing w:after="200"/>
      </w:pPr>
      <w:r>
        <w:rPr>
          <w:rFonts w:ascii="Arial" w:cs="Arial" w:eastAsia="Arial" w:hAnsi="Arial"/>
          <w:color w:val="666666"/>
          <w:sz w:val="32"/>
          <w:szCs w:val="32"/>
        </w:rPr>
        <w:t xml:space="preserve">From Zero to ₹840 Crore Exit</w:t>
      </w:r>
    </w:p>
    <w:p>
      <w:pPr>
        <w:spacing w:after="100"/>
      </w:pPr>
    </w:p>
    <w:p>
      <w:pPr>
        <w:spacing w:after="200"/>
      </w:pPr>
      <w:r>
        <w:rPr>
          <w:rFonts w:ascii="Arial" w:cs="Arial" w:eastAsia="Arial" w:hAnsi="Arial"/>
          <w:i/>
          <w:iCs/>
          <w:color w:val="555555"/>
          <w:sz w:val="24"/>
          <w:szCs w:val="24"/>
        </w:rPr>
        <w:t xml:space="preserve">A capital-efficient fundraising and growth strategy for building India’s first prescription biohacking platform into a $100M+ acquisition target within 36–48 months.</w:t>
      </w:r>
    </w:p>
    <w:p>
      <w:pPr>
        <w:spacing w:after="600"/>
      </w:pPr>
    </w:p>
    <w:p>
      <w:r>
        <w:rPr>
          <w:rFonts w:ascii="Arial" w:cs="Arial" w:eastAsia="Arial" w:hAnsi="Arial"/>
          <w:b/>
          <w:bCs/>
          <w:color w:val="C9A050"/>
          <w:spacing w:val="120"/>
          <w:sz w:val="18"/>
          <w:szCs w:val="18"/>
        </w:rPr>
        <w:t xml:space="preserve">CONFIDENTIAL</w:t>
      </w:r>
    </w:p>
    <w:p>
      <w:r>
        <w:rPr>
          <w:rFonts w:ascii="Arial" w:cs="Arial" w:eastAsia="Arial" w:hAnsi="Arial"/>
          <w:color w:val="999999"/>
          <w:sz w:val="18"/>
          <w:szCs w:val="18"/>
        </w:rPr>
        <w:t xml:space="preserve">Dear One Technologies Pvt. Ltd. · April 2026</w:t>
      </w:r>
    </w:p>
    <w:p>
      <w:pPr>
        <w:sectPr>
          <w:pgSz w:w="12240" w:h="15840" w:orient="portrait"/>
          <w:pgMar w:top="1440" w:right="1440" w:bottom="1440" w:left="1440" w:header="708" w:footer="708" w:gutter="0"/>
          <w:pgNumType/>
          <w:docGrid w:linePitch="360"/>
        </w:sectPr>
      </w:pPr>
    </w:p>
    <w:p>
      <w:pPr>
        <w:pStyle w:val="Heading1"/>
      </w:pPr>
      <w:r>
        <w:t xml:space="preserve">The Thesis</w:t>
      </w:r>
    </w:p>
    <w:p>
      <w:pPr>
        <w:pBdr>
          <w:bottom w:val="single" w:color="C9A050" w:sz="6" w:space="1"/>
        </w:pBdr>
        <w:spacing w:after="300"/>
      </w:pPr>
    </w:p>
    <w:p>
      <w:pPr>
        <w:spacing w:after="200"/>
      </w:pPr>
      <w:r>
        <w:rPr>
          <w:rFonts w:ascii="Arial" w:cs="Arial" w:eastAsia="Arial" w:hAnsi="Arial"/>
          <w:b/>
          <w:bCs/>
          <w:color w:val="333333"/>
          <w:sz w:val="24"/>
          <w:szCs w:val="24"/>
        </w:rPr>
        <w:t xml:space="preserve">arq is Hims &amp; Hers for India.</w:t>
      </w:r>
      <w:r>
        <w:rPr>
          <w:rFonts w:ascii="Arial" w:cs="Arial" w:eastAsia="Arial" w:hAnsi="Arial"/>
          <w:color w:val="333333"/>
          <w:sz w:val="24"/>
          <w:szCs w:val="24"/>
        </w:rPr>
        <w:t xml:space="preserve"> Same model. Same categories. Same prescription-first approach. But in a market 4x the population with zero established competition in the prescription biohacking category.</w:t>
      </w:r>
    </w:p>
    <w:p>
      <w:pPr>
        <w:spacing w:after="100"/>
      </w:pPr>
    </w:p>
    <w:p>
      <w:pPr>
        <w:spacing w:after="200"/>
      </w:pPr>
      <w:r>
        <w:rPr>
          <w:b/>
          <w:bCs/>
          <w:color w:val="C9A050"/>
          <w:spacing w:val="80"/>
          <w:sz w:val="18"/>
          <w:szCs w:val="18"/>
        </w:rPr>
        <w:t xml:space="preserve">GLOBAL COMPARABLE COMPANIES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2360"/>
      </w:tblGrid>
      <w:tr>
        <w:tc>
          <w:tcPr>
            <w:tcW w:type="dxa" w:w="22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16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FFFFFF"/>
                <w:sz w:val="20"/>
                <w:szCs w:val="20"/>
              </w:rPr>
              <w:t xml:space="preserve">Revenue</w:t>
            </w:r>
          </w:p>
        </w:tc>
        <w:tc>
          <w:tcPr>
            <w:tcW w:type="dxa" w:w="16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FFFFFF"/>
                <w:sz w:val="20"/>
                <w:szCs w:val="20"/>
              </w:rPr>
              <w:t xml:space="preserve">Valuation</w:t>
            </w:r>
          </w:p>
        </w:tc>
        <w:tc>
          <w:tcPr>
            <w:tcW w:type="dxa" w:w="16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FFFFFF"/>
                <w:sz w:val="20"/>
                <w:szCs w:val="20"/>
              </w:rPr>
              <w:t xml:space="preserve">Multiple</w:t>
            </w:r>
          </w:p>
        </w:tc>
        <w:tc>
          <w:tcPr>
            <w:tcW w:type="dxa" w:w="236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FFFFFF"/>
                <w:sz w:val="20"/>
                <w:szCs w:val="20"/>
              </w:rPr>
              <w:t xml:space="preserve">Model</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333333"/>
                <w:sz w:val="20"/>
                <w:szCs w:val="20"/>
              </w:rPr>
              <w:t xml:space="preserve">Hims &amp; Hers (US)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$2.3B</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$5.2B mkt cap</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~2.2x</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Rx telehealth, D2C</w:t>
            </w:r>
          </w:p>
        </w:tc>
      </w:tr>
      <w:tr>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b/>
                <w:bCs/>
                <w:color w:val="333333"/>
                <w:sz w:val="20"/>
                <w:szCs w:val="20"/>
              </w:rPr>
              <w:t xml:space="preserve">Ro (US)</w:t>
            </w:r>
          </w:p>
        </w:tc>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333333"/>
                <w:sz w:val="20"/>
                <w:szCs w:val="20"/>
              </w:rPr>
              <w:t xml:space="preserve">~$500M est.</w:t>
            </w:r>
          </w:p>
        </w:tc>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333333"/>
                <w:sz w:val="20"/>
                <w:szCs w:val="20"/>
              </w:rPr>
              <w:t xml:space="preserve">$7B (2022)</w:t>
            </w:r>
          </w:p>
        </w:tc>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333333"/>
                <w:sz w:val="20"/>
                <w:szCs w:val="20"/>
              </w:rPr>
              <w:t xml:space="preserve">~14x</w:t>
            </w:r>
          </w:p>
        </w:tc>
        <w:tc>
          <w:tcPr>
            <w:tcW w:type="dxa" w:w="23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333333"/>
                <w:sz w:val="20"/>
                <w:szCs w:val="20"/>
              </w:rPr>
              <w:t xml:space="preserve">Rx telehealth, pharmacy</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333333"/>
                <w:sz w:val="20"/>
                <w:szCs w:val="20"/>
              </w:rPr>
              <w:t xml:space="preserve">Mosaic / Man Matters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₹736 Cr</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$400M</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~4.4x</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D2C health, OTC</w:t>
            </w:r>
          </w:p>
        </w:tc>
      </w:tr>
      <w:tr>
        <w:tc>
          <w:tcPr>
            <w:tcW w:type="dxa" w:w="2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b/>
                <w:bCs/>
                <w:color w:val="333333"/>
                <w:sz w:val="20"/>
                <w:szCs w:val="20"/>
              </w:rPr>
              <w:t xml:space="preserve">Wellbeing Nutrition</w:t>
            </w:r>
          </w:p>
        </w:tc>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333333"/>
                <w:sz w:val="20"/>
                <w:szCs w:val="20"/>
              </w:rPr>
              <w:t xml:space="preserve">₹170 Cr</w:t>
            </w:r>
          </w:p>
        </w:tc>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333333"/>
                <w:sz w:val="20"/>
                <w:szCs w:val="20"/>
              </w:rPr>
              <w:t xml:space="preserve">₹1,583 Cr</w:t>
            </w:r>
          </w:p>
        </w:tc>
        <w:tc>
          <w:tcPr>
            <w:tcW w:type="dxa" w:w="1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333333"/>
                <w:sz w:val="20"/>
                <w:szCs w:val="20"/>
              </w:rPr>
              <w:t xml:space="preserve">9.3x</w:t>
            </w:r>
          </w:p>
        </w:tc>
        <w:tc>
          <w:tcPr>
            <w:tcW w:type="dxa" w:w="23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333333"/>
                <w:sz w:val="20"/>
                <w:szCs w:val="20"/>
              </w:rPr>
              <w:t xml:space="preserve">D2C supplements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333333"/>
                <w:sz w:val="20"/>
                <w:szCs w:val="20"/>
              </w:rPr>
              <w:t xml:space="preserve">arq. (target)</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₹140 Cr</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₹840 Cr</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6x</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Rx biohacking, D2C</w:t>
            </w:r>
          </w:p>
        </w:tc>
      </w:tr>
    </w:tbl>
    <w:p>
      <w:pPr>
        <w:spacing w:after="200"/>
      </w:pPr>
    </w:p>
    <w:p>
      <w:pPr>
        <w:spacing w:after="200"/>
      </w:pPr>
      <w:r>
        <w:rPr>
          <w:rFonts w:ascii="Arial" w:cs="Arial" w:eastAsia="Arial" w:hAnsi="Arial"/>
          <w:b/>
          <w:bCs/>
          <w:color w:val="333333"/>
          <w:sz w:val="22"/>
          <w:szCs w:val="22"/>
        </w:rPr>
        <w:t xml:space="preserve">Key insight: </w:t>
      </w:r>
      <w:r>
        <w:rPr>
          <w:rFonts w:ascii="Arial" w:cs="Arial" w:eastAsia="Arial" w:hAnsi="Arial"/>
          <w:color w:val="333333"/>
          <w:sz w:val="22"/>
          <w:szCs w:val="22"/>
        </w:rPr>
        <w:t xml:space="preserve">arq commands a higher multiple than Man Matters (OTC products, no prescription moat) but a lower multiple than Ro (full pharmacy infrastructure). The 6–9x range is realistic for a high-growth Rx platform with recurring revenue and a regulatory moat. A strategic pharma acquirer (USV, Cipla, Mankind, Torrent) pays 8–10x for the D2C prescription channel they can’t build themselves.</w:t>
      </w:r>
    </w:p>
    <w:p>
      <w:r>
        <w:br w:type="page"/>
      </w:r>
    </w:p>
    <w:p>
      <w:pPr>
        <w:pStyle w:val="Heading1"/>
      </w:pPr>
      <w:r>
        <w:t xml:space="preserve">Why This Works in India</w:t>
      </w:r>
    </w:p>
    <w:p>
      <w:pPr>
        <w:pBdr>
          <w:bottom w:val="single" w:color="C9A050" w:sz="6" w:space="1"/>
        </w:pBdr>
        <w:spacing w:after="300"/>
      </w:pPr>
    </w:p>
    <w:p>
      <w:pPr>
        <w:spacing w:after="200"/>
      </w:pPr>
      <w:r>
        <w:rPr>
          <w:rFonts w:ascii="Arial" w:cs="Arial" w:eastAsia="Arial" w:hAnsi="Arial"/>
          <w:b/>
          <w:bCs/>
          <w:color w:val="333333"/>
          <w:sz w:val="22"/>
          <w:szCs w:val="22"/>
        </w:rPr>
        <w:t xml:space="preserve">The Indian prescription health market has a structural gap.</w:t>
      </w:r>
      <w:r>
        <w:rPr>
          <w:rFonts w:ascii="Arial" w:cs="Arial" w:eastAsia="Arial" w:hAnsi="Arial"/>
          <w:color w:val="333333"/>
          <w:sz w:val="22"/>
          <w:szCs w:val="22"/>
        </w:rPr>
        <w:t xml:space="preserve"> There are supplement brands (Man Matters), e-pharmacies (PharmEasy, Netmeds), and teleconsultation platforms (Practo). But nobody is doing what Hims does: combining the prescription, the doctor, the medication, and the delivery into a single monthly protocol.</w:t>
      </w:r>
    </w:p>
    <w:p>
      <w:pPr>
        <w:pStyle w:val="Heading2"/>
      </w:pPr>
      <w:r>
        <w:t xml:space="preserve">The Moat Stack</w:t>
      </w:r>
    </w:p>
    <w:p>
      <w:pPr>
        <w:pStyle w:val="ListParagraph"/>
        <w:numPr>
          <w:ilvl w:val="0"/>
          <w:numId w:val="2"/>
        </w:numPr>
        <w:spacing w:after="160"/>
      </w:pPr>
      <w:r>
        <w:rPr>
          <w:rFonts w:ascii="Arial" w:cs="Arial" w:eastAsia="Arial" w:hAnsi="Arial"/>
          <w:b/>
          <w:bCs/>
          <w:sz w:val="22"/>
          <w:szCs w:val="22"/>
        </w:rPr>
        <w:t xml:space="preserve">Regulatory moat. </w:t>
      </w:r>
      <w:r>
        <w:rPr>
          <w:rFonts w:ascii="Arial" w:cs="Arial" w:eastAsia="Arial" w:hAnsi="Arial"/>
          <w:sz w:val="22"/>
          <w:szCs w:val="22"/>
        </w:rPr>
        <w:t xml:space="preserve">Schedule H prescriptions require a licensed physician. Post-purchase teleconsultation is legal under 2020 Telemedicine Practice Guidelines, but operationally complex. 18+ month head start on any competitor.</w:t>
      </w:r>
    </w:p>
    <w:p>
      <w:pPr>
        <w:pStyle w:val="ListParagraph"/>
        <w:numPr>
          <w:ilvl w:val="0"/>
          <w:numId w:val="2"/>
        </w:numPr>
        <w:spacing w:after="160"/>
      </w:pPr>
      <w:r>
        <w:rPr>
          <w:rFonts w:ascii="Arial" w:cs="Arial" w:eastAsia="Arial" w:hAnsi="Arial"/>
          <w:b/>
          <w:bCs/>
          <w:sz w:val="22"/>
          <w:szCs w:val="22"/>
        </w:rPr>
        <w:t xml:space="preserve">Category creation moat. </w:t>
      </w:r>
      <w:r>
        <w:rPr>
          <w:rFonts w:ascii="Arial" w:cs="Arial" w:eastAsia="Arial" w:hAnsi="Arial"/>
          <w:sz w:val="22"/>
          <w:szCs w:val="22"/>
        </w:rPr>
        <w:t xml:space="preserve">"Prescription biohacking" doesn’t exist as a category in India. arq defines it. First-mover captures SEO authority, brand association, and doctor network density.</w:t>
      </w:r>
    </w:p>
    <w:p>
      <w:pPr>
        <w:pStyle w:val="ListParagraph"/>
        <w:numPr>
          <w:ilvl w:val="0"/>
          <w:numId w:val="2"/>
        </w:numPr>
        <w:spacing w:after="160"/>
      </w:pPr>
      <w:r>
        <w:rPr>
          <w:rFonts w:ascii="Arial" w:cs="Arial" w:eastAsia="Arial" w:hAnsi="Arial"/>
          <w:b/>
          <w:bCs/>
          <w:sz w:val="22"/>
          <w:szCs w:val="22"/>
        </w:rPr>
        <w:t xml:space="preserve">Recurring revenue moat. </w:t>
      </w:r>
      <w:r>
        <w:rPr>
          <w:rFonts w:ascii="Arial" w:cs="Arial" w:eastAsia="Arial" w:hAnsi="Arial"/>
          <w:sz w:val="22"/>
          <w:szCs w:val="22"/>
        </w:rPr>
        <w:t xml:space="preserve">Monthly subscription protocols with doctor oversight create SaaS-like retention (₹1,650 ARPU, 8+ month avg lifetime, ₹9,504 LTV). This isn’t e-commerce—it’s healthcare infrastructure.</w:t>
      </w:r>
    </w:p>
    <w:p>
      <w:pPr>
        <w:pStyle w:val="ListParagraph"/>
        <w:numPr>
          <w:ilvl w:val="0"/>
          <w:numId w:val="2"/>
        </w:numPr>
        <w:spacing w:after="160"/>
      </w:pPr>
      <w:r>
        <w:rPr>
          <w:rFonts w:ascii="Arial" w:cs="Arial" w:eastAsia="Arial" w:hAnsi="Arial"/>
          <w:b/>
          <w:bCs/>
          <w:sz w:val="22"/>
          <w:szCs w:val="22"/>
        </w:rPr>
        <w:t xml:space="preserve">Doctor network moat. </w:t>
      </w:r>
      <w:r>
        <w:rPr>
          <w:rFonts w:ascii="Arial" w:cs="Arial" w:eastAsia="Arial" w:hAnsi="Arial"/>
          <w:sz w:val="22"/>
          <w:szCs w:val="22"/>
        </w:rPr>
        <w:t xml:space="preserve">A functioning multi-specialty physician network with a 2-hour consultation SLA is hard to replicate. Each additional doctor increases capacity; each additional patient makes the network more valuable.</w:t>
      </w:r>
    </w:p>
    <w:p>
      <w:pPr>
        <w:pStyle w:val="ListParagraph"/>
        <w:numPr>
          <w:ilvl w:val="0"/>
          <w:numId w:val="2"/>
        </w:numPr>
        <w:spacing w:after="200"/>
      </w:pPr>
      <w:r>
        <w:rPr>
          <w:rFonts w:ascii="Arial" w:cs="Arial" w:eastAsia="Arial" w:hAnsi="Arial"/>
          <w:b/>
          <w:bCs/>
          <w:sz w:val="22"/>
          <w:szCs w:val="22"/>
        </w:rPr>
        <w:t xml:space="preserve">Supply chain moat. </w:t>
      </w:r>
      <w:r>
        <w:rPr>
          <w:rFonts w:ascii="Arial" w:cs="Arial" w:eastAsia="Arial" w:hAnsi="Arial"/>
          <w:sz w:val="22"/>
          <w:szCs w:val="22"/>
        </w:rPr>
        <w:t xml:space="preserve">Wholesale drug license (Form 20B + 21B), AYUSH license for THC:CBD, FSSAI registration for supplements. This compliance stack takes 6–12 months and deters fast followers.</w:t>
      </w:r>
    </w:p>
    <w:p>
      <w:r>
        <w:br w:type="page"/>
      </w:r>
    </w:p>
    <w:p>
      <w:pPr>
        <w:pStyle w:val="Heading1"/>
      </w:pPr>
      <w:r>
        <w:t xml:space="preserve">The Fundraising Playbook</w:t>
      </w:r>
    </w:p>
    <w:p>
      <w:pPr>
        <w:pBdr>
          <w:bottom w:val="single" w:color="C9A050" w:sz="6" w:space="1"/>
        </w:pBdr>
        <w:spacing w:after="300"/>
      </w:pPr>
    </w:p>
    <w:p>
      <w:pPr>
        <w:spacing w:after="200"/>
      </w:pPr>
      <w:r>
        <w:rPr>
          <w:rFonts w:ascii="Arial" w:cs="Arial" w:eastAsia="Arial" w:hAnsi="Arial"/>
          <w:b/>
          <w:bCs/>
          <w:i/>
          <w:iCs/>
          <w:color w:val="555555"/>
          <w:sz w:val="24"/>
          <w:szCs w:val="24"/>
        </w:rPr>
        <w:t xml:space="preserve">The cardinal rule: raise only when you have leverage, and never more than you need.</w:t>
      </w:r>
    </w:p>
    <w:p>
      <w:pPr>
        <w:spacing w:after="100"/>
      </w:pPr>
    </w:p>
    <w:p>
      <w:pPr>
        <w:pStyle w:val="Heading2"/>
      </w:pPr>
      <w:r>
        <w:t xml:space="preserve">Round 0: Self-Fund (Months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7F7F7" w:val="clear"/>
            <w:tcMar>
              <w:top w:type="dxa" w:w="120"/>
              <w:left w:type="dxa" w:w="200"/>
              <w:bottom w:type="dxa" w:w="120"/>
              <w:right w:type="dxa" w:w="200"/>
            </w:tcMar>
          </w:tcPr>
          <w:p>
            <w:pPr>
              <w:spacing w:after="40"/>
            </w:pPr>
            <w:r>
              <w:rPr>
                <w:rFonts w:ascii="Arial" w:cs="Arial" w:eastAsia="Arial" w:hAnsi="Arial"/>
                <w:b/>
                <w:bCs/>
                <w:color w:val="0A0A0A"/>
                <w:sz w:val="32"/>
                <w:szCs w:val="32"/>
              </w:rPr>
              <w:t xml:space="preserve">₹1 Cr</w:t>
            </w:r>
          </w:p>
          <w:p>
            <w:pPr>
              <w:spacing w:after="20"/>
            </w:pPr>
            <w:r>
              <w:rPr>
                <w:rFonts w:ascii="Arial" w:cs="Arial" w:eastAsia="Arial" w:hAnsi="Arial"/>
                <w:color w:val="666666"/>
                <w:sz w:val="18"/>
                <w:szCs w:val="18"/>
              </w:rPr>
              <w:t xml:space="preserve">CAPITAL IN</w:t>
            </w:r>
          </w:p>
          <w:p>
            <w:r>
              <w:rPr>
                <w:rFonts w:ascii="Arial" w:cs="Arial" w:eastAsia="Arial" w:hAnsi="Arial"/>
                <w:color w:val="999999"/>
                <w:sz w:val="16"/>
                <w:szCs w:val="16"/>
              </w:rPr>
              <w:t xml:space="preserve">Your own money</w:t>
            </w:r>
          </w:p>
        </w:tc>
        <w:tc>
          <w:tcPr>
            <w:tcW w:type="dxa" w:w="2340"/>
            <w:tcBorders>
              <w:top w:val="none" w:color="FFFFFF" w:sz="0"/>
              <w:left w:val="none" w:color="FFFFFF" w:sz="0"/>
              <w:bottom w:val="none" w:color="FFFFFF" w:sz="0"/>
              <w:right w:val="none" w:color="FFFFFF" w:sz="0"/>
            </w:tcBorders>
            <w:shd w:fill="F7F7F7" w:val="clear"/>
            <w:tcMar>
              <w:top w:type="dxa" w:w="120"/>
              <w:left w:type="dxa" w:w="200"/>
              <w:bottom w:type="dxa" w:w="120"/>
              <w:right w:type="dxa" w:w="200"/>
            </w:tcMar>
          </w:tcPr>
          <w:p>
            <w:pPr>
              <w:spacing w:after="40"/>
            </w:pPr>
            <w:r>
              <w:rPr>
                <w:rFonts w:ascii="Arial" w:cs="Arial" w:eastAsia="Arial" w:hAnsi="Arial"/>
                <w:b/>
                <w:bCs/>
                <w:color w:val="0A0A0A"/>
                <w:sz w:val="32"/>
                <w:szCs w:val="32"/>
              </w:rPr>
              <w:t xml:space="preserve">0%</w:t>
            </w:r>
          </w:p>
          <w:p>
            <w:pPr>
              <w:spacing w:after="20"/>
            </w:pPr>
            <w:r>
              <w:rPr>
                <w:rFonts w:ascii="Arial" w:cs="Arial" w:eastAsia="Arial" w:hAnsi="Arial"/>
                <w:color w:val="666666"/>
                <w:sz w:val="18"/>
                <w:szCs w:val="18"/>
              </w:rPr>
              <w:t xml:space="preserve">DILUTION</w:t>
            </w:r>
          </w:p>
          <w:p>
            <w:r>
              <w:rPr>
                <w:rFonts w:ascii="Arial" w:cs="Arial" w:eastAsia="Arial" w:hAnsi="Arial"/>
                <w:color w:val="999999"/>
                <w:sz w:val="16"/>
                <w:szCs w:val="16"/>
              </w:rPr>
              <w:t xml:space="preserve">You own 100%</w:t>
            </w:r>
          </w:p>
        </w:tc>
        <w:tc>
          <w:tcPr>
            <w:tcW w:type="dxa" w:w="2340"/>
            <w:tcBorders>
              <w:top w:val="none" w:color="FFFFFF" w:sz="0"/>
              <w:left w:val="none" w:color="FFFFFF" w:sz="0"/>
              <w:bottom w:val="none" w:color="FFFFFF" w:sz="0"/>
              <w:right w:val="none" w:color="FFFFFF" w:sz="0"/>
            </w:tcBorders>
            <w:shd w:fill="F7F7F7" w:val="clear"/>
            <w:tcMar>
              <w:top w:type="dxa" w:w="120"/>
              <w:left w:type="dxa" w:w="200"/>
              <w:bottom w:type="dxa" w:w="120"/>
              <w:right w:type="dxa" w:w="200"/>
            </w:tcMar>
          </w:tcPr>
          <w:p>
            <w:pPr>
              <w:spacing w:after="40"/>
            </w:pPr>
            <w:r>
              <w:rPr>
                <w:rFonts w:ascii="Arial" w:cs="Arial" w:eastAsia="Arial" w:hAnsi="Arial"/>
                <w:b/>
                <w:bCs/>
                <w:color w:val="0A0A0A"/>
                <w:sz w:val="32"/>
                <w:szCs w:val="32"/>
              </w:rPr>
              <w:t xml:space="preserve">500 subs</w:t>
            </w:r>
          </w:p>
          <w:p>
            <w:pPr>
              <w:spacing w:after="20"/>
            </w:pPr>
            <w:r>
              <w:rPr>
                <w:rFonts w:ascii="Arial" w:cs="Arial" w:eastAsia="Arial" w:hAnsi="Arial"/>
                <w:color w:val="666666"/>
                <w:sz w:val="18"/>
                <w:szCs w:val="18"/>
              </w:rPr>
              <w:t xml:space="preserve">TARGET</w:t>
            </w:r>
          </w:p>
          <w:p>
            <w:r>
              <w:rPr>
                <w:rFonts w:ascii="Arial" w:cs="Arial" w:eastAsia="Arial" w:hAnsi="Arial"/>
                <w:color w:val="999999"/>
                <w:sz w:val="16"/>
                <w:szCs w:val="16"/>
              </w:rPr>
              <w:t xml:space="preserve">Proof of model</w:t>
            </w:r>
          </w:p>
        </w:tc>
        <w:tc>
          <w:tcPr>
            <w:tcW w:type="dxa" w:w="2340"/>
            <w:tcBorders>
              <w:top w:val="none" w:color="FFFFFF" w:sz="0"/>
              <w:left w:val="none" w:color="FFFFFF" w:sz="0"/>
              <w:bottom w:val="none" w:color="FFFFFF" w:sz="0"/>
              <w:right w:val="none" w:color="FFFFFF" w:sz="0"/>
            </w:tcBorders>
            <w:shd w:fill="F7F7F7" w:val="clear"/>
            <w:tcMar>
              <w:top w:type="dxa" w:w="120"/>
              <w:left w:type="dxa" w:w="200"/>
              <w:bottom w:type="dxa" w:w="120"/>
              <w:right w:type="dxa" w:w="200"/>
            </w:tcMar>
          </w:tcPr>
          <w:p>
            <w:pPr>
              <w:spacing w:after="40"/>
            </w:pPr>
            <w:r>
              <w:rPr>
                <w:rFonts w:ascii="Arial" w:cs="Arial" w:eastAsia="Arial" w:hAnsi="Arial"/>
                <w:b/>
                <w:bCs/>
                <w:color w:val="0A0A0A"/>
                <w:sz w:val="32"/>
                <w:szCs w:val="32"/>
              </w:rPr>
              <w:t xml:space="preserve">₹50L/mo</w:t>
            </w:r>
          </w:p>
          <w:p>
            <w:pPr>
              <w:spacing w:after="20"/>
            </w:pPr>
            <w:r>
              <w:rPr>
                <w:rFonts w:ascii="Arial" w:cs="Arial" w:eastAsia="Arial" w:hAnsi="Arial"/>
                <w:color w:val="666666"/>
                <w:sz w:val="18"/>
                <w:szCs w:val="18"/>
              </w:rPr>
              <w:t xml:space="preserve">REVENUE</w:t>
            </w:r>
          </w:p>
          <w:p>
            <w:r>
              <w:rPr>
                <w:rFonts w:ascii="Arial" w:cs="Arial" w:eastAsia="Arial" w:hAnsi="Arial"/>
                <w:color w:val="999999"/>
                <w:sz w:val="16"/>
                <w:szCs w:val="16"/>
              </w:rPr>
              <w:t xml:space="preserve">By month 6</w:t>
            </w:r>
          </w:p>
        </w:tc>
      </w:tr>
    </w:tbl>
    <w:p>
      <w:pPr>
        <w:spacing w:after="100"/>
      </w:pPr>
    </w:p>
    <w:p>
      <w:pPr>
        <w:spacing w:after="200"/>
      </w:pPr>
      <w:r>
        <w:rPr>
          <w:rFonts w:ascii="Arial" w:cs="Arial" w:eastAsia="Arial" w:hAnsi="Arial"/>
          <w:b/>
          <w:bCs/>
          <w:color w:val="333333"/>
          <w:sz w:val="22"/>
          <w:szCs w:val="22"/>
        </w:rPr>
        <w:t xml:space="preserve">What you’re proving: </w:t>
      </w:r>
      <w:r>
        <w:rPr>
          <w:rFonts w:ascii="Arial" w:cs="Arial" w:eastAsia="Arial" w:hAnsi="Arial"/>
          <w:color w:val="333333"/>
          <w:sz w:val="22"/>
          <w:szCs w:val="22"/>
        </w:rPr>
        <w:t xml:space="preserve">Customers will pay before talking to a doctor. Doctors will participate in the post-purchase model. The fulfillment pipeline (order → consult → Rx → ship) works reliably within 48 hours. Unit economics are positive at the protocol level.</w:t>
      </w:r>
    </w:p>
    <w:p>
      <w:pPr>
        <w:pStyle w:val="Heading3"/>
      </w:pPr>
      <w:r>
        <w:t xml:space="preserve">Milestones before you raise anything:</w:t>
      </w:r>
    </w:p>
    <w:p>
      <w:pPr>
        <w:pStyle w:val="ListParagraph"/>
        <w:numPr>
          <w:ilvl w:val="0"/>
          <w:numId w:val="3"/>
        </w:numPr>
        <w:spacing w:after="120"/>
      </w:pPr>
      <w:r>
        <w:rPr>
          <w:rFonts w:ascii="Arial" w:cs="Arial" w:eastAsia="Arial" w:hAnsi="Arial"/>
          <w:sz w:val="22"/>
          <w:szCs w:val="22"/>
        </w:rPr>
        <w:t xml:space="preserve">500+ paying subscribers with at least 2 months of retention data</w:t>
      </w:r>
    </w:p>
    <w:p>
      <w:pPr>
        <w:pStyle w:val="ListParagraph"/>
        <w:numPr>
          <w:ilvl w:val="0"/>
          <w:numId w:val="3"/>
        </w:numPr>
        <w:spacing w:after="120"/>
      </w:pPr>
      <w:r>
        <w:rPr>
          <w:rFonts w:ascii="Arial" w:cs="Arial" w:eastAsia="Arial" w:hAnsi="Arial"/>
          <w:sz w:val="22"/>
          <w:szCs w:val="22"/>
        </w:rPr>
        <w:t xml:space="preserve">8+ doctors onboarded across 4+ specialties</w:t>
      </w:r>
    </w:p>
    <w:p>
      <w:pPr>
        <w:pStyle w:val="ListParagraph"/>
        <w:numPr>
          <w:ilvl w:val="0"/>
          <w:numId w:val="3"/>
        </w:numPr>
        <w:spacing w:after="120"/>
      </w:pPr>
      <w:r>
        <w:rPr>
          <w:rFonts w:ascii="Arial" w:cs="Arial" w:eastAsia="Arial" w:hAnsi="Arial"/>
          <w:sz w:val="22"/>
          <w:szCs w:val="22"/>
        </w:rPr>
        <w:t xml:space="preserve">NPS &gt; 50 from first 200 customers</w:t>
      </w:r>
    </w:p>
    <w:p>
      <w:pPr>
        <w:pStyle w:val="ListParagraph"/>
        <w:numPr>
          <w:ilvl w:val="0"/>
          <w:numId w:val="3"/>
        </w:numPr>
        <w:spacing w:after="120"/>
      </w:pPr>
      <w:r>
        <w:rPr>
          <w:rFonts w:ascii="Arial" w:cs="Arial" w:eastAsia="Arial" w:hAnsi="Arial"/>
          <w:sz w:val="22"/>
          <w:szCs w:val="22"/>
        </w:rPr>
        <w:t xml:space="preserve">LTV:CAC ratio &gt; 3:1 demonstrated</w:t>
      </w:r>
    </w:p>
    <w:p>
      <w:pPr>
        <w:pStyle w:val="ListParagraph"/>
        <w:numPr>
          <w:ilvl w:val="0"/>
          <w:numId w:val="3"/>
        </w:numPr>
        <w:spacing w:after="200"/>
      </w:pPr>
      <w:r>
        <w:rPr>
          <w:rFonts w:ascii="Arial" w:cs="Arial" w:eastAsia="Arial" w:hAnsi="Arial"/>
          <w:sz w:val="22"/>
          <w:szCs w:val="22"/>
        </w:rPr>
        <w:t xml:space="preserve">₹50L+ monthly revenue with 65%+ gross margin</w:t>
      </w:r>
    </w:p>
    <w:p>
      <w:pPr>
        <w:spacing w:after="200"/>
      </w:pPr>
      <w:r>
        <w:rPr>
          <w:rFonts w:ascii="Arial" w:cs="Arial" w:eastAsia="Arial" w:hAnsi="Arial"/>
          <w:b/>
          <w:bCs/>
          <w:color w:val="333333"/>
          <w:sz w:val="22"/>
          <w:szCs w:val="22"/>
        </w:rPr>
        <w:t xml:space="preserve">Why no outside money yet: </w:t>
      </w:r>
      <w:r>
        <w:rPr>
          <w:rFonts w:ascii="Arial" w:cs="Arial" w:eastAsia="Arial" w:hAnsi="Arial"/>
          <w:color w:val="333333"/>
          <w:sz w:val="22"/>
          <w:szCs w:val="22"/>
        </w:rPr>
        <w:t xml:space="preserve">At zero revenue, you’d raise a seed at ₹3–5 Cr valuation and give up 20–25%. That’s a terrible trade. With 500 paying subscribers and ₹50L/mo revenue, you raise at 5–10x the valuation and give up half the equity. Six months of patience buys you millions in retained ownership.</w:t>
      </w:r>
    </w:p>
    <w:p>
      <w:r>
        <w:br w:type="page"/>
      </w:r>
    </w:p>
    <w:p>
      <w:pPr>
        <w:pStyle w:val="Heading2"/>
      </w:pPr>
      <w:r>
        <w:t xml:space="preserve">Round 1: Seed (Month 7–8)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7F7F7" w:val="clear"/>
            <w:tcMar>
              <w:top w:type="dxa" w:w="120"/>
              <w:left w:type="dxa" w:w="200"/>
              <w:bottom w:type="dxa" w:w="120"/>
              <w:right w:type="dxa" w:w="200"/>
            </w:tcMar>
          </w:tcPr>
          <w:p>
            <w:pPr>
              <w:spacing w:after="40"/>
            </w:pPr>
            <w:r>
              <w:rPr>
                <w:rFonts w:ascii="Arial" w:cs="Arial" w:eastAsia="Arial" w:hAnsi="Arial"/>
                <w:b/>
                <w:bCs/>
                <w:color w:val="0A0A0A"/>
                <w:sz w:val="32"/>
                <w:szCs w:val="32"/>
              </w:rPr>
              <w:t xml:space="preserve">₹3–5 Cr</w:t>
            </w:r>
          </w:p>
          <w:p>
            <w:pPr>
              <w:spacing w:after="20"/>
            </w:pPr>
            <w:r>
              <w:rPr>
                <w:rFonts w:ascii="Arial" w:cs="Arial" w:eastAsia="Arial" w:hAnsi="Arial"/>
                <w:color w:val="666666"/>
                <w:sz w:val="18"/>
                <w:szCs w:val="18"/>
              </w:rPr>
              <w:t xml:space="preserve">RAISE</w:t>
            </w:r>
          </w:p>
          <w:p>
            <w:r>
              <w:rPr>
                <w:rFonts w:ascii="Arial" w:cs="Arial" w:eastAsia="Arial" w:hAnsi="Arial"/>
                <w:color w:val="999999"/>
                <w:sz w:val="16"/>
                <w:szCs w:val="16"/>
              </w:rPr>
              <w:t xml:space="preserve">$350K–$600K</w:t>
            </w:r>
          </w:p>
        </w:tc>
        <w:tc>
          <w:tcPr>
            <w:tcW w:type="dxa" w:w="2340"/>
            <w:tcBorders>
              <w:top w:val="none" w:color="FFFFFF" w:sz="0"/>
              <w:left w:val="none" w:color="FFFFFF" w:sz="0"/>
              <w:bottom w:val="none" w:color="FFFFFF" w:sz="0"/>
              <w:right w:val="none" w:color="FFFFFF" w:sz="0"/>
            </w:tcBorders>
            <w:shd w:fill="F7F7F7" w:val="clear"/>
            <w:tcMar>
              <w:top w:type="dxa" w:w="120"/>
              <w:left w:type="dxa" w:w="200"/>
              <w:bottom w:type="dxa" w:w="120"/>
              <w:right w:type="dxa" w:w="200"/>
            </w:tcMar>
          </w:tcPr>
          <w:p>
            <w:pPr>
              <w:spacing w:after="40"/>
            </w:pPr>
            <w:r>
              <w:rPr>
                <w:rFonts w:ascii="Arial" w:cs="Arial" w:eastAsia="Arial" w:hAnsi="Arial"/>
                <w:b/>
                <w:bCs/>
                <w:color w:val="0A0A0A"/>
                <w:sz w:val="32"/>
                <w:szCs w:val="32"/>
              </w:rPr>
              <w:t xml:space="preserve">₹20–30 Cr</w:t>
            </w:r>
          </w:p>
          <w:p>
            <w:pPr>
              <w:spacing w:after="20"/>
            </w:pPr>
            <w:r>
              <w:rPr>
                <w:rFonts w:ascii="Arial" w:cs="Arial" w:eastAsia="Arial" w:hAnsi="Arial"/>
                <w:color w:val="666666"/>
                <w:sz w:val="18"/>
                <w:szCs w:val="18"/>
              </w:rPr>
              <w:t xml:space="preserve">VALUATION</w:t>
            </w:r>
          </w:p>
          <w:p>
            <w:r>
              <w:rPr>
                <w:rFonts w:ascii="Arial" w:cs="Arial" w:eastAsia="Arial" w:hAnsi="Arial"/>
                <w:color w:val="999999"/>
                <w:sz w:val="16"/>
                <w:szCs w:val="16"/>
              </w:rPr>
              <w:t xml:space="preserve">Pre-money</w:t>
            </w:r>
          </w:p>
        </w:tc>
        <w:tc>
          <w:tcPr>
            <w:tcW w:type="dxa" w:w="2340"/>
            <w:tcBorders>
              <w:top w:val="none" w:color="FFFFFF" w:sz="0"/>
              <w:left w:val="none" w:color="FFFFFF" w:sz="0"/>
              <w:bottom w:val="none" w:color="FFFFFF" w:sz="0"/>
              <w:right w:val="none" w:color="FFFFFF" w:sz="0"/>
            </w:tcBorders>
            <w:shd w:fill="F7F7F7" w:val="clear"/>
            <w:tcMar>
              <w:top w:type="dxa" w:w="120"/>
              <w:left w:type="dxa" w:w="200"/>
              <w:bottom w:type="dxa" w:w="120"/>
              <w:right w:type="dxa" w:w="200"/>
            </w:tcMar>
          </w:tcPr>
          <w:p>
            <w:pPr>
              <w:spacing w:after="40"/>
            </w:pPr>
            <w:r>
              <w:rPr>
                <w:rFonts w:ascii="Arial" w:cs="Arial" w:eastAsia="Arial" w:hAnsi="Arial"/>
                <w:b/>
                <w:bCs/>
                <w:color w:val="0A0A0A"/>
                <w:sz w:val="32"/>
                <w:szCs w:val="32"/>
              </w:rPr>
              <w:t xml:space="preserve">12–18%</w:t>
            </w:r>
          </w:p>
          <w:p>
            <w:pPr>
              <w:spacing w:after="20"/>
            </w:pPr>
            <w:r>
              <w:rPr>
                <w:rFonts w:ascii="Arial" w:cs="Arial" w:eastAsia="Arial" w:hAnsi="Arial"/>
                <w:color w:val="666666"/>
                <w:sz w:val="18"/>
                <w:szCs w:val="18"/>
              </w:rPr>
              <w:t xml:space="preserve">DILUTION</w:t>
            </w:r>
          </w:p>
          <w:p>
            <w:r>
              <w:rPr>
                <w:rFonts w:ascii="Arial" w:cs="Arial" w:eastAsia="Arial" w:hAnsi="Arial"/>
                <w:color w:val="999999"/>
                <w:sz w:val="16"/>
                <w:szCs w:val="16"/>
              </w:rPr>
              <w:t xml:space="preserve">You keep 82–88%</w:t>
            </w:r>
          </w:p>
        </w:tc>
        <w:tc>
          <w:tcPr>
            <w:tcW w:type="dxa" w:w="2340"/>
            <w:tcBorders>
              <w:top w:val="none" w:color="FFFFFF" w:sz="0"/>
              <w:left w:val="none" w:color="FFFFFF" w:sz="0"/>
              <w:bottom w:val="none" w:color="FFFFFF" w:sz="0"/>
              <w:right w:val="none" w:color="FFFFFF" w:sz="0"/>
            </w:tcBorders>
            <w:shd w:fill="F7F7F7" w:val="clear"/>
            <w:tcMar>
              <w:top w:type="dxa" w:w="120"/>
              <w:left w:type="dxa" w:w="200"/>
              <w:bottom w:type="dxa" w:w="120"/>
              <w:right w:type="dxa" w:w="200"/>
            </w:tcMar>
          </w:tcPr>
          <w:p>
            <w:pPr>
              <w:spacing w:after="40"/>
            </w:pPr>
            <w:r>
              <w:rPr>
                <w:rFonts w:ascii="Arial" w:cs="Arial" w:eastAsia="Arial" w:hAnsi="Arial"/>
                <w:b/>
                <w:bCs/>
                <w:color w:val="0A0A0A"/>
                <w:sz w:val="32"/>
                <w:szCs w:val="32"/>
              </w:rPr>
              <w:t xml:space="preserve">12 months</w:t>
            </w:r>
          </w:p>
          <w:p>
            <w:pPr>
              <w:spacing w:after="20"/>
            </w:pPr>
            <w:r>
              <w:rPr>
                <w:rFonts w:ascii="Arial" w:cs="Arial" w:eastAsia="Arial" w:hAnsi="Arial"/>
                <w:color w:val="666666"/>
                <w:sz w:val="18"/>
                <w:szCs w:val="18"/>
              </w:rPr>
              <w:t xml:space="preserve">RUNWAY</w:t>
            </w:r>
          </w:p>
          <w:p>
            <w:r>
              <w:rPr>
                <w:rFonts w:ascii="Arial" w:cs="Arial" w:eastAsia="Arial" w:hAnsi="Arial"/>
                <w:color w:val="999999"/>
                <w:sz w:val="16"/>
                <w:szCs w:val="16"/>
              </w:rPr>
              <w:t xml:space="preserve">To Series A metrics</w:t>
            </w:r>
          </w:p>
        </w:tc>
      </w:tr>
    </w:tbl>
    <w:p>
      <w:pPr>
        <w:spacing w:after="100"/>
      </w:pPr>
    </w:p>
    <w:p>
      <w:pPr>
        <w:pStyle w:val="Heading3"/>
      </w:pPr>
      <w:r>
        <w:t xml:space="preserve">Who to target:</w:t>
      </w:r>
    </w:p>
    <w:p>
      <w:pPr>
        <w:pStyle w:val="ListParagraph"/>
        <w:numPr>
          <w:ilvl w:val="0"/>
          <w:numId w:val="4"/>
        </w:numPr>
        <w:spacing w:after="120"/>
      </w:pPr>
      <w:r>
        <w:rPr>
          <w:rFonts w:ascii="Arial" w:cs="Arial" w:eastAsia="Arial" w:hAnsi="Arial"/>
          <w:b/>
          <w:bCs/>
          <w:sz w:val="22"/>
          <w:szCs w:val="22"/>
        </w:rPr>
        <w:t xml:space="preserve">Angel investors from pharma/health backgrounds. </w:t>
      </w:r>
      <w:r>
        <w:rPr>
          <w:rFonts w:ascii="Arial" w:cs="Arial" w:eastAsia="Arial" w:hAnsi="Arial"/>
          <w:sz w:val="22"/>
          <w:szCs w:val="22"/>
        </w:rPr>
        <w:t xml:space="preserve">They understand the regulatory moat and won’t panic about Schedule H compliance. Names: Indian Angel Network health vertical, Mumbai Angels health syndicate, ex-founders of 1mg/PharmEasy/Netmeds.</w:t>
      </w:r>
    </w:p>
    <w:p>
      <w:pPr>
        <w:pStyle w:val="ListParagraph"/>
        <w:numPr>
          <w:ilvl w:val="0"/>
          <w:numId w:val="4"/>
        </w:numPr>
        <w:spacing w:after="120"/>
      </w:pPr>
      <w:r>
        <w:rPr>
          <w:rFonts w:ascii="Arial" w:cs="Arial" w:eastAsia="Arial" w:hAnsi="Arial"/>
          <w:b/>
          <w:bCs/>
          <w:sz w:val="22"/>
          <w:szCs w:val="22"/>
        </w:rPr>
        <w:t xml:space="preserve">Micro-VCs with health focus. </w:t>
      </w:r>
      <w:r>
        <w:rPr>
          <w:rFonts w:ascii="Arial" w:cs="Arial" w:eastAsia="Arial" w:hAnsi="Arial"/>
          <w:sz w:val="22"/>
          <w:szCs w:val="22"/>
        </w:rPr>
        <w:t xml:space="preserve">Titan Capital (Snapdeal founders’ fund), Better Capital, 2am VC. They write ₹1–3 Cr cheques and move fast.</w:t>
      </w:r>
    </w:p>
    <w:p>
      <w:pPr>
        <w:pStyle w:val="ListParagraph"/>
        <w:numPr>
          <w:ilvl w:val="0"/>
          <w:numId w:val="4"/>
        </w:numPr>
        <w:spacing w:after="200"/>
      </w:pPr>
      <w:r>
        <w:rPr>
          <w:rFonts w:ascii="Arial" w:cs="Arial" w:eastAsia="Arial" w:hAnsi="Arial"/>
          <w:b/>
          <w:bCs/>
          <w:sz w:val="22"/>
          <w:szCs w:val="22"/>
        </w:rPr>
        <w:t xml:space="preserve">Strategic angels from the doctor community. </w:t>
      </w:r>
      <w:r>
        <w:rPr>
          <w:rFonts w:ascii="Arial" w:cs="Arial" w:eastAsia="Arial" w:hAnsi="Arial"/>
          <w:sz w:val="22"/>
          <w:szCs w:val="22"/>
        </w:rPr>
        <w:t xml:space="preserve">Get 2–3 prominent doctors to invest small amounts (₹10–25L each). They become evangelists and help recruit the physician network.</w:t>
      </w:r>
    </w:p>
    <w:p>
      <w:pPr>
        <w:pStyle w:val="Heading3"/>
      </w:pPr>
      <w:r>
        <w:t xml:space="preserve">The pitch at this stage:</w:t>
      </w:r>
    </w:p>
    <w:p>
      <w:pPr>
        <w:spacing w:after="200"/>
      </w:pPr>
      <w:r>
        <w:rPr>
          <w:rFonts w:ascii="Arial" w:cs="Arial" w:eastAsia="Arial" w:hAnsi="Arial"/>
          <w:i/>
          <w:iCs/>
          <w:color w:val="333333"/>
          <w:sz w:val="22"/>
          <w:szCs w:val="22"/>
        </w:rPr>
        <w:t xml:space="preserve">"We’re Hims &amp; Hers for India. We’ve proven the model with 500 paying subscribers doing ₹50L/month revenue with 70% gross margins. The prescription biohacking market in India has zero competition. We need ₹3–5 Cr to scale to 3,000 subscribers and build the operational infrastructure for Series A."</w:t>
      </w:r>
    </w:p>
    <w:p>
      <w:pPr>
        <w:spacing w:after="200"/>
      </w:pPr>
      <w:r>
        <w:rPr>
          <w:rFonts w:ascii="Arial" w:cs="Arial" w:eastAsia="Arial" w:hAnsi="Arial"/>
          <w:b/>
          <w:bCs/>
          <w:color w:val="333333"/>
          <w:sz w:val="22"/>
          <w:szCs w:val="22"/>
        </w:rPr>
        <w:t xml:space="preserve">What you spend it on: </w:t>
      </w:r>
      <w:r>
        <w:rPr>
          <w:rFonts w:ascii="Arial" w:cs="Arial" w:eastAsia="Arial" w:hAnsi="Arial"/>
          <w:color w:val="333333"/>
          <w:sz w:val="22"/>
          <w:szCs w:val="22"/>
        </w:rPr>
        <w:t xml:space="preserve">60% performance marketing (Google Ads on high-intent keywords like “modafinil India,” “semaglutide India,” “BPC-157 buy”), 20% doctor network expansion (15–20 doctors), 10% tech (automated scheduling, CRM, prescription tracking), 10% buffer.</w:t>
      </w:r>
    </w:p>
    <w:p>
      <w:r>
        <w:br w:type="page"/>
      </w:r>
    </w:p>
    <w:p>
      <w:pPr>
        <w:pStyle w:val="Heading2"/>
      </w:pPr>
      <w:r>
        <w:t xml:space="preserve">Round 2: Series A (Month 18–20)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7F7F7" w:val="clear"/>
            <w:tcMar>
              <w:top w:type="dxa" w:w="120"/>
              <w:left w:type="dxa" w:w="200"/>
              <w:bottom w:type="dxa" w:w="120"/>
              <w:right w:type="dxa" w:w="200"/>
            </w:tcMar>
          </w:tcPr>
          <w:p>
            <w:pPr>
              <w:spacing w:after="40"/>
            </w:pPr>
            <w:r>
              <w:rPr>
                <w:rFonts w:ascii="Arial" w:cs="Arial" w:eastAsia="Arial" w:hAnsi="Arial"/>
                <w:b/>
                <w:bCs/>
                <w:color w:val="0A0A0A"/>
                <w:sz w:val="32"/>
                <w:szCs w:val="32"/>
              </w:rPr>
              <w:t xml:space="preserve">₹20–35 Cr</w:t>
            </w:r>
          </w:p>
          <w:p>
            <w:pPr>
              <w:spacing w:after="20"/>
            </w:pPr>
            <w:r>
              <w:rPr>
                <w:rFonts w:ascii="Arial" w:cs="Arial" w:eastAsia="Arial" w:hAnsi="Arial"/>
                <w:color w:val="666666"/>
                <w:sz w:val="18"/>
                <w:szCs w:val="18"/>
              </w:rPr>
              <w:t xml:space="preserve">RAISE</w:t>
            </w:r>
          </w:p>
          <w:p>
            <w:r>
              <w:rPr>
                <w:rFonts w:ascii="Arial" w:cs="Arial" w:eastAsia="Arial" w:hAnsi="Arial"/>
                <w:color w:val="999999"/>
                <w:sz w:val="16"/>
                <w:szCs w:val="16"/>
              </w:rPr>
              <w:t xml:space="preserve">$2.5M–$4M</w:t>
            </w:r>
          </w:p>
        </w:tc>
        <w:tc>
          <w:tcPr>
            <w:tcW w:type="dxa" w:w="2340"/>
            <w:tcBorders>
              <w:top w:val="none" w:color="FFFFFF" w:sz="0"/>
              <w:left w:val="none" w:color="FFFFFF" w:sz="0"/>
              <w:bottom w:val="none" w:color="FFFFFF" w:sz="0"/>
              <w:right w:val="none" w:color="FFFFFF" w:sz="0"/>
            </w:tcBorders>
            <w:shd w:fill="F7F7F7" w:val="clear"/>
            <w:tcMar>
              <w:top w:type="dxa" w:w="120"/>
              <w:left w:type="dxa" w:w="200"/>
              <w:bottom w:type="dxa" w:w="120"/>
              <w:right w:type="dxa" w:w="200"/>
            </w:tcMar>
          </w:tcPr>
          <w:p>
            <w:pPr>
              <w:spacing w:after="40"/>
            </w:pPr>
            <w:r>
              <w:rPr>
                <w:rFonts w:ascii="Arial" w:cs="Arial" w:eastAsia="Arial" w:hAnsi="Arial"/>
                <w:b/>
                <w:bCs/>
                <w:color w:val="0A0A0A"/>
                <w:sz w:val="32"/>
                <w:szCs w:val="32"/>
              </w:rPr>
              <w:t xml:space="preserve">₹100–150 Cr</w:t>
            </w:r>
          </w:p>
          <w:p>
            <w:pPr>
              <w:spacing w:after="20"/>
            </w:pPr>
            <w:r>
              <w:rPr>
                <w:rFonts w:ascii="Arial" w:cs="Arial" w:eastAsia="Arial" w:hAnsi="Arial"/>
                <w:color w:val="666666"/>
                <w:sz w:val="18"/>
                <w:szCs w:val="18"/>
              </w:rPr>
              <w:t xml:space="preserve">VALUATION</w:t>
            </w:r>
          </w:p>
          <w:p>
            <w:r>
              <w:rPr>
                <w:rFonts w:ascii="Arial" w:cs="Arial" w:eastAsia="Arial" w:hAnsi="Arial"/>
                <w:color w:val="999999"/>
                <w:sz w:val="16"/>
                <w:szCs w:val="16"/>
              </w:rPr>
              <w:t xml:space="preserve">Pre-money</w:t>
            </w:r>
          </w:p>
        </w:tc>
        <w:tc>
          <w:tcPr>
            <w:tcW w:type="dxa" w:w="2340"/>
            <w:tcBorders>
              <w:top w:val="none" w:color="FFFFFF" w:sz="0"/>
              <w:left w:val="none" w:color="FFFFFF" w:sz="0"/>
              <w:bottom w:val="none" w:color="FFFFFF" w:sz="0"/>
              <w:right w:val="none" w:color="FFFFFF" w:sz="0"/>
            </w:tcBorders>
            <w:shd w:fill="F7F7F7" w:val="clear"/>
            <w:tcMar>
              <w:top w:type="dxa" w:w="120"/>
              <w:left w:type="dxa" w:w="200"/>
              <w:bottom w:type="dxa" w:w="120"/>
              <w:right w:type="dxa" w:w="200"/>
            </w:tcMar>
          </w:tcPr>
          <w:p>
            <w:pPr>
              <w:spacing w:after="40"/>
            </w:pPr>
            <w:r>
              <w:rPr>
                <w:rFonts w:ascii="Arial" w:cs="Arial" w:eastAsia="Arial" w:hAnsi="Arial"/>
                <w:b/>
                <w:bCs/>
                <w:color w:val="0A0A0A"/>
                <w:sz w:val="32"/>
                <w:szCs w:val="32"/>
              </w:rPr>
              <w:t xml:space="preserve">18–22%</w:t>
            </w:r>
          </w:p>
          <w:p>
            <w:pPr>
              <w:spacing w:after="20"/>
            </w:pPr>
            <w:r>
              <w:rPr>
                <w:rFonts w:ascii="Arial" w:cs="Arial" w:eastAsia="Arial" w:hAnsi="Arial"/>
                <w:color w:val="666666"/>
                <w:sz w:val="18"/>
                <w:szCs w:val="18"/>
              </w:rPr>
              <w:t xml:space="preserve">DILUTION</w:t>
            </w:r>
          </w:p>
          <w:p>
            <w:r>
              <w:rPr>
                <w:rFonts w:ascii="Arial" w:cs="Arial" w:eastAsia="Arial" w:hAnsi="Arial"/>
                <w:color w:val="999999"/>
                <w:sz w:val="16"/>
                <w:szCs w:val="16"/>
              </w:rPr>
              <w:t xml:space="preserve">You keep ~65%</w:t>
            </w:r>
          </w:p>
        </w:tc>
        <w:tc>
          <w:tcPr>
            <w:tcW w:type="dxa" w:w="2340"/>
            <w:tcBorders>
              <w:top w:val="none" w:color="FFFFFF" w:sz="0"/>
              <w:left w:val="none" w:color="FFFFFF" w:sz="0"/>
              <w:bottom w:val="none" w:color="FFFFFF" w:sz="0"/>
              <w:right w:val="none" w:color="FFFFFF" w:sz="0"/>
            </w:tcBorders>
            <w:shd w:fill="F7F7F7" w:val="clear"/>
            <w:tcMar>
              <w:top w:type="dxa" w:w="120"/>
              <w:left w:type="dxa" w:w="200"/>
              <w:bottom w:type="dxa" w:w="120"/>
              <w:right w:type="dxa" w:w="200"/>
            </w:tcMar>
          </w:tcPr>
          <w:p>
            <w:pPr>
              <w:spacing w:after="40"/>
            </w:pPr>
            <w:r>
              <w:rPr>
                <w:rFonts w:ascii="Arial" w:cs="Arial" w:eastAsia="Arial" w:hAnsi="Arial"/>
                <w:b/>
                <w:bCs/>
                <w:color w:val="0A0A0A"/>
                <w:sz w:val="32"/>
                <w:szCs w:val="32"/>
              </w:rPr>
              <w:t xml:space="preserve">₹4–6 Cr ARR</w:t>
            </w:r>
          </w:p>
          <w:p>
            <w:pPr>
              <w:spacing w:after="20"/>
            </w:pPr>
            <w:r>
              <w:rPr>
                <w:rFonts w:ascii="Arial" w:cs="Arial" w:eastAsia="Arial" w:hAnsi="Arial"/>
                <w:color w:val="666666"/>
                <w:sz w:val="18"/>
                <w:szCs w:val="18"/>
              </w:rPr>
              <w:t xml:space="preserve">REVENUE</w:t>
            </w:r>
          </w:p>
          <w:p>
            <w:r>
              <w:rPr>
                <w:rFonts w:ascii="Arial" w:cs="Arial" w:eastAsia="Arial" w:hAnsi="Arial"/>
                <w:color w:val="999999"/>
                <w:sz w:val="16"/>
                <w:szCs w:val="16"/>
              </w:rPr>
              <w:t xml:space="preserve">At time of raise</w:t>
            </w:r>
          </w:p>
        </w:tc>
      </w:tr>
    </w:tbl>
    <w:p>
      <w:pPr>
        <w:spacing w:after="100"/>
      </w:pPr>
    </w:p>
    <w:p>
      <w:pPr>
        <w:pStyle w:val="Heading3"/>
      </w:pPr>
      <w:r>
        <w:t xml:space="preserve">What triggers the raise:</w:t>
      </w:r>
    </w:p>
    <w:p>
      <w:pPr>
        <w:pStyle w:val="ListParagraph"/>
        <w:numPr>
          <w:ilvl w:val="0"/>
          <w:numId w:val="5"/>
        </w:numPr>
        <w:spacing w:after="120"/>
      </w:pPr>
      <w:r>
        <w:rPr>
          <w:rFonts w:ascii="Arial" w:cs="Arial" w:eastAsia="Arial" w:hAnsi="Arial"/>
          <w:sz w:val="22"/>
          <w:szCs w:val="22"/>
        </w:rPr>
        <w:t xml:space="preserve">3,000+ active subscribers with proven retention (8+ month avg lifetime)</w:t>
      </w:r>
    </w:p>
    <w:p>
      <w:pPr>
        <w:pStyle w:val="ListParagraph"/>
        <w:numPr>
          <w:ilvl w:val="0"/>
          <w:numId w:val="5"/>
        </w:numPr>
        <w:spacing w:after="120"/>
      </w:pPr>
      <w:r>
        <w:rPr>
          <w:rFonts w:ascii="Arial" w:cs="Arial" w:eastAsia="Arial" w:hAnsi="Arial"/>
          <w:sz w:val="22"/>
          <w:szCs w:val="22"/>
        </w:rPr>
        <w:t xml:space="preserve">₹4–6 Cr ARR (₹35–50L/month) growing 15–20% month-over-month</w:t>
      </w:r>
    </w:p>
    <w:p>
      <w:pPr>
        <w:pStyle w:val="ListParagraph"/>
        <w:numPr>
          <w:ilvl w:val="0"/>
          <w:numId w:val="5"/>
        </w:numPr>
        <w:spacing w:after="120"/>
      </w:pPr>
      <w:r>
        <w:rPr>
          <w:rFonts w:ascii="Arial" w:cs="Arial" w:eastAsia="Arial" w:hAnsi="Arial"/>
          <w:sz w:val="22"/>
          <w:szCs w:val="22"/>
        </w:rPr>
        <w:t xml:space="preserve">LTV:CAC ratio proven at 5:1 or better across multiple channels</w:t>
      </w:r>
    </w:p>
    <w:p>
      <w:pPr>
        <w:pStyle w:val="ListParagraph"/>
        <w:numPr>
          <w:ilvl w:val="0"/>
          <w:numId w:val="5"/>
        </w:numPr>
        <w:spacing w:after="120"/>
      </w:pPr>
      <w:r>
        <w:rPr>
          <w:rFonts w:ascii="Arial" w:cs="Arial" w:eastAsia="Arial" w:hAnsi="Arial"/>
          <w:sz w:val="22"/>
          <w:szCs w:val="22"/>
        </w:rPr>
        <w:t xml:space="preserve">20+ doctors actively serving patients with documented quality metrics</w:t>
      </w:r>
    </w:p>
    <w:p>
      <w:pPr>
        <w:pStyle w:val="ListParagraph"/>
        <w:numPr>
          <w:ilvl w:val="0"/>
          <w:numId w:val="5"/>
        </w:numPr>
        <w:spacing w:after="200"/>
      </w:pPr>
      <w:r>
        <w:rPr>
          <w:rFonts w:ascii="Arial" w:cs="Arial" w:eastAsia="Arial" w:hAnsi="Arial"/>
          <w:sz w:val="22"/>
          <w:szCs w:val="22"/>
        </w:rPr>
        <w:t xml:space="preserve">Zero regulatory incidents (clean compliance record is critical)</w:t>
      </w:r>
    </w:p>
    <w:p>
      <w:pPr>
        <w:pStyle w:val="Heading3"/>
      </w:pPr>
      <w:r>
        <w:t xml:space="preserve">Who to target:</w:t>
      </w:r>
    </w:p>
    <w:p>
      <w:pPr>
        <w:pStyle w:val="ListParagraph"/>
        <w:numPr>
          <w:ilvl w:val="0"/>
          <w:numId w:val="6"/>
        </w:numPr>
        <w:spacing w:after="120"/>
      </w:pPr>
      <w:r>
        <w:rPr>
          <w:rFonts w:ascii="Arial" w:cs="Arial" w:eastAsia="Arial" w:hAnsi="Arial"/>
          <w:b/>
          <w:bCs/>
          <w:sz w:val="22"/>
          <w:szCs w:val="22"/>
        </w:rPr>
        <w:t xml:space="preserve">India health-focused VCs: </w:t>
      </w:r>
      <w:r>
        <w:rPr>
          <w:rFonts w:ascii="Arial" w:cs="Arial" w:eastAsia="Arial" w:hAnsi="Arial"/>
          <w:sz w:val="22"/>
          <w:szCs w:val="22"/>
        </w:rPr>
        <w:t xml:space="preserve">Chiratae Ventures (backed HealthPlix), Stellaris Venture Partners, Lightspeed India (if fund is active), Elevation Capital.</w:t>
      </w:r>
    </w:p>
    <w:p>
      <w:pPr>
        <w:pStyle w:val="ListParagraph"/>
        <w:numPr>
          <w:ilvl w:val="0"/>
          <w:numId w:val="6"/>
        </w:numPr>
        <w:spacing w:after="120"/>
      </w:pPr>
      <w:r>
        <w:rPr>
          <w:rFonts w:ascii="Arial" w:cs="Arial" w:eastAsia="Arial" w:hAnsi="Arial"/>
          <w:b/>
          <w:bCs/>
          <w:sz w:val="22"/>
          <w:szCs w:val="22"/>
        </w:rPr>
        <w:t xml:space="preserve">Southeast Asia health VCs: </w:t>
      </w:r>
      <w:r>
        <w:rPr>
          <w:rFonts w:ascii="Arial" w:cs="Arial" w:eastAsia="Arial" w:hAnsi="Arial"/>
          <w:sz w:val="22"/>
          <w:szCs w:val="22"/>
        </w:rPr>
        <w:t xml:space="preserve">Jungle Ventures, Vertex Ventures (backed Doctor Anywhere), East Ventures.</w:t>
      </w:r>
    </w:p>
    <w:p>
      <w:pPr>
        <w:pStyle w:val="ListParagraph"/>
        <w:numPr>
          <w:ilvl w:val="0"/>
          <w:numId w:val="6"/>
        </w:numPr>
        <w:spacing w:after="200"/>
      </w:pPr>
      <w:r>
        <w:rPr>
          <w:rFonts w:ascii="Arial" w:cs="Arial" w:eastAsia="Arial" w:hAnsi="Arial"/>
          <w:b/>
          <w:bCs/>
          <w:sz w:val="22"/>
          <w:szCs w:val="22"/>
        </w:rPr>
        <w:t xml:space="preserve">Strategic pharma CVCs: </w:t>
      </w:r>
      <w:r>
        <w:rPr>
          <w:rFonts w:ascii="Arial" w:cs="Arial" w:eastAsia="Arial" w:hAnsi="Arial"/>
          <w:sz w:val="22"/>
          <w:szCs w:val="22"/>
        </w:rPr>
        <w:t xml:space="preserve">Cipla Health Ventures, Sun Pharma Advanced Research, Dr. Reddy’s CVC. They invest for pipeline insight and potential future acquisition.</w:t>
      </w:r>
    </w:p>
    <w:p>
      <w:pPr>
        <w:spacing w:after="200"/>
      </w:pPr>
      <w:r>
        <w:rPr>
          <w:rFonts w:ascii="Arial" w:cs="Arial" w:eastAsia="Arial" w:hAnsi="Arial"/>
          <w:b/>
          <w:bCs/>
          <w:color w:val="333333"/>
          <w:sz w:val="22"/>
          <w:szCs w:val="22"/>
        </w:rPr>
        <w:t xml:space="preserve">Critical strategy: get one pharma CVC on the cap table at Series A.</w:t>
      </w:r>
      <w:r>
        <w:rPr>
          <w:rFonts w:ascii="Arial" w:cs="Arial" w:eastAsia="Arial" w:hAnsi="Arial"/>
          <w:color w:val="333333"/>
          <w:sz w:val="22"/>
          <w:szCs w:val="22"/>
        </w:rPr>
        <w:t xml:space="preserve"> This serves two purposes. First, it validates the model—a pharma company investing in your Rx platform is the ultimate credibility signal. Second, it creates acquisition optionality—the investing pharma company gets right of first refusal or at minimum deep familiarity with your operations.</w:t>
      </w:r>
    </w:p>
    <w:p>
      <w:r>
        <w:br w:type="page"/>
      </w:r>
    </w:p>
    <w:p>
      <w:pPr>
        <w:pStyle w:val="Heading2"/>
      </w:pPr>
      <w:r>
        <w:t xml:space="preserve">Round 3: Series B or Exit (Month 30–36)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7F7F7" w:val="clear"/>
            <w:tcMar>
              <w:top w:type="dxa" w:w="120"/>
              <w:left w:type="dxa" w:w="200"/>
              <w:bottom w:type="dxa" w:w="120"/>
              <w:right w:type="dxa" w:w="200"/>
            </w:tcMar>
          </w:tcPr>
          <w:p>
            <w:pPr>
              <w:spacing w:after="40"/>
            </w:pPr>
            <w:r>
              <w:rPr>
                <w:rFonts w:ascii="Arial" w:cs="Arial" w:eastAsia="Arial" w:hAnsi="Arial"/>
                <w:b/>
                <w:bCs/>
                <w:color w:val="0A0A0A"/>
                <w:sz w:val="32"/>
                <w:szCs w:val="32"/>
              </w:rPr>
              <w:t xml:space="preserve">B or Exit</w:t>
            </w:r>
          </w:p>
          <w:p>
            <w:pPr>
              <w:spacing w:after="20"/>
            </w:pPr>
            <w:r>
              <w:rPr>
                <w:rFonts w:ascii="Arial" w:cs="Arial" w:eastAsia="Arial" w:hAnsi="Arial"/>
                <w:color w:val="666666"/>
                <w:sz w:val="18"/>
                <w:szCs w:val="18"/>
              </w:rPr>
              <w:t xml:space="preserve">TWO PATHS</w:t>
            </w:r>
          </w:p>
          <w:p>
            <w:r>
              <w:rPr>
                <w:rFonts w:ascii="Arial" w:cs="Arial" w:eastAsia="Arial" w:hAnsi="Arial"/>
                <w:color w:val="999999"/>
                <w:sz w:val="16"/>
                <w:szCs w:val="16"/>
              </w:rPr>
              <w:t xml:space="preserve">Your choice</w:t>
            </w:r>
          </w:p>
        </w:tc>
        <w:tc>
          <w:tcPr>
            <w:tcW w:type="dxa" w:w="2340"/>
            <w:tcBorders>
              <w:top w:val="none" w:color="FFFFFF" w:sz="0"/>
              <w:left w:val="none" w:color="FFFFFF" w:sz="0"/>
              <w:bottom w:val="none" w:color="FFFFFF" w:sz="0"/>
              <w:right w:val="none" w:color="FFFFFF" w:sz="0"/>
            </w:tcBorders>
            <w:shd w:fill="F7F7F7" w:val="clear"/>
            <w:tcMar>
              <w:top w:type="dxa" w:w="120"/>
              <w:left w:type="dxa" w:w="200"/>
              <w:bottom w:type="dxa" w:w="120"/>
              <w:right w:type="dxa" w:w="200"/>
            </w:tcMar>
          </w:tcPr>
          <w:p>
            <w:pPr>
              <w:spacing w:after="40"/>
            </w:pPr>
            <w:r>
              <w:rPr>
                <w:rFonts w:ascii="Arial" w:cs="Arial" w:eastAsia="Arial" w:hAnsi="Arial"/>
                <w:b/>
                <w:bCs/>
                <w:color w:val="0A0A0A"/>
                <w:sz w:val="32"/>
                <w:szCs w:val="32"/>
              </w:rPr>
              <w:t xml:space="preserve">₹50–100 Cr ARR</w:t>
            </w:r>
          </w:p>
          <w:p>
            <w:pPr>
              <w:spacing w:after="20"/>
            </w:pPr>
            <w:r>
              <w:rPr>
                <w:rFonts w:ascii="Arial" w:cs="Arial" w:eastAsia="Arial" w:hAnsi="Arial"/>
                <w:color w:val="666666"/>
                <w:sz w:val="18"/>
                <w:szCs w:val="18"/>
              </w:rPr>
              <w:t xml:space="preserve">REVENUE</w:t>
            </w:r>
          </w:p>
          <w:p>
            <w:r>
              <w:rPr>
                <w:rFonts w:ascii="Arial" w:cs="Arial" w:eastAsia="Arial" w:hAnsi="Arial"/>
                <w:color w:val="999999"/>
                <w:sz w:val="16"/>
                <w:szCs w:val="16"/>
              </w:rPr>
              <w:t xml:space="preserve">At decision point</w:t>
            </w:r>
          </w:p>
        </w:tc>
        <w:tc>
          <w:tcPr>
            <w:tcW w:type="dxa" w:w="2340"/>
            <w:tcBorders>
              <w:top w:val="none" w:color="FFFFFF" w:sz="0"/>
              <w:left w:val="none" w:color="FFFFFF" w:sz="0"/>
              <w:bottom w:val="none" w:color="FFFFFF" w:sz="0"/>
              <w:right w:val="none" w:color="FFFFFF" w:sz="0"/>
            </w:tcBorders>
            <w:shd w:fill="F7F7F7" w:val="clear"/>
            <w:tcMar>
              <w:top w:type="dxa" w:w="120"/>
              <w:left w:type="dxa" w:w="200"/>
              <w:bottom w:type="dxa" w:w="120"/>
              <w:right w:type="dxa" w:w="200"/>
            </w:tcMar>
          </w:tcPr>
          <w:p>
            <w:pPr>
              <w:spacing w:after="40"/>
            </w:pPr>
            <w:r>
              <w:rPr>
                <w:rFonts w:ascii="Arial" w:cs="Arial" w:eastAsia="Arial" w:hAnsi="Arial"/>
                <w:b/>
                <w:bCs/>
                <w:color w:val="0A0A0A"/>
                <w:sz w:val="32"/>
                <w:szCs w:val="32"/>
              </w:rPr>
              <w:t xml:space="preserve">30K–60K</w:t>
            </w:r>
          </w:p>
          <w:p>
            <w:pPr>
              <w:spacing w:after="20"/>
            </w:pPr>
            <w:r>
              <w:rPr>
                <w:rFonts w:ascii="Arial" w:cs="Arial" w:eastAsia="Arial" w:hAnsi="Arial"/>
                <w:color w:val="666666"/>
                <w:sz w:val="18"/>
                <w:szCs w:val="18"/>
              </w:rPr>
              <w:t xml:space="preserve">ACTIVE SUBS</w:t>
            </w:r>
          </w:p>
          <w:p>
            <w:r>
              <w:rPr>
                <w:rFonts w:ascii="Arial" w:cs="Arial" w:eastAsia="Arial" w:hAnsi="Arial"/>
                <w:color w:val="999999"/>
                <w:sz w:val="16"/>
                <w:szCs w:val="16"/>
              </w:rPr>
              <w:t xml:space="preserve">Across 26 protocols</w:t>
            </w:r>
          </w:p>
        </w:tc>
        <w:tc>
          <w:tcPr>
            <w:tcW w:type="dxa" w:w="2340"/>
            <w:tcBorders>
              <w:top w:val="none" w:color="FFFFFF" w:sz="0"/>
              <w:left w:val="none" w:color="FFFFFF" w:sz="0"/>
              <w:bottom w:val="none" w:color="FFFFFF" w:sz="0"/>
              <w:right w:val="none" w:color="FFFFFF" w:sz="0"/>
            </w:tcBorders>
            <w:shd w:fill="F7F7F7" w:val="clear"/>
            <w:tcMar>
              <w:top w:type="dxa" w:w="120"/>
              <w:left w:type="dxa" w:w="200"/>
              <w:bottom w:type="dxa" w:w="120"/>
              <w:right w:type="dxa" w:w="200"/>
            </w:tcMar>
          </w:tcPr>
          <w:p>
            <w:pPr>
              <w:spacing w:after="40"/>
            </w:pPr>
            <w:r>
              <w:rPr>
                <w:rFonts w:ascii="Arial" w:cs="Arial" w:eastAsia="Arial" w:hAnsi="Arial"/>
                <w:b/>
                <w:bCs/>
                <w:color w:val="0A0A0A"/>
                <w:sz w:val="32"/>
                <w:szCs w:val="32"/>
              </w:rPr>
              <w:t xml:space="preserve">~55–65%</w:t>
            </w:r>
          </w:p>
          <w:p>
            <w:pPr>
              <w:spacing w:after="20"/>
            </w:pPr>
            <w:r>
              <w:rPr>
                <w:rFonts w:ascii="Arial" w:cs="Arial" w:eastAsia="Arial" w:hAnsi="Arial"/>
                <w:color w:val="666666"/>
                <w:sz w:val="18"/>
                <w:szCs w:val="18"/>
              </w:rPr>
              <w:t xml:space="preserve">YOUR STAKE</w:t>
            </w:r>
          </w:p>
          <w:p>
            <w:r>
              <w:rPr>
                <w:rFonts w:ascii="Arial" w:cs="Arial" w:eastAsia="Arial" w:hAnsi="Arial"/>
                <w:color w:val="999999"/>
                <w:sz w:val="16"/>
                <w:szCs w:val="16"/>
              </w:rPr>
              <w:t xml:space="preserve">After all dilution</w:t>
            </w:r>
          </w:p>
        </w:tc>
      </w:tr>
    </w:tbl>
    <w:p>
      <w:pPr>
        <w:spacing w:after="200"/>
      </w:pPr>
    </w:p>
    <w:p>
      <w:pPr>
        <w:pStyle w:val="Heading3"/>
      </w:pPr>
      <w:r>
        <w:t xml:space="preserve">Path A: Series B (₹60–100 Cr raise)</w:t>
      </w:r>
    </w:p>
    <w:p>
      <w:pPr>
        <w:spacing w:after="200"/>
      </w:pPr>
      <w:r>
        <w:rPr>
          <w:rFonts w:ascii="Arial" w:cs="Arial" w:eastAsia="Arial" w:hAnsi="Arial"/>
          <w:color w:val="333333"/>
          <w:sz w:val="22"/>
          <w:szCs w:val="22"/>
        </w:rPr>
        <w:t xml:space="preserve">Raise if you believe the market is big enough to support a ₹2,000+ Cr outcome and you want to be the category leader for 5+ years. You’d raise at a ₹300–500 Cr valuation, give up 15–20%, and use the capital to blitz into 100K+ subscribers and expand into Tier 2/3 cities. This is the path to a $200M+ outcome but adds 2–3 more years of execution. Your ownership drops to ~45–55%.</w:t>
      </w:r>
    </w:p>
    <w:p>
      <w:pPr>
        <w:pStyle w:val="Heading3"/>
      </w:pPr>
      <w:r>
        <w:t xml:space="preserve">Path B: Strategic Exit at $100M (₹840 Cr)</w:t>
      </w:r>
    </w:p>
    <w:p>
      <w:pPr>
        <w:spacing w:after="200"/>
      </w:pPr>
      <w:r>
        <w:rPr>
          <w:rFonts w:ascii="Arial" w:cs="Arial" w:eastAsia="Arial" w:hAnsi="Arial"/>
          <w:color w:val="333333"/>
          <w:sz w:val="22"/>
          <w:szCs w:val="22"/>
        </w:rPr>
        <w:t xml:space="preserve">Sell to a pharma company that wants a ready-made D2C prescription platform. At ₹50–100 Cr ARR with 30K–60K subscribers, you’re valued at 6–9x revenue. This is the Wellbeing Nutrition playbook—USV paid 9.3x for a D2C wellness brand because they wanted the digital distribution channel.</w:t>
      </w:r>
    </w:p>
    <w:p>
      <w:pPr>
        <w:spacing w:after="100"/>
      </w:pPr>
    </w:p>
    <w:p>
      <w:pPr>
        <w:pStyle w:val="Heading3"/>
      </w:pPr>
      <w:r>
        <w:t xml:space="preserve">Most likely acquirers:</w:t>
      </w:r>
    </w:p>
    <w:p>
      <w:pPr>
        <w:pStyle w:val="ListParagraph"/>
        <w:numPr>
          <w:ilvl w:val="0"/>
          <w:numId w:val="7"/>
        </w:numPr>
        <w:spacing w:after="120"/>
      </w:pPr>
      <w:r>
        <w:rPr>
          <w:rFonts w:ascii="Arial" w:cs="Arial" w:eastAsia="Arial" w:hAnsi="Arial"/>
          <w:b/>
          <w:bCs/>
          <w:sz w:val="22"/>
          <w:szCs w:val="22"/>
        </w:rPr>
        <w:t xml:space="preserve">USV Pharma </w:t>
      </w:r>
      <w:r>
        <w:rPr>
          <w:rFonts w:ascii="Arial" w:cs="Arial" w:eastAsia="Arial" w:hAnsi="Arial"/>
          <w:sz w:val="22"/>
          <w:szCs w:val="22"/>
        </w:rPr>
        <w:t xml:space="preserve">— Already acquired Wellbeing Nutrition for ₹1,583 Cr. Proven appetite for D2C health acquisitions.</w:t>
      </w:r>
    </w:p>
    <w:p>
      <w:pPr>
        <w:pStyle w:val="ListParagraph"/>
        <w:numPr>
          <w:ilvl w:val="0"/>
          <w:numId w:val="7"/>
        </w:numPr>
        <w:spacing w:after="120"/>
      </w:pPr>
      <w:r>
        <w:rPr>
          <w:rFonts w:ascii="Arial" w:cs="Arial" w:eastAsia="Arial" w:hAnsi="Arial"/>
          <w:b/>
          <w:bCs/>
          <w:sz w:val="22"/>
          <w:szCs w:val="22"/>
        </w:rPr>
        <w:t xml:space="preserve">Cipla / Cipla Health </w:t>
      </w:r>
      <w:r>
        <w:rPr>
          <w:rFonts w:ascii="Arial" w:cs="Arial" w:eastAsia="Arial" w:hAnsi="Arial"/>
          <w:sz w:val="22"/>
          <w:szCs w:val="22"/>
        </w:rPr>
        <w:t xml:space="preserve">— Has an active CVC and consumer health division. arq gives them a D2C Rx channel overnight.</w:t>
      </w:r>
    </w:p>
    <w:p>
      <w:pPr>
        <w:pStyle w:val="ListParagraph"/>
        <w:numPr>
          <w:ilvl w:val="0"/>
          <w:numId w:val="7"/>
        </w:numPr>
        <w:spacing w:after="120"/>
      </w:pPr>
      <w:r>
        <w:rPr>
          <w:rFonts w:ascii="Arial" w:cs="Arial" w:eastAsia="Arial" w:hAnsi="Arial"/>
          <w:b/>
          <w:bCs/>
          <w:sz w:val="22"/>
          <w:szCs w:val="22"/>
        </w:rPr>
        <w:t xml:space="preserve">Mankind Pharma </w:t>
      </w:r>
      <w:r>
        <w:rPr>
          <w:rFonts w:ascii="Arial" w:cs="Arial" w:eastAsia="Arial" w:hAnsi="Arial"/>
          <w:sz w:val="22"/>
          <w:szCs w:val="22"/>
        </w:rPr>
        <w:t xml:space="preserve">— Recently IPO’d with cash to deploy. Consumer-facing brand portfolio would benefit from an Rx subscription channel.</w:t>
      </w:r>
    </w:p>
    <w:p>
      <w:pPr>
        <w:pStyle w:val="ListParagraph"/>
        <w:numPr>
          <w:ilvl w:val="0"/>
          <w:numId w:val="7"/>
        </w:numPr>
        <w:spacing w:after="120"/>
      </w:pPr>
      <w:r>
        <w:rPr>
          <w:rFonts w:ascii="Arial" w:cs="Arial" w:eastAsia="Arial" w:hAnsi="Arial"/>
          <w:b/>
          <w:bCs/>
          <w:sz w:val="22"/>
          <w:szCs w:val="22"/>
        </w:rPr>
        <w:t xml:space="preserve">Torrent Pharma </w:t>
      </w:r>
      <w:r>
        <w:rPr>
          <w:rFonts w:ascii="Arial" w:cs="Arial" w:eastAsia="Arial" w:hAnsi="Arial"/>
          <w:sz w:val="22"/>
          <w:szCs w:val="22"/>
        </w:rPr>
        <w:t xml:space="preserve">— Strong in chronic care. arq’s subscriber model fits their long-term patient relationship approach.</w:t>
      </w:r>
    </w:p>
    <w:p>
      <w:pPr>
        <w:pStyle w:val="ListParagraph"/>
        <w:numPr>
          <w:ilvl w:val="0"/>
          <w:numId w:val="7"/>
        </w:numPr>
        <w:spacing w:after="200"/>
      </w:pPr>
      <w:r>
        <w:rPr>
          <w:rFonts w:ascii="Arial" w:cs="Arial" w:eastAsia="Arial" w:hAnsi="Arial"/>
          <w:b/>
          <w:bCs/>
          <w:sz w:val="22"/>
          <w:szCs w:val="22"/>
        </w:rPr>
        <w:t xml:space="preserve">Hims &amp; Hers / Ro (international) </w:t>
      </w:r>
      <w:r>
        <w:rPr>
          <w:rFonts w:ascii="Arial" w:cs="Arial" w:eastAsia="Arial" w:hAnsi="Arial"/>
          <w:sz w:val="22"/>
          <w:szCs w:val="22"/>
        </w:rPr>
        <w:t xml:space="preserve">— If either decides to enter India, acquiring arq is faster than building from scratch.</w:t>
      </w:r>
    </w:p>
    <w:p>
      <w:r>
        <w:br w:type="page"/>
      </w:r>
    </w:p>
    <w:p>
      <w:pPr>
        <w:pStyle w:val="Heading1"/>
      </w:pPr>
      <w:r>
        <w:t xml:space="preserve">Your Personal Economics</w:t>
      </w:r>
    </w:p>
    <w:p>
      <w:pPr>
        <w:pBdr>
          <w:bottom w:val="single" w:color="C9A050" w:sz="6" w:space="1"/>
        </w:pBdr>
        <w:spacing w:after="300"/>
      </w:pPr>
    </w:p>
    <w:p>
      <w:pPr>
        <w:spacing w:after="200"/>
      </w:pPr>
      <w:r>
        <w:rPr>
          <w:rFonts w:ascii="Arial" w:cs="Arial" w:eastAsia="Arial" w:hAnsi="Arial"/>
          <w:b/>
          <w:bCs/>
          <w:color w:val="333333"/>
          <w:sz w:val="22"/>
          <w:szCs w:val="22"/>
        </w:rPr>
        <w:t xml:space="preserve">The question isn’t just "can the company sell for $100M.” It’s "how much of that $100M is yours."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50"/>
        <w:gridCol w:w="1350"/>
        <w:gridCol w:w="1350"/>
        <w:gridCol w:w="1350"/>
        <w:gridCol w:w="1360"/>
      </w:tblGrid>
      <w:tr>
        <w:tc>
          <w:tcPr>
            <w:tcW w:type="dxa" w:w="26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35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FFFFFF"/>
                <w:sz w:val="20"/>
                <w:szCs w:val="20"/>
              </w:rPr>
              <w:t xml:space="preserve">Raise</w:t>
            </w:r>
          </w:p>
        </w:tc>
        <w:tc>
          <w:tcPr>
            <w:tcW w:type="dxa" w:w="135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FFFFFF"/>
                <w:sz w:val="20"/>
                <w:szCs w:val="20"/>
              </w:rPr>
              <w:t xml:space="preserve">Pre-Val</w:t>
            </w:r>
          </w:p>
        </w:tc>
        <w:tc>
          <w:tcPr>
            <w:tcW w:type="dxa" w:w="135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FFFFFF"/>
                <w:sz w:val="20"/>
                <w:szCs w:val="20"/>
              </w:rPr>
              <w:t xml:space="preserve">Dilution</w:t>
            </w:r>
          </w:p>
        </w:tc>
        <w:tc>
          <w:tcPr>
            <w:tcW w:type="dxa" w:w="135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FFFFFF"/>
                <w:sz w:val="20"/>
                <w:szCs w:val="20"/>
              </w:rPr>
              <w:t xml:space="preserve">Your %</w:t>
            </w:r>
          </w:p>
        </w:tc>
        <w:tc>
          <w:tcPr>
            <w:tcW w:type="dxa" w:w="136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FFFFFF"/>
                <w:sz w:val="20"/>
                <w:szCs w:val="20"/>
              </w:rPr>
              <w:t xml:space="preserve">Your $ at exit</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Start</w:t>
            </w:r>
          </w:p>
        </w:tc>
        <w:tc>
          <w:tcPr>
            <w:tcW w:type="dxa" w:w="13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—1 Cr own</w:t>
            </w:r>
          </w:p>
        </w:tc>
        <w:tc>
          <w:tcPr>
            <w:tcW w:type="dxa" w:w="13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c>
          <w:tcPr>
            <w:tcW w:type="dxa" w:w="13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0%</w:t>
            </w:r>
          </w:p>
        </w:tc>
        <w:tc>
          <w:tcPr>
            <w:tcW w:type="dxa" w:w="13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333333"/>
                <w:sz w:val="20"/>
                <w:szCs w:val="20"/>
              </w:rPr>
              <w:t xml:space="preserve">100%</w:t>
            </w:r>
          </w:p>
        </w:tc>
        <w:tc>
          <w:tcPr>
            <w:tcW w:type="dxa" w:w="1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r>
      <w:tr>
        <w:tc>
          <w:tcPr>
            <w:tcW w:type="dxa" w:w="2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333333"/>
                <w:sz w:val="20"/>
                <w:szCs w:val="20"/>
              </w:rPr>
              <w:t xml:space="preserve">Seed (M7)</w:t>
            </w:r>
          </w:p>
        </w:tc>
        <w:tc>
          <w:tcPr>
            <w:tcW w:type="dxa" w:w="135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333333"/>
                <w:sz w:val="20"/>
                <w:szCs w:val="20"/>
              </w:rPr>
              <w:t xml:space="preserve">₹4 Cr</w:t>
            </w:r>
          </w:p>
        </w:tc>
        <w:tc>
          <w:tcPr>
            <w:tcW w:type="dxa" w:w="135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333333"/>
                <w:sz w:val="20"/>
                <w:szCs w:val="20"/>
              </w:rPr>
              <w:t xml:space="preserve">₹25 Cr</w:t>
            </w:r>
          </w:p>
        </w:tc>
        <w:tc>
          <w:tcPr>
            <w:tcW w:type="dxa" w:w="135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333333"/>
                <w:sz w:val="20"/>
                <w:szCs w:val="20"/>
              </w:rPr>
              <w:t xml:space="preserve">14%</w:t>
            </w:r>
          </w:p>
        </w:tc>
        <w:tc>
          <w:tcPr>
            <w:tcW w:type="dxa" w:w="135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b/>
                <w:bCs/>
                <w:color w:val="333333"/>
                <w:sz w:val="20"/>
                <w:szCs w:val="20"/>
              </w:rPr>
              <w:t xml:space="preserve">86%</w:t>
            </w:r>
          </w:p>
        </w:tc>
        <w:tc>
          <w:tcPr>
            <w:tcW w:type="dxa" w:w="13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333333"/>
                <w:sz w:val="20"/>
                <w:szCs w:val="20"/>
              </w:rPr>
              <w:t xml:space="preserve">$86M</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ESOP pool</w:t>
            </w:r>
          </w:p>
        </w:tc>
        <w:tc>
          <w:tcPr>
            <w:tcW w:type="dxa" w:w="13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c>
          <w:tcPr>
            <w:tcW w:type="dxa" w:w="13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c>
          <w:tcPr>
            <w:tcW w:type="dxa" w:w="13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10%</w:t>
            </w:r>
          </w:p>
        </w:tc>
        <w:tc>
          <w:tcPr>
            <w:tcW w:type="dxa" w:w="13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333333"/>
                <w:sz w:val="20"/>
                <w:szCs w:val="20"/>
              </w:rPr>
              <w:t xml:space="preserve">76%</w:t>
            </w:r>
          </w:p>
        </w:tc>
        <w:tc>
          <w:tcPr>
            <w:tcW w:type="dxa" w:w="1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$76M</w:t>
            </w:r>
          </w:p>
        </w:tc>
      </w:tr>
      <w:tr>
        <w:tc>
          <w:tcPr>
            <w:tcW w:type="dxa" w:w="26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333333"/>
                <w:sz w:val="20"/>
                <w:szCs w:val="20"/>
              </w:rPr>
              <w:t xml:space="preserve">Series A (M18)</w:t>
            </w:r>
          </w:p>
        </w:tc>
        <w:tc>
          <w:tcPr>
            <w:tcW w:type="dxa" w:w="135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333333"/>
                <w:sz w:val="20"/>
                <w:szCs w:val="20"/>
              </w:rPr>
              <w:t xml:space="preserve">₹25 Cr</w:t>
            </w:r>
          </w:p>
        </w:tc>
        <w:tc>
          <w:tcPr>
            <w:tcW w:type="dxa" w:w="135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333333"/>
                <w:sz w:val="20"/>
                <w:szCs w:val="20"/>
              </w:rPr>
              <w:t xml:space="preserve">₹120 Cr</w:t>
            </w:r>
          </w:p>
        </w:tc>
        <w:tc>
          <w:tcPr>
            <w:tcW w:type="dxa" w:w="135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333333"/>
                <w:sz w:val="20"/>
                <w:szCs w:val="20"/>
              </w:rPr>
              <w:t xml:space="preserve">17%</w:t>
            </w:r>
          </w:p>
        </w:tc>
        <w:tc>
          <w:tcPr>
            <w:tcW w:type="dxa" w:w="135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b/>
                <w:bCs/>
                <w:color w:val="333333"/>
                <w:sz w:val="20"/>
                <w:szCs w:val="20"/>
              </w:rPr>
              <w:t xml:space="preserve">63%</w:t>
            </w:r>
          </w:p>
        </w:tc>
        <w:tc>
          <w:tcPr>
            <w:tcW w:type="dxa" w:w="13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r>
              <w:rPr>
                <w:rFonts w:ascii="Arial" w:cs="Arial" w:eastAsia="Arial" w:hAnsi="Arial"/>
                <w:color w:val="333333"/>
                <w:sz w:val="20"/>
                <w:szCs w:val="20"/>
              </w:rPr>
              <w:t xml:space="preserve">$63M</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333333"/>
                <w:sz w:val="20"/>
                <w:szCs w:val="20"/>
              </w:rPr>
              <w:t xml:space="preserve">EXIT at $100M</w:t>
            </w:r>
          </w:p>
        </w:tc>
        <w:tc>
          <w:tcPr>
            <w:tcW w:type="dxa" w:w="13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c>
          <w:tcPr>
            <w:tcW w:type="dxa" w:w="13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₹840 Cr</w:t>
            </w:r>
          </w:p>
        </w:tc>
        <w:tc>
          <w:tcPr>
            <w:tcW w:type="dxa" w:w="13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0"/>
                <w:szCs w:val="20"/>
              </w:rPr>
              <w:t xml:space="preserve">—</w:t>
            </w:r>
          </w:p>
        </w:tc>
        <w:tc>
          <w:tcPr>
            <w:tcW w:type="dxa" w:w="135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333333"/>
                <w:sz w:val="20"/>
                <w:szCs w:val="20"/>
              </w:rPr>
              <w:t xml:space="preserve">63%</w:t>
            </w:r>
          </w:p>
        </w:tc>
        <w:tc>
          <w:tcPr>
            <w:tcW w:type="dxa" w:w="1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333333"/>
                <w:sz w:val="20"/>
                <w:szCs w:val="20"/>
              </w:rPr>
              <w:t xml:space="preserve">$63M</w:t>
            </w:r>
          </w:p>
        </w:tc>
      </w:tr>
    </w:tbl>
    <w:p>
      <w:pPr>
        <w:spacing w:after="200"/>
      </w:pPr>
    </w:p>
    <w:p>
      <w:pPr>
        <w:spacing w:after="200"/>
      </w:pPr>
      <w:r>
        <w:rPr>
          <w:rFonts w:ascii="Arial" w:cs="Arial" w:eastAsia="Arial" w:hAnsi="Arial"/>
          <w:b/>
          <w:bCs/>
          <w:color w:val="333333"/>
          <w:sz w:val="22"/>
          <w:szCs w:val="22"/>
        </w:rPr>
        <w:t xml:space="preserve">At $100M exit with ~63% ownership, your personal take is roughly $63M (₹530 Cr). </w:t>
      </w:r>
      <w:r>
        <w:rPr>
          <w:rFonts w:ascii="Arial" w:cs="Arial" w:eastAsia="Arial" w:hAnsi="Arial"/>
          <w:color w:val="333333"/>
          <w:sz w:val="22"/>
          <w:szCs w:val="22"/>
        </w:rPr>
        <w:t xml:space="preserve">This assumes you don’t raise a Series B. If you raise B, your stake drops to ~50–55%, making the personal take $50–55M. Both are life-changing.</w:t>
      </w:r>
    </w:p>
    <w:p>
      <w:pPr>
        <w:spacing w:after="200"/>
      </w:pPr>
      <w:r>
        <w:rPr>
          <w:rFonts w:ascii="Arial" w:cs="Arial" w:eastAsia="Arial" w:hAnsi="Arial"/>
          <w:b/>
          <w:bCs/>
          <w:color w:val="333333"/>
          <w:sz w:val="22"/>
          <w:szCs w:val="22"/>
        </w:rPr>
        <w:t xml:space="preserve">The dilution-minimization playbook: </w:t>
      </w:r>
      <w:r>
        <w:rPr>
          <w:rFonts w:ascii="Arial" w:cs="Arial" w:eastAsia="Arial" w:hAnsi="Arial"/>
          <w:color w:val="333333"/>
          <w:sz w:val="22"/>
          <w:szCs w:val="22"/>
        </w:rPr>
        <w:t xml:space="preserve">Every month you delay fundraising while growing revenue, your valuation increases. Raising seed at ₹25 Cr instead of ₹5 Cr (because you waited for traction) saves you 20+ percentage points of ownership. That’s the difference between a $40M personal outcome and a $63M one.</w:t>
      </w:r>
    </w:p>
    <w:p>
      <w:r>
        <w:br w:type="page"/>
      </w:r>
    </w:p>
    <w:p>
      <w:pPr>
        <w:pStyle w:val="Heading1"/>
      </w:pPr>
      <w:r>
        <w:t xml:space="preserve">The 36-Month Operating Plan</w:t>
      </w:r>
    </w:p>
    <w:p>
      <w:pPr>
        <w:pBdr>
          <w:bottom w:val="single" w:color="C9A050" w:sz="6" w:space="1"/>
        </w:pBdr>
        <w:spacing w:after="300"/>
      </w:pPr>
    </w:p>
    <w:p>
      <w:pPr>
        <w:pStyle w:val="Heading2"/>
      </w:pPr>
      <w:r>
        <w:t xml:space="preserve">Phase 1: Prove (Months 1–6)</w:t>
      </w:r>
    </w:p>
    <w:p>
      <w:pPr>
        <w:spacing w:after="200"/>
      </w:pPr>
      <w:r>
        <w:rPr>
          <w:rFonts w:ascii="Arial" w:cs="Arial" w:eastAsia="Arial" w:hAnsi="Arial"/>
          <w:b/>
          <w:bCs/>
          <w:color w:val="333333"/>
          <w:sz w:val="22"/>
          <w:szCs w:val="22"/>
        </w:rPr>
        <w:t xml:space="preserve">Objective: </w:t>
      </w:r>
      <w:r>
        <w:rPr>
          <w:rFonts w:ascii="Arial" w:cs="Arial" w:eastAsia="Arial" w:hAnsi="Arial"/>
          <w:color w:val="333333"/>
          <w:sz w:val="22"/>
          <w:szCs w:val="22"/>
        </w:rPr>
        <w:t xml:space="preserve">Demonstrate product-market fit with 500 subscribers, ₹50L/month revenue, and a functioning doctor-prescription-delivery pipeline.</w:t>
      </w:r>
    </w:p>
    <w:p>
      <w:pPr>
        <w:pStyle w:val="ListParagraph"/>
        <w:numPr>
          <w:ilvl w:val="0"/>
          <w:numId w:val="8"/>
        </w:numPr>
        <w:spacing w:after="120"/>
      </w:pPr>
      <w:r>
        <w:rPr>
          <w:rFonts w:ascii="Arial" w:cs="Arial" w:eastAsia="Arial" w:hAnsi="Arial"/>
          <w:b/>
          <w:bCs/>
          <w:sz w:val="22"/>
          <w:szCs w:val="22"/>
        </w:rPr>
        <w:t xml:space="preserve">Month 1–2: </w:t>
      </w:r>
      <w:r>
        <w:rPr>
          <w:rFonts w:ascii="Arial" w:cs="Arial" w:eastAsia="Arial" w:hAnsi="Arial"/>
          <w:sz w:val="22"/>
          <w:szCs w:val="22"/>
        </w:rPr>
        <w:t xml:space="preserve">Launch with 5 protocols (Modafinil, Armodafinil, Finasteride, Semaglutide, Sildenafil). Onboard 5 doctors. Manual operations. Target: 50–100 paid orders.</w:t>
      </w:r>
    </w:p>
    <w:p>
      <w:pPr>
        <w:pStyle w:val="ListParagraph"/>
        <w:numPr>
          <w:ilvl w:val="0"/>
          <w:numId w:val="8"/>
        </w:numPr>
        <w:spacing w:after="120"/>
      </w:pPr>
      <w:r>
        <w:rPr>
          <w:rFonts w:ascii="Arial" w:cs="Arial" w:eastAsia="Arial" w:hAnsi="Arial"/>
          <w:b/>
          <w:bCs/>
          <w:sz w:val="22"/>
          <w:szCs w:val="22"/>
        </w:rPr>
        <w:t xml:space="preserve">Month 3–4: </w:t>
      </w:r>
      <w:r>
        <w:rPr>
          <w:rFonts w:ascii="Arial" w:cs="Arial" w:eastAsia="Arial" w:hAnsi="Arial"/>
          <w:sz w:val="22"/>
          <w:szCs w:val="22"/>
        </w:rPr>
        <w:t xml:space="preserve">Add 10 more protocols. Start Google Ads on “modafinil India,” “semaglutide India,” “BPC-157 buy India.” Optimize landing pages. Build WhatsApp automation for post-purchase flow. Target: 200–300 active subs.</w:t>
      </w:r>
    </w:p>
    <w:p>
      <w:pPr>
        <w:pStyle w:val="ListParagraph"/>
        <w:numPr>
          <w:ilvl w:val="0"/>
          <w:numId w:val="8"/>
        </w:numPr>
        <w:spacing w:after="200"/>
      </w:pPr>
      <w:r>
        <w:rPr>
          <w:rFonts w:ascii="Arial" w:cs="Arial" w:eastAsia="Arial" w:hAnsi="Arial"/>
          <w:b/>
          <w:bCs/>
          <w:sz w:val="22"/>
          <w:szCs w:val="22"/>
        </w:rPr>
        <w:t xml:space="preserve">Month 5–6: </w:t>
      </w:r>
      <w:r>
        <w:rPr>
          <w:rFonts w:ascii="Arial" w:cs="Arial" w:eastAsia="Arial" w:hAnsi="Arial"/>
          <w:sz w:val="22"/>
          <w:szCs w:val="22"/>
        </w:rPr>
        <w:t xml:space="preserve">Full 26-protocol catalog live. SEO content machine running (2 articles/week targeting KD &lt; 25 keywords from the SEO master plan). Doctor network at 8–10. Start collecting NPS, retention, and LTV data obsessively. Target: 500+ active subs, ₹50L+/month.</w:t>
      </w:r>
    </w:p>
    <w:p>
      <w:pPr>
        <w:pStyle w:val="Heading2"/>
      </w:pPr>
      <w:r>
        <w:t xml:space="preserve">Phase 2: Scale (Months 7–18)</w:t>
      </w:r>
    </w:p>
    <w:p>
      <w:pPr>
        <w:spacing w:after="200"/>
      </w:pPr>
      <w:r>
        <w:rPr>
          <w:rFonts w:ascii="Arial" w:cs="Arial" w:eastAsia="Arial" w:hAnsi="Arial"/>
          <w:b/>
          <w:bCs/>
          <w:color w:val="333333"/>
          <w:sz w:val="22"/>
          <w:szCs w:val="22"/>
        </w:rPr>
        <w:t xml:space="preserve">Objective: </w:t>
      </w:r>
      <w:r>
        <w:rPr>
          <w:rFonts w:ascii="Arial" w:cs="Arial" w:eastAsia="Arial" w:hAnsi="Arial"/>
          <w:color w:val="333333"/>
          <w:sz w:val="22"/>
          <w:szCs w:val="22"/>
        </w:rPr>
        <w:t xml:space="preserve">Raise seed. Go from 500 to 3,000+ subscribers. Build the operating team. Achieve ₹4–6 Cr ARR.</w:t>
      </w:r>
    </w:p>
    <w:p>
      <w:pPr>
        <w:pStyle w:val="ListParagraph"/>
        <w:numPr>
          <w:ilvl w:val="0"/>
          <w:numId w:val="9"/>
        </w:numPr>
        <w:spacing w:after="120"/>
      </w:pPr>
      <w:r>
        <w:rPr>
          <w:rFonts w:ascii="Arial" w:cs="Arial" w:eastAsia="Arial" w:hAnsi="Arial"/>
          <w:b/>
          <w:bCs/>
          <w:sz w:val="22"/>
          <w:szCs w:val="22"/>
        </w:rPr>
        <w:t xml:space="preserve">Team: </w:t>
      </w:r>
      <w:r>
        <w:rPr>
          <w:rFonts w:ascii="Arial" w:cs="Arial" w:eastAsia="Arial" w:hAnsi="Arial"/>
          <w:sz w:val="22"/>
          <w:szCs w:val="22"/>
        </w:rPr>
        <w:t xml:space="preserve">Hire Head of Medical (doctor who manages physician network), 1 full-stack engineer (automate scheduling, CRM, prescription tracking), 1 growth marketer (owns CAC and channel mix).</w:t>
      </w:r>
    </w:p>
    <w:p>
      <w:pPr>
        <w:pStyle w:val="ListParagraph"/>
        <w:numPr>
          <w:ilvl w:val="0"/>
          <w:numId w:val="9"/>
        </w:numPr>
        <w:spacing w:after="120"/>
      </w:pPr>
      <w:r>
        <w:rPr>
          <w:rFonts w:ascii="Arial" w:cs="Arial" w:eastAsia="Arial" w:hAnsi="Arial"/>
          <w:b/>
          <w:bCs/>
          <w:sz w:val="22"/>
          <w:szCs w:val="22"/>
        </w:rPr>
        <w:t xml:space="preserve">Marketing: </w:t>
      </w:r>
      <w:r>
        <w:rPr>
          <w:rFonts w:ascii="Arial" w:cs="Arial" w:eastAsia="Arial" w:hAnsi="Arial"/>
          <w:sz w:val="22"/>
          <w:szCs w:val="22"/>
        </w:rPr>
        <w:t xml:space="preserve">Scale Google Ads budget to ₹10–15L/month. Launch Instagram/YouTube content ("Day in the life of a biohacker" series). Influencer partnerships with fitness creators. SEO should be generating 30%+ of traffic by month 12.</w:t>
      </w:r>
    </w:p>
    <w:p>
      <w:pPr>
        <w:pStyle w:val="ListParagraph"/>
        <w:numPr>
          <w:ilvl w:val="0"/>
          <w:numId w:val="9"/>
        </w:numPr>
        <w:spacing w:after="120"/>
      </w:pPr>
      <w:r>
        <w:rPr>
          <w:rFonts w:ascii="Arial" w:cs="Arial" w:eastAsia="Arial" w:hAnsi="Arial"/>
          <w:b/>
          <w:bCs/>
          <w:sz w:val="22"/>
          <w:szCs w:val="22"/>
        </w:rPr>
        <w:t xml:space="preserve">Operations: </w:t>
      </w:r>
      <w:r>
        <w:rPr>
          <w:rFonts w:ascii="Arial" w:cs="Arial" w:eastAsia="Arial" w:hAnsi="Arial"/>
          <w:sz w:val="22"/>
          <w:szCs w:val="22"/>
        </w:rPr>
        <w:t xml:space="preserve">Doctor network at 15–20. Automate the consultation scheduling. Build pharmacy partnerships in Mumbai, Delhi, Bangalore for same-day dispatch. Track consultation completion rate, prescription conversion rate, delivery time.</w:t>
      </w:r>
    </w:p>
    <w:p>
      <w:pPr>
        <w:pStyle w:val="ListParagraph"/>
        <w:numPr>
          <w:ilvl w:val="0"/>
          <w:numId w:val="9"/>
        </w:numPr>
        <w:spacing w:after="200"/>
      </w:pPr>
      <w:r>
        <w:rPr>
          <w:rFonts w:ascii="Arial" w:cs="Arial" w:eastAsia="Arial" w:hAnsi="Arial"/>
          <w:b/>
          <w:bCs/>
          <w:sz w:val="22"/>
          <w:szCs w:val="22"/>
        </w:rPr>
        <w:t xml:space="preserve">Product: </w:t>
      </w:r>
      <w:r>
        <w:rPr>
          <w:rFonts w:ascii="Arial" w:cs="Arial" w:eastAsia="Arial" w:hAnsi="Arial"/>
          <w:sz w:val="22"/>
          <w:szCs w:val="22"/>
        </w:rPr>
        <w:t xml:space="preserve">Launch protocol bundles (Cognitive Stack, Longevity Stack). Introduce quarterly blood work add-on (₹2,000–3,000, massive LTV boost). Build a patient dashboard for tracking prescriptions and upcoming consultations.</w:t>
      </w:r>
    </w:p>
    <w:p>
      <w:pPr>
        <w:pStyle w:val="Heading2"/>
      </w:pPr>
      <w:r>
        <w:t xml:space="preserve">Phase 3: Blitz (Months 19–36)</w:t>
      </w:r>
    </w:p>
    <w:p>
      <w:pPr>
        <w:spacing w:after="200"/>
      </w:pPr>
      <w:r>
        <w:rPr>
          <w:rFonts w:ascii="Arial" w:cs="Arial" w:eastAsia="Arial" w:hAnsi="Arial"/>
          <w:b/>
          <w:bCs/>
          <w:color w:val="333333"/>
          <w:sz w:val="22"/>
          <w:szCs w:val="22"/>
        </w:rPr>
        <w:t xml:space="preserve">Objective: </w:t>
      </w:r>
      <w:r>
        <w:rPr>
          <w:rFonts w:ascii="Arial" w:cs="Arial" w:eastAsia="Arial" w:hAnsi="Arial"/>
          <w:color w:val="333333"/>
          <w:sz w:val="22"/>
          <w:szCs w:val="22"/>
        </w:rPr>
        <w:t xml:space="preserve">Raise Series A. Go from 3,000 to 30,000–60,000 subscribers. Build a company that’s worth acquiring.</w:t>
      </w:r>
    </w:p>
    <w:p>
      <w:pPr>
        <w:pStyle w:val="ListParagraph"/>
        <w:numPr>
          <w:ilvl w:val="0"/>
          <w:numId w:val="10"/>
        </w:numPr>
        <w:spacing w:after="120"/>
      </w:pPr>
      <w:r>
        <w:rPr>
          <w:rFonts w:ascii="Arial" w:cs="Arial" w:eastAsia="Arial" w:hAnsi="Arial"/>
          <w:b/>
          <w:bCs/>
          <w:sz w:val="22"/>
          <w:szCs w:val="22"/>
        </w:rPr>
        <w:t xml:space="preserve">Team: </w:t>
      </w:r>
      <w:r>
        <w:rPr>
          <w:rFonts w:ascii="Arial" w:cs="Arial" w:eastAsia="Arial" w:hAnsi="Arial"/>
          <w:sz w:val="22"/>
          <w:szCs w:val="22"/>
        </w:rPr>
        <w:t xml:space="preserve">Hire COO (operations), VP Growth, 3–5 more engineers. Doctor network: 40–60 physicians. Customer success team of 5–10 handling protocol questions and renewals.</w:t>
      </w:r>
    </w:p>
    <w:p>
      <w:pPr>
        <w:pStyle w:val="ListParagraph"/>
        <w:numPr>
          <w:ilvl w:val="0"/>
          <w:numId w:val="10"/>
        </w:numPr>
        <w:spacing w:after="120"/>
      </w:pPr>
      <w:r>
        <w:rPr>
          <w:rFonts w:ascii="Arial" w:cs="Arial" w:eastAsia="Arial" w:hAnsi="Arial"/>
          <w:b/>
          <w:bCs/>
          <w:sz w:val="22"/>
          <w:szCs w:val="22"/>
        </w:rPr>
        <w:t xml:space="preserve">Expansion: </w:t>
      </w:r>
      <w:r>
        <w:rPr>
          <w:rFonts w:ascii="Arial" w:cs="Arial" w:eastAsia="Arial" w:hAnsi="Arial"/>
          <w:sz w:val="22"/>
          <w:szCs w:val="22"/>
        </w:rPr>
        <w:t xml:space="preserve">Tier 2 cities (Pune, Hyderabad, Chennai, Ahmedabad, Kolkata). Hindi-language site and ads. Regional pharmacy partnerships. Consider women’s health vertical (hormonal protocols, skin, weight) to double TAM.</w:t>
      </w:r>
    </w:p>
    <w:p>
      <w:pPr>
        <w:pStyle w:val="ListParagraph"/>
        <w:numPr>
          <w:ilvl w:val="0"/>
          <w:numId w:val="10"/>
        </w:numPr>
        <w:spacing w:after="120"/>
      </w:pPr>
      <w:r>
        <w:rPr>
          <w:rFonts w:ascii="Arial" w:cs="Arial" w:eastAsia="Arial" w:hAnsi="Arial"/>
          <w:b/>
          <w:bCs/>
          <w:sz w:val="22"/>
          <w:szCs w:val="22"/>
        </w:rPr>
        <w:t xml:space="preserve">Revenue levers: </w:t>
      </w:r>
      <w:r>
        <w:rPr>
          <w:rFonts w:ascii="Arial" w:cs="Arial" w:eastAsia="Arial" w:hAnsi="Arial"/>
          <w:sz w:val="22"/>
          <w:szCs w:val="22"/>
        </w:rPr>
        <w:t xml:space="preserve">Annual subscription plans at 15–20% discount (reduces churn to 5–7%). Upgrade paths between protocols. Quarterly diagnostics packages. Corporate wellness partnerships (offer arq protocols as employee benefits).</w:t>
      </w:r>
    </w:p>
    <w:p>
      <w:pPr>
        <w:pStyle w:val="ListParagraph"/>
        <w:numPr>
          <w:ilvl w:val="0"/>
          <w:numId w:val="10"/>
        </w:numPr>
        <w:spacing w:after="200"/>
      </w:pPr>
      <w:r>
        <w:rPr>
          <w:rFonts w:ascii="Arial" w:cs="Arial" w:eastAsia="Arial" w:hAnsi="Arial"/>
          <w:b/>
          <w:bCs/>
          <w:sz w:val="22"/>
          <w:szCs w:val="22"/>
        </w:rPr>
        <w:t xml:space="preserve">Exit preparation: </w:t>
      </w:r>
      <w:r>
        <w:rPr>
          <w:rFonts w:ascii="Arial" w:cs="Arial" w:eastAsia="Arial" w:hAnsi="Arial"/>
          <w:sz w:val="22"/>
          <w:szCs w:val="22"/>
        </w:rPr>
        <w:t xml:space="preserve">Clean up cap table. Ensure all compliance documentation is audit-ready. Build a data room. Start warm conversations with pharma strategic development teams 6 months before you want to sell. Hire an investment banker if the deal is going above ₹500 Cr.</w:t>
      </w:r>
    </w:p>
    <w:p>
      <w:r>
        <w:br w:type="page"/>
      </w:r>
    </w:p>
    <w:p>
      <w:pPr>
        <w:pStyle w:val="Heading1"/>
      </w:pPr>
      <w:r>
        <w:t xml:space="preserve">Non-Negotiable Rules</w:t>
      </w:r>
    </w:p>
    <w:p>
      <w:pPr>
        <w:pBdr>
          <w:bottom w:val="single" w:color="C9A050" w:sz="6" w:space="1"/>
        </w:pBdr>
        <w:spacing w:after="300"/>
      </w:pPr>
    </w:p>
    <w:p>
      <w:pPr>
        <w:pStyle w:val="Heading2"/>
      </w:pPr>
      <w:r>
        <w:t xml:space="preserve">On fundraising:</w:t>
      </w:r>
    </w:p>
    <w:p>
      <w:pPr>
        <w:pStyle w:val="ListParagraph"/>
        <w:numPr>
          <w:ilvl w:val="0"/>
          <w:numId w:val="2"/>
        </w:numPr>
        <w:spacing w:after="160"/>
      </w:pPr>
      <w:r>
        <w:rPr>
          <w:rFonts w:ascii="Arial" w:cs="Arial" w:eastAsia="Arial" w:hAnsi="Arial"/>
          <w:b/>
          <w:bCs/>
          <w:sz w:val="22"/>
          <w:szCs w:val="22"/>
        </w:rPr>
        <w:t xml:space="preserve">Never raise at less than 5x your trailing 12-month revenue. </w:t>
      </w:r>
      <w:r>
        <w:rPr>
          <w:rFonts w:ascii="Arial" w:cs="Arial" w:eastAsia="Arial" w:hAnsi="Arial"/>
          <w:sz w:val="22"/>
          <w:szCs w:val="22"/>
        </w:rPr>
        <w:t xml:space="preserve">If someone offers less, you don’t need their money yet. Keep growing.</w:t>
      </w:r>
    </w:p>
    <w:p>
      <w:pPr>
        <w:pStyle w:val="ListParagraph"/>
        <w:numPr>
          <w:ilvl w:val="0"/>
          <w:numId w:val="2"/>
        </w:numPr>
        <w:spacing w:after="160"/>
      </w:pPr>
      <w:r>
        <w:rPr>
          <w:rFonts w:ascii="Arial" w:cs="Arial" w:eastAsia="Arial" w:hAnsi="Arial"/>
          <w:b/>
          <w:bCs/>
          <w:sz w:val="22"/>
          <w:szCs w:val="22"/>
        </w:rPr>
        <w:t xml:space="preserve">Never give up board control before Series B. </w:t>
      </w:r>
      <w:r>
        <w:rPr>
          <w:rFonts w:ascii="Arial" w:cs="Arial" w:eastAsia="Arial" w:hAnsi="Arial"/>
          <w:sz w:val="22"/>
          <w:szCs w:val="22"/>
        </w:rPr>
        <w:t xml:space="preserve">At seed and A, you should have 2 founder seats and 1 investor seat. You’re the operator. Nobody should be able to override your decisions.</w:t>
      </w:r>
    </w:p>
    <w:p>
      <w:pPr>
        <w:pStyle w:val="ListParagraph"/>
        <w:numPr>
          <w:ilvl w:val="0"/>
          <w:numId w:val="2"/>
        </w:numPr>
        <w:spacing w:after="160"/>
      </w:pPr>
      <w:r>
        <w:rPr>
          <w:rFonts w:ascii="Arial" w:cs="Arial" w:eastAsia="Arial" w:hAnsi="Arial"/>
          <w:b/>
          <w:bCs/>
          <w:sz w:val="22"/>
          <w:szCs w:val="22"/>
        </w:rPr>
        <w:t xml:space="preserve">Use SAFE notes at seed, priced round at Series A. </w:t>
      </w:r>
      <w:r>
        <w:rPr>
          <w:rFonts w:ascii="Arial" w:cs="Arial" w:eastAsia="Arial" w:hAnsi="Arial"/>
          <w:sz w:val="22"/>
          <w:szCs w:val="22"/>
        </w:rPr>
        <w:t xml:space="preserve">SAFEs are faster, cheaper, and avoid the valuation negotiation when your numbers are still small. At Series A, you’ll have real metrics and can command a proper valuation.</w:t>
      </w:r>
    </w:p>
    <w:p>
      <w:pPr>
        <w:pStyle w:val="ListParagraph"/>
        <w:numPr>
          <w:ilvl w:val="0"/>
          <w:numId w:val="2"/>
        </w:numPr>
        <w:spacing w:after="160"/>
      </w:pPr>
      <w:r>
        <w:rPr>
          <w:rFonts w:ascii="Arial" w:cs="Arial" w:eastAsia="Arial" w:hAnsi="Arial"/>
          <w:b/>
          <w:bCs/>
          <w:sz w:val="22"/>
          <w:szCs w:val="22"/>
        </w:rPr>
        <w:t xml:space="preserve">Raise 18 months of runway, never 12. </w:t>
      </w:r>
      <w:r>
        <w:rPr>
          <w:rFonts w:ascii="Arial" w:cs="Arial" w:eastAsia="Arial" w:hAnsi="Arial"/>
          <w:sz w:val="22"/>
          <w:szCs w:val="22"/>
        </w:rPr>
        <w:t xml:space="preserve">Fundraising takes 3–6 months. If you raise 12 months of runway, you’re fundraising again in 6 months from a position of weakness.</w:t>
      </w:r>
    </w:p>
    <w:p>
      <w:pPr>
        <w:pStyle w:val="ListParagraph"/>
        <w:numPr>
          <w:ilvl w:val="0"/>
          <w:numId w:val="2"/>
        </w:numPr>
        <w:spacing w:after="200"/>
      </w:pPr>
      <w:r>
        <w:rPr>
          <w:rFonts w:ascii="Arial" w:cs="Arial" w:eastAsia="Arial" w:hAnsi="Arial"/>
          <w:b/>
          <w:bCs/>
          <w:sz w:val="22"/>
          <w:szCs w:val="22"/>
        </w:rPr>
        <w:t xml:space="preserve">One pharma CVC on the cap table by Series A. </w:t>
      </w:r>
      <w:r>
        <w:rPr>
          <w:rFonts w:ascii="Arial" w:cs="Arial" w:eastAsia="Arial" w:hAnsi="Arial"/>
          <w:sz w:val="22"/>
          <w:szCs w:val="22"/>
        </w:rPr>
        <w:t xml:space="preserve">This is your exit pipeline. The pharma company that invests is the most likely pharma company to acquire.</w:t>
      </w:r>
    </w:p>
    <w:p>
      <w:pPr>
        <w:pStyle w:val="Heading2"/>
      </w:pPr>
      <w:r>
        <w:t xml:space="preserve">On operations:</w:t>
      </w:r>
    </w:p>
    <w:p>
      <w:pPr>
        <w:pStyle w:val="ListParagraph"/>
        <w:numPr>
          <w:ilvl w:val="0"/>
          <w:numId w:val="2"/>
        </w:numPr>
        <w:spacing w:after="160"/>
      </w:pPr>
      <w:r>
        <w:rPr>
          <w:rFonts w:ascii="Arial" w:cs="Arial" w:eastAsia="Arial" w:hAnsi="Arial"/>
          <w:b/>
          <w:bCs/>
          <w:sz w:val="22"/>
          <w:szCs w:val="22"/>
        </w:rPr>
        <w:t xml:space="preserve">Zero regulatory incidents. </w:t>
      </w:r>
      <w:r>
        <w:rPr>
          <w:rFonts w:ascii="Arial" w:cs="Arial" w:eastAsia="Arial" w:hAnsi="Arial"/>
          <w:sz w:val="22"/>
          <w:szCs w:val="22"/>
        </w:rPr>
        <w:t xml:space="preserve">One CDSCO complaint or adverse event that’s mishandled kills the exit. Over-invest in compliance. Every prescription auditable. Every doctor verified. Every adverse event logged and escalated.</w:t>
      </w:r>
    </w:p>
    <w:p>
      <w:pPr>
        <w:pStyle w:val="ListParagraph"/>
        <w:numPr>
          <w:ilvl w:val="0"/>
          <w:numId w:val="2"/>
        </w:numPr>
        <w:spacing w:after="160"/>
      </w:pPr>
      <w:r>
        <w:rPr>
          <w:rFonts w:ascii="Arial" w:cs="Arial" w:eastAsia="Arial" w:hAnsi="Arial"/>
          <w:b/>
          <w:bCs/>
          <w:sz w:val="22"/>
          <w:szCs w:val="22"/>
        </w:rPr>
        <w:t xml:space="preserve">Measure churn weekly, not monthly. </w:t>
      </w:r>
      <w:r>
        <w:rPr>
          <w:rFonts w:ascii="Arial" w:cs="Arial" w:eastAsia="Arial" w:hAnsi="Arial"/>
          <w:sz w:val="22"/>
          <w:szCs w:val="22"/>
        </w:rPr>
        <w:t xml:space="preserve">Churn is the single metric that determines whether this is a $100M company or a $10M company. If churn exceeds 15% monthly for two consecutive months, stop all growth spending and fix retention.</w:t>
      </w:r>
    </w:p>
    <w:p>
      <w:pPr>
        <w:pStyle w:val="ListParagraph"/>
        <w:numPr>
          <w:ilvl w:val="0"/>
          <w:numId w:val="2"/>
        </w:numPr>
        <w:spacing w:after="200"/>
      </w:pPr>
      <w:r>
        <w:rPr>
          <w:rFonts w:ascii="Arial" w:cs="Arial" w:eastAsia="Arial" w:hAnsi="Arial"/>
          <w:b/>
          <w:bCs/>
          <w:sz w:val="22"/>
          <w:szCs w:val="22"/>
        </w:rPr>
        <w:t xml:space="preserve">Build the data room from day one. </w:t>
      </w:r>
      <w:r>
        <w:rPr>
          <w:rFonts w:ascii="Arial" w:cs="Arial" w:eastAsia="Arial" w:hAnsi="Arial"/>
          <w:sz w:val="22"/>
          <w:szCs w:val="22"/>
        </w:rPr>
        <w:t xml:space="preserve">Every contract, every license, every financial statement, every doctor agreement—organized, accessible, audit-ready. When an acquirer comes knocking, you want to close in 90 days, not 9 months.</w:t>
      </w:r>
    </w:p>
    <w:p>
      <w:pPr>
        <w:pStyle w:val="Heading2"/>
      </w:pPr>
      <w:r>
        <w:t xml:space="preserve">On exit:</w:t>
      </w:r>
    </w:p>
    <w:p>
      <w:pPr>
        <w:pStyle w:val="ListParagraph"/>
        <w:numPr>
          <w:ilvl w:val="0"/>
          <w:numId w:val="2"/>
        </w:numPr>
        <w:spacing w:after="160"/>
      </w:pPr>
      <w:r>
        <w:rPr>
          <w:rFonts w:ascii="Arial" w:cs="Arial" w:eastAsia="Arial" w:hAnsi="Arial"/>
          <w:b/>
          <w:bCs/>
          <w:sz w:val="22"/>
          <w:szCs w:val="22"/>
        </w:rPr>
        <w:t xml:space="preserve">Start exit conversations 12 months before you want to sell. </w:t>
      </w:r>
      <w:r>
        <w:rPr>
          <w:rFonts w:ascii="Arial" w:cs="Arial" w:eastAsia="Arial" w:hAnsi="Arial"/>
          <w:sz w:val="22"/>
          <w:szCs w:val="22"/>
        </w:rPr>
        <w:t xml:space="preserve">Acquirers don’t move fast. Plant seeds early. Attend pharma industry events. Present at healthcare conferences. Get on the radar of corporate development teams at target acquirers.</w:t>
      </w:r>
    </w:p>
    <w:p>
      <w:pPr>
        <w:pStyle w:val="ListParagraph"/>
        <w:numPr>
          <w:ilvl w:val="0"/>
          <w:numId w:val="2"/>
        </w:numPr>
        <w:spacing w:after="160"/>
      </w:pPr>
      <w:r>
        <w:rPr>
          <w:rFonts w:ascii="Arial" w:cs="Arial" w:eastAsia="Arial" w:hAnsi="Arial"/>
          <w:b/>
          <w:bCs/>
          <w:sz w:val="22"/>
          <w:szCs w:val="22"/>
        </w:rPr>
        <w:t xml:space="preserve">Create a bidding war. </w:t>
      </w:r>
      <w:r>
        <w:rPr>
          <w:rFonts w:ascii="Arial" w:cs="Arial" w:eastAsia="Arial" w:hAnsi="Arial"/>
          <w:sz w:val="22"/>
          <w:szCs w:val="22"/>
        </w:rPr>
        <w:t xml:space="preserve">Never negotiate with one buyer. You need at least two serious offers to maximize price. If Cipla is interested, make sure USV knows. If a domestic pharma bids, leak that Hims is exploring India. Competition between buyers is how you get from 6x to 9x.</w:t>
      </w:r>
    </w:p>
    <w:p>
      <w:pPr>
        <w:pStyle w:val="ListParagraph"/>
        <w:numPr>
          <w:ilvl w:val="0"/>
          <w:numId w:val="2"/>
        </w:numPr>
        <w:spacing w:after="200"/>
      </w:pPr>
      <w:r>
        <w:rPr>
          <w:rFonts w:ascii="Arial" w:cs="Arial" w:eastAsia="Arial" w:hAnsi="Arial"/>
          <w:b/>
          <w:bCs/>
          <w:sz w:val="22"/>
          <w:szCs w:val="22"/>
        </w:rPr>
        <w:t xml:space="preserve">Hire a banker for anything above ₹500 Cr. </w:t>
      </w:r>
      <w:r>
        <w:rPr>
          <w:rFonts w:ascii="Arial" w:cs="Arial" w:eastAsia="Arial" w:hAnsi="Arial"/>
          <w:sz w:val="22"/>
          <w:szCs w:val="22"/>
        </w:rPr>
        <w:t xml:space="preserve">Avendus, Kotak Investment Banking, or IIFL Securities for Indian health deals. Their fee (2–3%) pays for itself through a higher exit price and cleaner process. They also run the auction that creates the bidding war.</w:t>
      </w:r>
    </w:p>
    <w:p>
      <w:pPr>
        <w:spacing w:after="400"/>
      </w:pPr>
    </w:p>
    <w:p>
      <w:pPr>
        <w:pBdr>
          <w:top w:val="single" w:color="C9A050" w:sz="4" w:space="4"/>
        </w:pBdr>
        <w:spacing w:before="200"/>
        <w:jc w:val="center"/>
      </w:pPr>
      <w:r>
        <w:rPr>
          <w:rFonts w:ascii="Georgia" w:cs="Georgia" w:eastAsia="Georgia" w:hAnsi="Georgia"/>
          <w:b/>
          <w:bCs/>
          <w:color w:val="0A0A0A"/>
          <w:sz w:val="28"/>
          <w:szCs w:val="28"/>
        </w:rPr>
        <w:t xml:space="preserve">arq.</w:t>
      </w:r>
      <w:r>
        <w:rPr>
          <w:rFonts w:ascii="Arial" w:cs="Arial" w:eastAsia="Arial" w:hAnsi="Arial"/>
          <w:i/>
          <w:iCs/>
          <w:color w:val="999999"/>
          <w:sz w:val="22"/>
          <w:szCs w:val="22"/>
        </w:rPr>
        <w:t xml:space="preserve">  —  Your Health, Upgraded.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AAAAAA"/>
        <w:sz w:val="16"/>
        <w:szCs w:val="16"/>
      </w:rPr>
      <w:t xml:space="preserve">arq. — The $100M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7"/>
    <w:lvlOverride w:ilvl="0">
      <w:startOverride w:val="1"/>
    </w:lvlOverride>
  </w:num>
  <w:num w:numId="5">
    <w:abstractNumId w:val="8"/>
    <w:lvlOverride w:ilvl="0">
      <w:startOverride w:val="1"/>
    </w:lvlOverride>
  </w:num>
  <w:num w:numId="6">
    <w:abstractNumId w:val="4"/>
    <w:lvlOverride w:ilvl="0">
      <w:startOverride w:val="1"/>
    </w:lvlOverride>
  </w:num>
  <w:num w:numId="7">
    <w:abstractNumId w:val="5"/>
    <w:lvlOverride w:ilvl="0">
      <w:startOverride w:val="1"/>
    </w:lvlOverride>
  </w:num>
  <w:num w:numId="8">
    <w:abstractNumId w:val="6"/>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0A0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2026-04-03T22:27:02.784Z</dcterms:created>
  <dcterms:modified xsi:type="dcterms:W3CDTF">2026-04-03T22:27:02.784Z</dcterms:modified>
</cp:coreProperties>
</file>

<file path=docProps/custom.xml><?xml version="1.0" encoding="utf-8"?>
<Properties xmlns="http://schemas.openxmlformats.org/officeDocument/2006/custom-properties" xmlns:vt="http://schemas.openxmlformats.org/officeDocument/2006/docPropsVTypes"/>
</file>