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color w:val="C8973A"/>
          <w:sz w:val="72"/>
          <w:szCs w:val="72"/>
        </w:rPr>
        <w:t xml:space="preserve">arq.clinic</w:t>
      </w:r>
    </w:p>
    <w:p>
      <w:pPr>
        <w:spacing w:after="400" w:before="200"/>
        <w:jc w:val="center"/>
      </w:pPr>
      <w:r>
        <w:rPr>
          <w:rFonts w:ascii="Georgia" w:cs="Georgia" w:eastAsia="Georgia" w:hAnsi="Georgia"/>
          <w:color w:val="666666"/>
          <w:sz w:val="28"/>
          <w:szCs w:val="28"/>
        </w:rPr>
        <w:t xml:space="preserve">Your body. Your call.</w:t>
      </w:r>
    </w:p>
    <w:p>
      <w:pPr>
        <w:pBdr>
          <w:top w:val="single" w:color="C8973A" w:sz="2" w:space="20"/>
        </w:pBdr>
        <w:spacing w:before="600"/>
        <w:jc w:val="center"/>
      </w:pPr>
      <w:r>
        <w:rPr>
          <w:rFonts w:ascii="Arial" w:cs="Arial" w:eastAsia="Arial" w:hAnsi="Arial"/>
          <w:b/>
          <w:bCs/>
          <w:color w:val="1A1A1A"/>
          <w:sz w:val="36"/>
          <w:szCs w:val="36"/>
        </w:rPr>
        <w:t xml:space="preserve">BUSINESS PLAN</w:t>
      </w:r>
    </w:p>
    <w:p>
      <w:pPr>
        <w:spacing w:before="200"/>
        <w:jc w:val="center"/>
      </w:pPr>
      <w:r>
        <w:rPr>
          <w:rFonts w:ascii="Arial" w:cs="Arial" w:eastAsia="Arial" w:hAnsi="Arial"/>
          <w:color w:val="666666"/>
          <w:sz w:val="22"/>
          <w:szCs w:val="22"/>
        </w:rPr>
        <w:t xml:space="preserve">India's First Prescription Biohacking Platform</w:t>
      </w:r>
    </w:p>
    <w:p>
      <w:pPr>
        <w:spacing w:before="800"/>
        <w:jc w:val="center"/>
      </w:pPr>
      <w:r>
        <w:rPr>
          <w:rFonts w:ascii="Arial" w:cs="Arial" w:eastAsia="Arial" w:hAnsi="Arial"/>
          <w:color w:val="666666"/>
          <w:sz w:val="20"/>
          <w:szCs w:val="20"/>
        </w:rPr>
        <w:t xml:space="preserve">Dear One Technologies Pvt Ltd</w:t>
      </w:r>
    </w:p>
    <w:p>
      <w:pPr>
        <w:spacing w:before="100"/>
        <w:jc w:val="center"/>
      </w:pPr>
      <w:r>
        <w:rPr>
          <w:rFonts w:ascii="Arial" w:cs="Arial" w:eastAsia="Arial" w:hAnsi="Arial"/>
          <w:color w:val="666666"/>
          <w:sz w:val="18"/>
          <w:szCs w:val="18"/>
        </w:rPr>
        <w:t xml:space="preserve">April 2026  |  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Georgia" w:cs="Georgia" w:eastAsia="Georgia" w:hAnsi="Georgia"/>
          <w:b/>
          <w:bCs/>
          <w:color w:val="1A1A1A"/>
          <w:sz w:val="32"/>
          <w:szCs w:val="32"/>
        </w:rPr>
        <w:t xml:space="preserve">1. Executive Summary</w:t>
      </w:r>
    </w:p>
    <w:p>
      <w:pPr>
        <w:spacing w:after="120"/>
      </w:pPr>
      <w:r>
        <w:rPr>
          <w:rFonts w:ascii="Arial" w:cs="Arial" w:eastAsia="Arial" w:hAnsi="Arial"/>
          <w:color w:val="333333"/>
          <w:sz w:val="22"/>
          <w:szCs w:val="22"/>
        </w:rPr>
        <w:t xml:space="preserve">arq.clinic is India's first prescription biohacking platform. We enable informed customers to access clinically-validated compounds — from nootropics and peptides to performance enhancers and longevity protocols — through a doctor-verified, WhatsApp-native subscription model.</w:t>
      </w:r>
    </w:p>
    <w:p>
      <w:pPr>
        <w:spacing w:after="120"/>
      </w:pPr>
      <w:r>
        <w:rPr>
          <w:rFonts w:ascii="Arial" w:cs="Arial" w:eastAsia="Arial" w:hAnsi="Arial"/>
          <w:color w:val="333333"/>
          <w:sz w:val="22"/>
          <w:szCs w:val="22"/>
        </w:rPr>
        <w:t xml:space="preserve">The core insight: millions of educated Indians already know what molecule they need. They listen to Huberman, track with WHOOP, and read the research. But they're forced to perform illness at a clinic to get a prescription they already understand. Arq eliminates this friction. Choose your protocol, a doctor calls you within 2 hours, your shipment arrives in a plain box within 48 hours.</w:t>
      </w:r>
    </w:p>
    <w:p>
      <w:pPr>
        <w:spacing w:after="120"/>
      </w:pPr>
      <w:r>
        <w:rPr>
          <w:rFonts w:ascii="Arial" w:cs="Arial" w:eastAsia="Arial" w:hAnsi="Arial"/>
          <w:color w:val="333333"/>
          <w:sz w:val="22"/>
          <w:szCs w:val="22"/>
        </w:rPr>
        <w:t xml:space="preserve">We are building this as Dear One Technologies Pvt Ltd, registered in India. The platform launches with 3 prescription SKUs (modafinil, sildenafil, finasteride) and 5 OTC supplements (ashwagandha, creatine, magnesium L-threonate, omega-3, vitamin D3), expanding to 26+ Rx products and a full supplement line over 12 months.</w:t>
      </w:r>
    </w:p>
    <w:p>
      <w:pPr>
        <w:spacing w:after="100" w:before="200"/>
      </w:pPr>
      <w:r>
        <w:rPr>
          <w:rFonts w:ascii="Arial" w:cs="Arial" w:eastAsia="Arial" w:hAnsi="Arial"/>
          <w:b/>
          <w:bCs/>
          <w:color w:val="C8973A"/>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3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Blended Gross Margin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72% (Rx) / 55% (OTC)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Peptides highest; supplements volume 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ARPU (Rx subscribers)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₹1,650/month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Blended across 26 Rx products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ARPU (OTC subscribers)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₹599/month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Supplement stacks and singles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Monthly Churn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Industry benchmark; WhatsApp retention improves this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LTV (Rx)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₹9,504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8-month avg retention at 72% GM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Target CAC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 ₹1,500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SEO + organic WhatsApp + performance marketing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LTV:CAC Target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&gt; 5x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Healthy D2C benchmark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Breakeven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EBITDA-positive on current projections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24-Month ARR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₹6.5 Cr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~3,300 active subscribers</w:t>
            </w:r>
          </w:p>
        </w:tc>
      </w:tr>
    </w:tbl>
    <w:p>
      <w:r>
        <w:br w:type="page"/>
      </w:r>
    </w:p>
    <w:p>
      <w:pPr>
        <w:pStyle w:val="Heading1"/>
        <w:spacing w:after="200" w:before="400"/>
      </w:pPr>
      <w:r>
        <w:rPr>
          <w:rFonts w:ascii="Georgia" w:cs="Georgia" w:eastAsia="Georgia" w:hAnsi="Georgia"/>
          <w:b/>
          <w:bCs/>
          <w:color w:val="1A1A1A"/>
          <w:sz w:val="32"/>
          <w:szCs w:val="32"/>
        </w:rPr>
        <w:t xml:space="preserve">2. The Problem</w:t>
      </w:r>
    </w:p>
    <w:p>
      <w:pPr>
        <w:spacing w:after="120"/>
      </w:pPr>
      <w:r>
        <w:rPr>
          <w:rFonts w:ascii="Arial" w:cs="Arial" w:eastAsia="Arial" w:hAnsi="Arial"/>
          <w:color w:val="333333"/>
          <w:sz w:val="22"/>
          <w:szCs w:val="22"/>
        </w:rPr>
        <w:t xml:space="preserve">The Indian prescription wellness market suffers from four structural failures that create a massive opportunity for a platform like arq.</w:t>
      </w:r>
    </w:p>
    <w:p>
      <w:pPr>
        <w:pStyle w:val="Heading2"/>
        <w:spacing w:after="150" w:before="300"/>
      </w:pPr>
      <w:r>
        <w:rPr>
          <w:rFonts w:ascii="Georgia" w:cs="Georgia" w:eastAsia="Georgia" w:hAnsi="Georgia"/>
          <w:b/>
          <w:bCs/>
          <w:color w:val="333333"/>
          <w:sz w:val="26"/>
          <w:szCs w:val="26"/>
        </w:rPr>
        <w:t xml:space="preserve">2.1 Prescription Theater</w:t>
      </w:r>
    </w:p>
    <w:p>
      <w:pPr>
        <w:spacing w:after="120"/>
      </w:pPr>
      <w:r>
        <w:rPr>
          <w:rFonts w:ascii="Arial" w:cs="Arial" w:eastAsia="Arial" w:hAnsi="Arial"/>
          <w:color w:val="333333"/>
          <w:sz w:val="22"/>
          <w:szCs w:val="22"/>
        </w:rPr>
        <w:t xml:space="preserve">Informed consumers who understand their own biology are forced to visit clinics, explain symptoms they may not have, and pay for consultations that add no value — simply to access a molecule they've already researched. This wastes time, money, and dignity. A 28-year-old software engineer in Bangalore who's read every study on modafinil shouldn't have to pretend to have narcolepsy.</w:t>
      </w:r>
    </w:p>
    <w:p>
      <w:pPr>
        <w:pStyle w:val="Heading2"/>
        <w:spacing w:after="150" w:before="300"/>
      </w:pPr>
      <w:r>
        <w:rPr>
          <w:rFonts w:ascii="Georgia" w:cs="Georgia" w:eastAsia="Georgia" w:hAnsi="Georgia"/>
          <w:b/>
          <w:bCs/>
          <w:color w:val="333333"/>
          <w:sz w:val="26"/>
          <w:szCs w:val="26"/>
        </w:rPr>
        <w:t xml:space="preserve">2.2 Stigma and Privacy</w:t>
      </w:r>
    </w:p>
    <w:p>
      <w:pPr>
        <w:spacing w:after="120"/>
      </w:pPr>
      <w:r>
        <w:rPr>
          <w:rFonts w:ascii="Arial" w:cs="Arial" w:eastAsia="Arial" w:hAnsi="Arial"/>
          <w:color w:val="333333"/>
          <w:sz w:val="22"/>
          <w:szCs w:val="22"/>
        </w:rPr>
        <w:t xml:space="preserve">ED medications, hair loss treatments, hormonal therapies, and mental health prescriptions carry significant social stigma in India. Walking into a pharmacy with a visible prescription for sildenafil or finasteride is a barrier that prevents millions from accessing treatments they need. The current system offers zero discretion.</w:t>
      </w:r>
    </w:p>
    <w:p>
      <w:pPr>
        <w:pStyle w:val="Heading2"/>
        <w:spacing w:after="150" w:before="300"/>
      </w:pPr>
      <w:r>
        <w:rPr>
          <w:rFonts w:ascii="Georgia" w:cs="Georgia" w:eastAsia="Georgia" w:hAnsi="Georgia"/>
          <w:b/>
          <w:bCs/>
          <w:color w:val="333333"/>
          <w:sz w:val="26"/>
          <w:szCs w:val="26"/>
        </w:rPr>
        <w:t xml:space="preserve">2.3 The Invisible Peptide Market</w:t>
      </w:r>
    </w:p>
    <w:p>
      <w:pPr>
        <w:spacing w:after="120"/>
      </w:pPr>
      <w:r>
        <w:rPr>
          <w:rFonts w:ascii="Arial" w:cs="Arial" w:eastAsia="Arial" w:hAnsi="Arial"/>
          <w:color w:val="333333"/>
          <w:sz w:val="22"/>
          <w:szCs w:val="22"/>
        </w:rPr>
        <w:t xml:space="preserve">BPC-157, semaglutide, TRT, thymosin alpha-1, sermorelin — these compounds have massive global demand driven by the biohacking community. In India, there is zero legitimate supply chain. No platform offers physician-supervised peptide protocols. The result is a thriving grey market on Telegram and WhatsApp, where customers buy unverified compounds with no medical oversight.</w:t>
      </w:r>
    </w:p>
    <w:p>
      <w:pPr>
        <w:pStyle w:val="Heading2"/>
        <w:spacing w:after="150" w:before="300"/>
      </w:pPr>
      <w:r>
        <w:rPr>
          <w:rFonts w:ascii="Georgia" w:cs="Georgia" w:eastAsia="Georgia" w:hAnsi="Georgia"/>
          <w:b/>
          <w:bCs/>
          <w:color w:val="333333"/>
          <w:sz w:val="26"/>
          <w:szCs w:val="26"/>
        </w:rPr>
        <w:t xml:space="preserve">2.4 The OTC Gap</w:t>
      </w:r>
    </w:p>
    <w:p>
      <w:pPr>
        <w:spacing w:after="120"/>
      </w:pPr>
      <w:r>
        <w:rPr>
          <w:rFonts w:ascii="Arial" w:cs="Arial" w:eastAsia="Arial" w:hAnsi="Arial"/>
          <w:color w:val="333333"/>
          <w:sz w:val="22"/>
          <w:szCs w:val="22"/>
        </w:rPr>
        <w:t xml:space="preserve">India's supplement market is growing rapidly but remains fragmented. Biohackers who want a curated, science-backed supplement stack — ashwagandha, lion's mane, magnesium L-threonate, creatine — have to piece it together from multiple sources. No platform offers a unified biohacking supplement ecosystem alongside prescription compounds.</w:t>
      </w:r>
    </w:p>
    <w:p>
      <w:r>
        <w:br w:type="page"/>
      </w:r>
    </w:p>
    <w:p>
      <w:pPr>
        <w:pStyle w:val="Heading1"/>
        <w:spacing w:after="200" w:before="400"/>
      </w:pPr>
      <w:r>
        <w:rPr>
          <w:rFonts w:ascii="Georgia" w:cs="Georgia" w:eastAsia="Georgia" w:hAnsi="Georgia"/>
          <w:b/>
          <w:bCs/>
          <w:color w:val="1A1A1A"/>
          <w:sz w:val="32"/>
          <w:szCs w:val="32"/>
        </w:rPr>
        <w:t xml:space="preserve">3. The Solution</w:t>
      </w:r>
    </w:p>
    <w:p>
      <w:pPr>
        <w:spacing w:after="120"/>
      </w:pPr>
      <w:r>
        <w:rPr>
          <w:rFonts w:ascii="Arial" w:cs="Arial" w:eastAsia="Arial" w:hAnsi="Arial"/>
          <w:color w:val="333333"/>
          <w:sz w:val="22"/>
          <w:szCs w:val="22"/>
        </w:rPr>
        <w:t xml:space="preserve">arq.clinic is a D2C prescription and supplement platform that flips the traditional model. Instead of doctor-first, we are product-first. The customer browses by molecule, selects their protocol, and completes purchase. A licensed doctor then calls within 2 hours to verify, issue an e-prescription, and ship.</w:t>
      </w:r>
    </w:p>
    <w:p>
      <w:pPr>
        <w:pStyle w:val="Heading2"/>
        <w:spacing w:after="150" w:before="300"/>
      </w:pPr>
      <w:r>
        <w:rPr>
          <w:rFonts w:ascii="Georgia" w:cs="Georgia" w:eastAsia="Georgia" w:hAnsi="Georgia"/>
          <w:b/>
          <w:bCs/>
          <w:color w:val="333333"/>
          <w:sz w:val="26"/>
          <w:szCs w:val="26"/>
        </w:rPr>
        <w:t xml:space="preserve">3.1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3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Browse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Customer searches by molecule or condition. Full transparency on compounds, dosages, and protocols.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 Purchase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Customer selects product, completes payment via Razorpay (UPI/card).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 minutes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 Doctor Callback</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Licensed MBBS/specialist calls customer. Medical history, contraindications check, e-prescription issued.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Within 2 hours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 Fulfillment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Product ships from warehouse in plain matte packaging. Cold chain for peptides.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48 hours (metro)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 Refill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 reminder at Day 25. One-tap reorder. Doctor re-verification as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Recurring</w:t>
            </w:r>
          </w:p>
        </w:tc>
      </w:tr>
    </w:tbl>
    <w:p>
      <w:pPr>
        <w:pStyle w:val="Heading2"/>
        <w:spacing w:after="150" w:before="300"/>
      </w:pPr>
      <w:r>
        <w:rPr>
          <w:rFonts w:ascii="Georgia" w:cs="Georgia" w:eastAsia="Georgia" w:hAnsi="Georgia"/>
          <w:b/>
          <w:bCs/>
          <w:color w:val="333333"/>
          <w:sz w:val="26"/>
          <w:szCs w:val="26"/>
        </w:rPr>
        <w:t xml:space="preserve">3.2 The OTC Layer</w:t>
      </w:r>
    </w:p>
    <w:p>
      <w:pPr>
        <w:spacing w:after="120"/>
      </w:pPr>
      <w:r>
        <w:rPr>
          <w:rFonts w:ascii="Arial" w:cs="Arial" w:eastAsia="Arial" w:hAnsi="Arial"/>
          <w:color w:val="333333"/>
          <w:sz w:val="22"/>
          <w:szCs w:val="22"/>
        </w:rPr>
        <w:t xml:space="preserve">Alongside prescription products, arq offers a curated supplement line that serves three strategic purposes: it lowers the barrier to entry for new customers, increases average order value through bundling, and reduces churn by creating a daily-use habit that keeps customers engaged between Rx refills.</w:t>
      </w:r>
    </w:p>
    <w:p>
      <w:pPr>
        <w:spacing w:after="120"/>
      </w:pPr>
      <w:r>
        <w:rPr>
          <w:rFonts w:ascii="Arial" w:cs="Arial" w:eastAsia="Arial" w:hAnsi="Arial"/>
          <w:color w:val="333333"/>
          <w:sz w:val="22"/>
          <w:szCs w:val="22"/>
        </w:rPr>
        <w:t xml:space="preserve">Day 1 OTC launches: ashwagandha (₹299/mo), creatine (₹249/mo), magnesium L-threonate (₹599/mo), omega-3 (₹349/mo), and vitamin D3 (₹199/mo). A bundled Sleep + Recovery Stack (magnesium + ashwagandha + omega-3) at ₹999/mo represents a 15% margin uplift over individual purchases.</w:t>
      </w:r>
    </w:p>
    <w:p>
      <w:r>
        <w:br w:type="page"/>
      </w:r>
    </w:p>
    <w:p>
      <w:pPr>
        <w:pStyle w:val="Heading1"/>
        <w:spacing w:after="200" w:before="400"/>
      </w:pPr>
      <w:r>
        <w:rPr>
          <w:rFonts w:ascii="Georgia" w:cs="Georgia" w:eastAsia="Georgia" w:hAnsi="Georgia"/>
          <w:b/>
          <w:bCs/>
          <w:color w:val="1A1A1A"/>
          <w:sz w:val="32"/>
          <w:szCs w:val="32"/>
        </w:rPr>
        <w:t xml:space="preserve">4. Market Opportunity</w:t>
      </w:r>
    </w:p>
    <w:p>
      <w:pPr>
        <w:pStyle w:val="Heading2"/>
        <w:spacing w:after="150" w:before="300"/>
      </w:pPr>
      <w:r>
        <w:rPr>
          <w:rFonts w:ascii="Georgia" w:cs="Georgia" w:eastAsia="Georgia" w:hAnsi="Georgia"/>
          <w:b/>
          <w:bCs/>
          <w:color w:val="333333"/>
          <w:sz w:val="26"/>
          <w:szCs w:val="26"/>
        </w:rPr>
        <w:t xml:space="preserve">4.1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22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39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Source / Basis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TAM: India Online Pharmacy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$12B by 2030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RedSeer, Praxis Global Alliance estimates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SAM: Prescription Wellness + Biohacking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Subset of TAM focused on elective Rx + supplements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SOM: Year 3 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₹22 Cr ARR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~4,000 subscribers at blended ₹1,200 ARPU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India Dietary Supplements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$8.9B by 2030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IMARC Group; 12-15% CAGR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India Creatine Market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₹187 Cr by 2033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Deep Market Insights; 20.1% CAGR</w:t>
            </w:r>
          </w:p>
        </w:tc>
      </w:tr>
    </w:tbl>
    <w:p>
      <w:pPr>
        <w:pStyle w:val="Heading2"/>
        <w:spacing w:after="150" w:before="300"/>
      </w:pPr>
      <w:r>
        <w:rPr>
          <w:rFonts w:ascii="Georgia" w:cs="Georgia" w:eastAsia="Georgia" w:hAnsi="Georgia"/>
          <w:b/>
          <w:bCs/>
          <w:color w:val="333333"/>
          <w:sz w:val="26"/>
          <w:szCs w:val="26"/>
        </w:rPr>
        <w:t xml:space="preserve">4.2 Why Now</w:t>
      </w:r>
    </w:p>
    <w:p>
      <w:pPr>
        <w:spacing w:after="120"/>
      </w:pPr>
      <w:r>
        <w:rPr>
          <w:rFonts w:ascii="Arial" w:cs="Arial" w:eastAsia="Arial" w:hAnsi="Arial"/>
          <w:color w:val="333333"/>
          <w:sz w:val="22"/>
          <w:szCs w:val="22"/>
        </w:rPr>
        <w:t xml:space="preserve">Several converging forces make this the right moment for arq: Hims &amp; Hers has proven the model at $35B market cap in the US. India's Telemedicine Practice Guidelines (2020) explicitly permit the post-purchase teleconsult model. The biohacking subculture in India is growing rapidly — driven by Huberman Lab, WHOOP, and social media. And critically, the SEO landscape is wide open: keywords like 'BPC-157 India' have KD 18 with zero competition.</w:t>
      </w:r>
    </w:p>
    <w:p>
      <w:pPr>
        <w:pStyle w:val="Heading2"/>
        <w:spacing w:after="150" w:before="300"/>
      </w:pPr>
      <w:r>
        <w:rPr>
          <w:rFonts w:ascii="Georgia" w:cs="Georgia" w:eastAsia="Georgia" w:hAnsi="Georgia"/>
          <w:b/>
          <w:bCs/>
          <w:color w:val="333333"/>
          <w:sz w:val="26"/>
          <w:szCs w:val="26"/>
        </w:rPr>
        <w:t xml:space="preserve">4.3 Competitive White Space</w:t>
      </w:r>
    </w:p>
    <w:p>
      <w:pPr>
        <w:spacing w:after="120"/>
      </w:pPr>
      <w:r>
        <w:rPr>
          <w:rFonts w:ascii="Arial" w:cs="Arial" w:eastAsia="Arial" w:hAnsi="Arial"/>
          <w:color w:val="333333"/>
          <w:sz w:val="22"/>
          <w:szCs w:val="22"/>
        </w:rPr>
        <w:t xml:space="preserve">No Indian player occupies the intersection of premium positioning + medical rigor + biohacker-native + product-first. Man Matters sells shampoo and generic ED pills to a mass audience. PharmEasy is a pharmacy delivery app. Neither offers peptides, TRT, or curated biohacking protocols. arq owns this quadrant.</w:t>
      </w:r>
    </w:p>
    <w:p>
      <w:r>
        <w:br w:type="page"/>
      </w:r>
    </w:p>
    <w:p>
      <w:pPr>
        <w:pStyle w:val="Heading1"/>
        <w:spacing w:after="200" w:before="400"/>
      </w:pPr>
      <w:r>
        <w:rPr>
          <w:rFonts w:ascii="Georgia" w:cs="Georgia" w:eastAsia="Georgia" w:hAnsi="Georgia"/>
          <w:b/>
          <w:bCs/>
          <w:color w:val="1A1A1A"/>
          <w:sz w:val="32"/>
          <w:szCs w:val="32"/>
        </w:rPr>
        <w:t xml:space="preserve">5. Product Portfolio</w:t>
      </w:r>
    </w:p>
    <w:p>
      <w:pPr>
        <w:pStyle w:val="Heading2"/>
        <w:spacing w:after="150" w:before="300"/>
      </w:pPr>
      <w:r>
        <w:rPr>
          <w:rFonts w:ascii="Georgia" w:cs="Georgia" w:eastAsia="Georgia" w:hAnsi="Georgia"/>
          <w:b/>
          <w:bCs/>
          <w:color w:val="333333"/>
          <w:sz w:val="26"/>
          <w:szCs w:val="26"/>
        </w:rPr>
        <w:t xml:space="preserve">5.1 Prescription Products (26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000"/>
        <w:gridCol w:w="2060"/>
      </w:tblGrid>
      <w:tr>
        <w:tc>
          <w:tcPr>
            <w:tcW w:type="dxa" w:w="18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Products</w:t>
            </w:r>
          </w:p>
        </w:tc>
        <w:tc>
          <w:tcPr>
            <w:tcW w:type="dxa" w:w="20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Avg Price</w:t>
            </w:r>
          </w:p>
        </w:tc>
        <w:tc>
          <w:tcPr>
            <w:tcW w:type="dxa" w:w="20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Gross Margin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Cognition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Modafinil 200mg, Armodafinil 150mg, NMN 500mg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₹1,799–2,999/mo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Performance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Sildenafil 50mg, Tadalafil 20mg, PT-141, TRT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₹999–3,499/mo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Longevity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Metformin 500mg, LDN, Thymosin Alpha-1, Tesamorelin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₹499–5,999/mo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Peptides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BPC-157, Sermorelin, CJC-1295/Ipamorelin, TB-500, AOD-9604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₹3,999–5,999/mo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Body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Semaglutide, Finasteride, Minoxidil, Isotretinoin, Tretinoin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₹699–2,499/mo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Feel / Protect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THC:CBD (AYUSH), OCP, PrEP, Sertraline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₹499–1,999/mo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~60%</w:t>
            </w:r>
          </w:p>
        </w:tc>
      </w:tr>
    </w:tbl>
    <w:p>
      <w:pPr>
        <w:pStyle w:val="Heading2"/>
        <w:spacing w:after="150" w:before="300"/>
      </w:pPr>
      <w:r>
        <w:rPr>
          <w:rFonts w:ascii="Georgia" w:cs="Georgia" w:eastAsia="Georgia" w:hAnsi="Georgia"/>
          <w:b/>
          <w:bCs/>
          <w:color w:val="333333"/>
          <w:sz w:val="26"/>
          <w:szCs w:val="26"/>
        </w:rPr>
        <w:t xml:space="preserve">5.2 OTC Supplements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1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1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Margin</w:t>
            </w:r>
          </w:p>
        </w:tc>
        <w:tc>
          <w:tcPr>
            <w:tcW w:type="dxa" w:w="35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Strategic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Ashwagandha 500mg (60 caps)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50-60%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Entry product, Ayurveda anchor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Creatine Monohydrate (60-day)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₹249/mo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55-70%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Fitness crossover, high volume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Magnesium L-Threonate (60 caps)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50-65%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Sleep/cognitive stack staple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Omega-3 Fish Oil (60 caps)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₹349/mo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45-55%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Baseline health, low churn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Vitamin D3 (monthly)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55-70%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Compliance driver, bundle 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Lion's Mane + Bacopa Stack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55-65%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Phase 2: premium nootropic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NMN 500mg (longevity)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₹2,499/mo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55-70%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Phase 2: high-LTV cohort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Berberine (metabolic)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50-65%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Phase 2: GLP-1 companion</w:t>
            </w:r>
          </w:p>
        </w:tc>
      </w:tr>
    </w:tbl>
    <w:p>
      <w:pPr>
        <w:pStyle w:val="Heading2"/>
        <w:spacing w:after="150" w:before="300"/>
      </w:pPr>
      <w:r>
        <w:rPr>
          <w:rFonts w:ascii="Georgia" w:cs="Georgia" w:eastAsia="Georgia" w:hAnsi="Georgia"/>
          <w:b/>
          <w:bCs/>
          <w:color w:val="333333"/>
          <w:sz w:val="26"/>
          <w:szCs w:val="26"/>
        </w:rPr>
        <w:t xml:space="preserve">5.3 Launch Strategy</w:t>
      </w:r>
    </w:p>
    <w:p>
      <w:pPr>
        <w:spacing w:after="120"/>
      </w:pPr>
      <w:r>
        <w:rPr>
          <w:rFonts w:ascii="Arial" w:cs="Arial" w:eastAsia="Arial" w:hAnsi="Arial"/>
          <w:color w:val="333333"/>
          <w:sz w:val="22"/>
          <w:szCs w:val="22"/>
        </w:rPr>
        <w:t xml:space="preserve">Day 1 (Month 1): 3 Rx SKUs (modafinil, sildenafil, finasteride) + 5 OTC supplements. This validates both the prescription flow and the supplement funnel. Month 3: expand to 10 Rx products including semaglutide and BPC-157. Month 6: full peptide catalog. Month 12: all 26 Rx SKUs + 10+ supplements.</w:t>
      </w:r>
    </w:p>
    <w:p>
      <w:r>
        <w:br w:type="page"/>
      </w:r>
    </w:p>
    <w:p>
      <w:pPr>
        <w:pStyle w:val="Heading1"/>
        <w:spacing w:after="200" w:before="400"/>
      </w:pPr>
      <w:r>
        <w:rPr>
          <w:rFonts w:ascii="Georgia" w:cs="Georgia" w:eastAsia="Georgia" w:hAnsi="Georgia"/>
          <w:b/>
          <w:bCs/>
          <w:color w:val="1A1A1A"/>
          <w:sz w:val="32"/>
          <w:szCs w:val="32"/>
        </w:rPr>
        <w:t xml:space="preserve">6. Business Model</w:t>
      </w:r>
    </w:p>
    <w:p>
      <w:pPr>
        <w:pStyle w:val="Heading2"/>
        <w:spacing w:after="150" w:before="300"/>
      </w:pPr>
      <w:r>
        <w:rPr>
          <w:rFonts w:ascii="Georgia" w:cs="Georgia" w:eastAsia="Georgia" w:hAnsi="Georgia"/>
          <w:b/>
          <w:bCs/>
          <w:color w:val="333333"/>
          <w:sz w:val="26"/>
          <w:szCs w:val="26"/>
        </w:rPr>
        <w:t xml:space="preserve">6.1 Revenue Streams</w:t>
      </w:r>
    </w:p>
    <w:p>
      <w:pPr>
        <w:spacing w:after="120"/>
      </w:pPr>
      <w:r>
        <w:rPr>
          <w:rFonts w:ascii="Arial" w:cs="Arial" w:eastAsia="Arial" w:hAnsi="Arial"/>
          <w:color w:val="333333"/>
          <w:sz w:val="22"/>
          <w:szCs w:val="22"/>
        </w:rPr>
        <w:t xml:space="preserve">Primary: Monthly subscription revenue from Rx and OTC products. Secondary: Doctor consultation fees (bundled into product price). Tertiary: Blood test add-ons via Suburban Diagnostics partnership. Future: Premium protocol bundles combining Rx + OTC + diagnostics.</w:t>
      </w:r>
    </w:p>
    <w:p>
      <w:pPr>
        <w:pStyle w:val="Heading2"/>
        <w:spacing w:after="150" w:before="300"/>
      </w:pPr>
      <w:r>
        <w:rPr>
          <w:rFonts w:ascii="Georgia" w:cs="Georgia" w:eastAsia="Georgia" w:hAnsi="Georgia"/>
          <w:b/>
          <w:bCs/>
          <w:color w:val="333333"/>
          <w:sz w:val="26"/>
          <w:szCs w:val="26"/>
        </w:rPr>
        <w:t xml:space="preserve">6.2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00"/>
        <w:gridCol w:w="2360"/>
      </w:tblGrid>
      <w:tr>
        <w:tc>
          <w:tcPr>
            <w:tcW w:type="dxa" w:w="2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Rx Subscriber</w:t>
            </w:r>
          </w:p>
        </w:tc>
        <w:tc>
          <w:tcPr>
            <w:tcW w:type="dxa" w:w="23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OTC Subscriber</w:t>
            </w:r>
          </w:p>
        </w:tc>
        <w:tc>
          <w:tcPr>
            <w:tcW w:type="dxa" w:w="23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Blended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ARPU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₹1,650/mo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₹599/mo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₹1,200/mo (est.)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₹462/mo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₹240/mo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₹380/mo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Gross Margin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LTV (8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₹9,504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₹2,875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₹6,528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Target CAC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 ₹1,500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 ₹500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 ₹1,200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LTV:CAC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6.3x</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5.8x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5.4x</w:t>
            </w:r>
          </w:p>
        </w:tc>
      </w:tr>
    </w:tbl>
    <w:p>
      <w:pPr>
        <w:pStyle w:val="Heading2"/>
        <w:spacing w:after="150" w:before="300"/>
      </w:pPr>
      <w:r>
        <w:rPr>
          <w:rFonts w:ascii="Georgia" w:cs="Georgia" w:eastAsia="Georgia" w:hAnsi="Georgia"/>
          <w:b/>
          <w:bCs/>
          <w:color w:val="333333"/>
          <w:sz w:val="26"/>
          <w:szCs w:val="26"/>
        </w:rPr>
        <w:t xml:space="preserve">6.3 Subscription Mechanics</w:t>
      </w:r>
    </w:p>
    <w:p>
      <w:pPr>
        <w:spacing w:after="120"/>
      </w:pPr>
      <w:r>
        <w:rPr>
          <w:rFonts w:ascii="Arial" w:cs="Arial" w:eastAsia="Arial" w:hAnsi="Arial"/>
          <w:color w:val="333333"/>
          <w:sz w:val="22"/>
          <w:szCs w:val="22"/>
        </w:rPr>
        <w:t xml:space="preserve">All products are monthly subscriptions managed via WhatsApp. The refill reminder fires on Day 25 of each cycle. Customers can skip, pause, or cancel via a single WhatsApp message. This frictionless management drives retention: the easier it is to manage, the less likely customers are to churn out of frustration.</w:t>
      </w:r>
    </w:p>
    <w:p>
      <w:r>
        <w:br w:type="page"/>
      </w:r>
    </w:p>
    <w:p>
      <w:pPr>
        <w:pStyle w:val="Heading1"/>
        <w:spacing w:after="200" w:before="400"/>
      </w:pPr>
      <w:r>
        <w:rPr>
          <w:rFonts w:ascii="Georgia" w:cs="Georgia" w:eastAsia="Georgia" w:hAnsi="Georgia"/>
          <w:b/>
          <w:bCs/>
          <w:color w:val="1A1A1A"/>
          <w:sz w:val="32"/>
          <w:szCs w:val="32"/>
        </w:rPr>
        <w:t xml:space="preserve">7. Go-to-Market Strategy</w:t>
      </w:r>
    </w:p>
    <w:p>
      <w:pPr>
        <w:pStyle w:val="Heading2"/>
        <w:spacing w:after="150" w:before="300"/>
      </w:pPr>
      <w:r>
        <w:rPr>
          <w:rFonts w:ascii="Georgia" w:cs="Georgia" w:eastAsia="Georgia" w:hAnsi="Georgia"/>
          <w:b/>
          <w:bCs/>
          <w:color w:val="333333"/>
          <w:sz w:val="26"/>
          <w:szCs w:val="26"/>
        </w:rPr>
        <w:t xml:space="preserve">7.1 SEO-First Acquisition</w:t>
      </w:r>
    </w:p>
    <w:p>
      <w:pPr>
        <w:spacing w:after="120"/>
      </w:pPr>
      <w:r>
        <w:rPr>
          <w:rFonts w:ascii="Arial" w:cs="Arial" w:eastAsia="Arial" w:hAnsi="Arial"/>
          <w:color w:val="333333"/>
          <w:sz w:val="22"/>
          <w:szCs w:val="22"/>
        </w:rPr>
        <w:t xml:space="preserve">The entire biohacker/prescription-wellness keyword space in India is empty. Our SEO strategy, built on live SEMrush data, targets high-intent keywords with near-zero competition. 'BPC-157 India' has 590 monthly searches at KD 18. 'Modafinil buy online India' has 2,400 searches at KD 24. 'Semaglutide India' has 1,300 at KD 12. No Indian competitor ranks for any of these.</w:t>
      </w:r>
    </w:p>
    <w:p>
      <w:pPr>
        <w:spacing w:after="120"/>
      </w:pPr>
      <w:r>
        <w:rPr>
          <w:rFonts w:ascii="Arial" w:cs="Arial" w:eastAsia="Arial" w:hAnsi="Arial"/>
          <w:color w:val="333333"/>
          <w:sz w:val="22"/>
          <w:szCs w:val="22"/>
        </w:rPr>
        <w:t xml:space="preserve">We will publish molecule-specific guides (2,500-4,000 words each) targeting these keywords. Each guide serves as both SEO asset and conversion page, with a clear path to purchase. The 6-month content calendar covers all 26 Rx products plus 10 OTC supplements.</w:t>
      </w:r>
    </w:p>
    <w:p>
      <w:pPr>
        <w:pStyle w:val="Heading2"/>
        <w:spacing w:after="150" w:before="300"/>
      </w:pPr>
      <w:r>
        <w:rPr>
          <w:rFonts w:ascii="Georgia" w:cs="Georgia" w:eastAsia="Georgia" w:hAnsi="Georgia"/>
          <w:b/>
          <w:bCs/>
          <w:color w:val="333333"/>
          <w:sz w:val="26"/>
          <w:szCs w:val="26"/>
        </w:rPr>
        <w:t xml:space="preserve">7.2 WhatsApp Growth Loop</w:t>
      </w:r>
    </w:p>
    <w:p>
      <w:pPr>
        <w:spacing w:after="120"/>
      </w:pPr>
      <w:r>
        <w:rPr>
          <w:rFonts w:ascii="Arial" w:cs="Arial" w:eastAsia="Arial" w:hAnsi="Arial"/>
          <w:color w:val="333333"/>
          <w:sz w:val="22"/>
          <w:szCs w:val="22"/>
        </w:rPr>
        <w:t xml:space="preserve">WhatsApp is the growth engine. Every customer interaction — from order confirmation to doctor callback to refill reminder — happens on WhatsApp. This creates a 1:1 relationship that drives retention and organic referrals. The referral program (share code, earn credits) is native to WhatsApp sharing behavior. We project 20-30% of new subscribers will come through referrals by Month 6.</w:t>
      </w:r>
    </w:p>
    <w:p>
      <w:pPr>
        <w:pStyle w:val="Heading2"/>
        <w:spacing w:after="150" w:before="300"/>
      </w:pPr>
      <w:r>
        <w:rPr>
          <w:rFonts w:ascii="Georgia" w:cs="Georgia" w:eastAsia="Georgia" w:hAnsi="Georgia"/>
          <w:b/>
          <w:bCs/>
          <w:color w:val="333333"/>
          <w:sz w:val="26"/>
          <w:szCs w:val="26"/>
        </w:rPr>
        <w:t xml:space="preserve">7.3 Paid Acquisition</w:t>
      </w:r>
    </w:p>
    <w:p>
      <w:pPr>
        <w:spacing w:after="120"/>
      </w:pPr>
      <w:r>
        <w:rPr>
          <w:rFonts w:ascii="Arial" w:cs="Arial" w:eastAsia="Arial" w:hAnsi="Arial"/>
          <w:color w:val="333333"/>
          <w:sz w:val="22"/>
          <w:szCs w:val="22"/>
        </w:rPr>
        <w:t xml:space="preserve">Starting budget: ₹30,000/month on Google Ads targeting BPC-157, modafinil, and semaglutide keywords at $0.22-0.34 CPC (INR 18-28). Instagram/Meta ads for awareness, targeting Huberman/WHOOP/biohacking interest segments. Initial CAC target: ₹1,500. Scale to ₹2.5L/month by Month 12 as unit economics prove out.</w:t>
      </w:r>
    </w:p>
    <w:p>
      <w:r>
        <w:br w:type="page"/>
      </w:r>
    </w:p>
    <w:p>
      <w:pPr>
        <w:pStyle w:val="Heading1"/>
        <w:spacing w:after="200" w:before="400"/>
      </w:pPr>
      <w:r>
        <w:rPr>
          <w:rFonts w:ascii="Georgia" w:cs="Georgia" w:eastAsia="Georgia" w:hAnsi="Georgia"/>
          <w:b/>
          <w:bCs/>
          <w:color w:val="1A1A1A"/>
          <w:sz w:val="32"/>
          <w:szCs w:val="32"/>
        </w:rPr>
        <w:t xml:space="preserve">8. Technology &amp; Operations</w:t>
      </w:r>
    </w:p>
    <w:p>
      <w:pPr>
        <w:pStyle w:val="Heading2"/>
        <w:spacing w:after="150" w:before="300"/>
      </w:pPr>
      <w:r>
        <w:rPr>
          <w:rFonts w:ascii="Georgia" w:cs="Georgia" w:eastAsia="Georgia" w:hAnsi="Georgia"/>
          <w:b/>
          <w:bCs/>
          <w:color w:val="333333"/>
          <w:sz w:val="26"/>
          <w:szCs w:val="26"/>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0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Storefront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Shopify (custom dark theme)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Product browse, search, checkout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Razorpay Custom Checkout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UPI, cards, auto-debit for subscriptions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n8n (self-hosted)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 flows: order processing, doctor assignment, refills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OpenClaw on Mac Mini M4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Full business automation, customer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Shopify + Razorpay dashboards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Revenue, cohort, funnel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Diagnostics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Suburban Diagnostics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Blood test ordering and 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Shopify managed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Zero DevOps overhead</w:t>
            </w:r>
          </w:p>
        </w:tc>
      </w:tr>
    </w:tbl>
    <w:p>
      <w:pPr>
        <w:pStyle w:val="Heading2"/>
        <w:spacing w:after="150" w:before="300"/>
      </w:pPr>
      <w:r>
        <w:rPr>
          <w:rFonts w:ascii="Georgia" w:cs="Georgia" w:eastAsia="Georgia" w:hAnsi="Georgia"/>
          <w:b/>
          <w:bCs/>
          <w:color w:val="333333"/>
          <w:sz w:val="26"/>
          <w:szCs w:val="26"/>
        </w:rPr>
        <w:t xml:space="preserve">8.2 Automation Flows</w:t>
      </w:r>
    </w:p>
    <w:p>
      <w:pPr>
        <w:spacing w:after="120"/>
      </w:pPr>
      <w:r>
        <w:rPr>
          <w:rFonts w:ascii="Arial" w:cs="Arial" w:eastAsia="Arial" w:hAnsi="Arial"/>
          <w:color w:val="333333"/>
          <w:sz w:val="22"/>
          <w:szCs w:val="22"/>
        </w:rPr>
        <w:t xml:space="preserve">The n8n automation engine handles the entire order lifecycle without manual intervention. Key flows: New Order → Doctor Assignment (round-robin by specialty) → Callback Scheduling → E-Prescription Generation → Fulfillment Trigger → Shipping Notification → Day 25 Refill Reminder → Auto-Reorder (if enabled). Edge cases (doctor unavailable, prescription denied, adverse reaction) route to a manual review queue.</w:t>
      </w:r>
    </w:p>
    <w:p>
      <w:pPr>
        <w:pStyle w:val="Heading2"/>
        <w:spacing w:after="150" w:before="300"/>
      </w:pPr>
      <w:r>
        <w:rPr>
          <w:rFonts w:ascii="Georgia" w:cs="Georgia" w:eastAsia="Georgia" w:hAnsi="Georgia"/>
          <w:b/>
          <w:bCs/>
          <w:color w:val="333333"/>
          <w:sz w:val="26"/>
          <w:szCs w:val="26"/>
        </w:rPr>
        <w:t xml:space="preserve">8.3 Operations</w:t>
      </w:r>
    </w:p>
    <w:p>
      <w:pPr>
        <w:spacing w:after="120"/>
      </w:pPr>
      <w:r>
        <w:rPr>
          <w:rFonts w:ascii="Arial" w:cs="Arial" w:eastAsia="Arial" w:hAnsi="Arial"/>
          <w:color w:val="333333"/>
          <w:sz w:val="22"/>
          <w:szCs w:val="22"/>
        </w:rPr>
        <w:t xml:space="preserve">Fulfillment from a single warehouse in Mumbai. Metro delivery (Mumbai, Delhi, Bangalore) in 48 hours via Shiprocket/Delhivery. Cold chain logistics for peptide products (temperature-controlled packaging, express shipping). Plain matte packaging with no visible branding or product identification for complete discretion.</w:t>
      </w:r>
    </w:p>
    <w:p>
      <w:r>
        <w:br w:type="page"/>
      </w:r>
    </w:p>
    <w:p>
      <w:pPr>
        <w:pStyle w:val="Heading1"/>
        <w:spacing w:after="200" w:before="400"/>
      </w:pPr>
      <w:r>
        <w:rPr>
          <w:rFonts w:ascii="Georgia" w:cs="Georgia" w:eastAsia="Georgia" w:hAnsi="Georgia"/>
          <w:b/>
          <w:bCs/>
          <w:color w:val="1A1A1A"/>
          <w:sz w:val="32"/>
          <w:szCs w:val="32"/>
        </w:rPr>
        <w:t xml:space="preserve">9. Regulatory &amp; Legal Framework</w:t>
      </w:r>
    </w:p>
    <w:p>
      <w:pPr>
        <w:pStyle w:val="Heading2"/>
        <w:spacing w:after="150" w:before="300"/>
      </w:pPr>
      <w:r>
        <w:rPr>
          <w:rFonts w:ascii="Georgia" w:cs="Georgia" w:eastAsia="Georgia" w:hAnsi="Georgia"/>
          <w:b/>
          <w:bCs/>
          <w:color w:val="333333"/>
          <w:sz w:val="26"/>
          <w:szCs w:val="26"/>
        </w:rPr>
        <w:t xml:space="preserve">9.1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License</w:t>
            </w:r>
          </w:p>
        </w:tc>
        <w:tc>
          <w:tcPr>
            <w:tcW w:type="dxa" w:w="18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18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2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Wholesale Drug License (Form 20B + 21B)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₹25,000 one-time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30-60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AYUSH License (cannabis/THC:CBD)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₹50,000 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60-90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Planned (Phase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FSSAI Registration (supplements)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₹2,000-5,000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14-30 days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Planned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Trademark (Class 5 + 44)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₹10,000-15,000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6-12 months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Filing</w:t>
            </w:r>
          </w:p>
        </w:tc>
      </w:tr>
    </w:tbl>
    <w:p>
      <w:pPr>
        <w:pStyle w:val="Heading2"/>
        <w:spacing w:after="150" w:before="300"/>
      </w:pPr>
      <w:r>
        <w:rPr>
          <w:rFonts w:ascii="Georgia" w:cs="Georgia" w:eastAsia="Georgia" w:hAnsi="Georgia"/>
          <w:b/>
          <w:bCs/>
          <w:color w:val="333333"/>
          <w:sz w:val="26"/>
          <w:szCs w:val="26"/>
        </w:rPr>
        <w:t xml:space="preserve">9.2 Compliance Framework</w:t>
      </w:r>
    </w:p>
    <w:p>
      <w:pPr>
        <w:spacing w:after="120"/>
      </w:pPr>
      <w:r>
        <w:rPr>
          <w:rFonts w:ascii="Arial" w:cs="Arial" w:eastAsia="Arial" w:hAnsi="Arial"/>
          <w:color w:val="333333"/>
          <w:sz w:val="22"/>
          <w:szCs w:val="22"/>
        </w:rPr>
        <w:t xml:space="preserve">Telemedicine Practice Guidelines 2020: Our post-purchase doctor callback model is explicitly permitted under these guidelines. Every order includes a licensed doctor consultation, e-prescription generation, and proper record-keeping.</w:t>
      </w:r>
    </w:p>
    <w:p>
      <w:pPr>
        <w:spacing w:after="120"/>
      </w:pPr>
      <w:r>
        <w:rPr>
          <w:rFonts w:ascii="Arial" w:cs="Arial" w:eastAsia="Arial" w:hAnsi="Arial"/>
          <w:color w:val="333333"/>
          <w:sz w:val="22"/>
          <w:szCs w:val="22"/>
        </w:rPr>
        <w:t xml:space="preserve">Schedule H/H1 Compliance: All prescription drugs are dispensed only after doctor verification. E-prescriptions are stored securely and linked to each order.</w:t>
      </w:r>
    </w:p>
    <w:p>
      <w:pPr>
        <w:spacing w:after="120"/>
      </w:pPr>
      <w:r>
        <w:rPr>
          <w:rFonts w:ascii="Arial" w:cs="Arial" w:eastAsia="Arial" w:hAnsi="Arial"/>
          <w:color w:val="333333"/>
          <w:sz w:val="22"/>
          <w:szCs w:val="22"/>
        </w:rPr>
        <w:t xml:space="preserve">DPDP Act 2023: Patient data is encrypted, consent-based, and subject to data minimization. WhatsApp messages auto-purge per retention policy. Privacy-by-design architecture.</w:t>
      </w:r>
    </w:p>
    <w:p>
      <w:pPr>
        <w:pStyle w:val="Heading2"/>
        <w:spacing w:after="150" w:before="300"/>
      </w:pPr>
      <w:r>
        <w:rPr>
          <w:rFonts w:ascii="Georgia" w:cs="Georgia" w:eastAsia="Georgia" w:hAnsi="Georgia"/>
          <w:b/>
          <w:bCs/>
          <w:color w:val="333333"/>
          <w:sz w:val="26"/>
          <w:szCs w:val="26"/>
        </w:rPr>
        <w:t xml:space="preserve">9.3 Peptide Structuring</w:t>
      </w:r>
    </w:p>
    <w:p>
      <w:pPr>
        <w:spacing w:after="120"/>
      </w:pPr>
      <w:r>
        <w:rPr>
          <w:rFonts w:ascii="Arial" w:cs="Arial" w:eastAsia="Arial" w:hAnsi="Arial"/>
          <w:color w:val="333333"/>
          <w:sz w:val="22"/>
          <w:szCs w:val="22"/>
        </w:rPr>
        <w:t xml:space="preserve">Peptides (BPC-157, sermorelin, CJC-1295/ipamorelin, TB-500) occupy a regulatory grey zone in India. Our approach: physician-supervised protocols with formal physician letters, compounding pharmacy partnerships, and comprehensive patient consent. Legal counsel (healthcare specialist) is engaged to formalize this structure before peptide launch in Month 3.</w:t>
      </w:r>
    </w:p>
    <w:p>
      <w:r>
        <w:br w:type="page"/>
      </w:r>
    </w:p>
    <w:p>
      <w:pPr>
        <w:pStyle w:val="Heading1"/>
        <w:spacing w:after="200" w:before="400"/>
      </w:pPr>
      <w:r>
        <w:rPr>
          <w:rFonts w:ascii="Georgia" w:cs="Georgia" w:eastAsia="Georgia" w:hAnsi="Georgia"/>
          <w:b/>
          <w:bCs/>
          <w:color w:val="1A1A1A"/>
          <w:sz w:val="32"/>
          <w:szCs w:val="32"/>
        </w:rPr>
        <w:t xml:space="preserve">10. Financial Projections</w:t>
      </w:r>
    </w:p>
    <w:p>
      <w:pPr>
        <w:pStyle w:val="Heading2"/>
        <w:spacing w:after="150" w:before="300"/>
      </w:pPr>
      <w:r>
        <w:rPr>
          <w:rFonts w:ascii="Georgia" w:cs="Georgia" w:eastAsia="Georgia" w:hAnsi="Georgia"/>
          <w:b/>
          <w:bCs/>
          <w:color w:val="333333"/>
          <w:sz w:val="26"/>
          <w:szCs w:val="26"/>
        </w:rPr>
        <w:t xml:space="preserve">10.1 24-Month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7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Month 6</w:t>
            </w:r>
          </w:p>
        </w:tc>
        <w:tc>
          <w:tcPr>
            <w:tcW w:type="dxa" w:w="17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Month 12</w:t>
            </w:r>
          </w:p>
        </w:tc>
        <w:tc>
          <w:tcPr>
            <w:tcW w:type="dxa" w:w="17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Month 18</w:t>
            </w:r>
          </w:p>
        </w:tc>
        <w:tc>
          <w:tcPr>
            <w:tcW w:type="dxa" w:w="17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Month 24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Active Subscribers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1,306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2,291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3,294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Monthly 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₹7.1L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₹21.5L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₹37.8L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₹54.4L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ARR Run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₹85.7L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₹2.6Cr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₹4.5Cr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₹6.5Cr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Gross Profit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₹5.1L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₹15.5L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₹27.2L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₹39.1L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Total OpEx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₹10.9L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₹18.6L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₹25.8L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₹33.1L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EBITDA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-₹5.7L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+₹6.1L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EBITDA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₹4,333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₹4,333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₹4,524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₹4,545</w:t>
            </w:r>
          </w:p>
        </w:tc>
      </w:tr>
    </w:tbl>
    <w:p>
      <w:pPr>
        <w:pStyle w:val="Heading2"/>
        <w:spacing w:after="150" w:before="300"/>
      </w:pPr>
      <w:r>
        <w:rPr>
          <w:rFonts w:ascii="Georgia" w:cs="Georgia" w:eastAsia="Georgia" w:hAnsi="Georgia"/>
          <w:b/>
          <w:bCs/>
          <w:color w:val="333333"/>
          <w:sz w:val="26"/>
          <w:szCs w:val="26"/>
        </w:rPr>
        <w:t xml:space="preserve">10.2 Setup Costs</w:t>
      </w:r>
    </w:p>
    <w:p>
      <w:pPr>
        <w:spacing w:after="120"/>
      </w:pPr>
      <w:r>
        <w:rPr>
          <w:rFonts w:ascii="Arial" w:cs="Arial" w:eastAsia="Arial" w:hAnsi="Arial"/>
          <w:color w:val="333333"/>
          <w:sz w:val="22"/>
          <w:szCs w:val="22"/>
        </w:rPr>
        <w:t xml:space="preserve">Total setup cost under ₹5 Lakh: Wholesale drug license (₹25K), trademark filing (₹15K), Shopify setup (₹10K), initial inventory (₹2L), tech infrastructure (₹50K), legal/compliance (₹50K), miscellaneous (₹50K).</w:t>
      </w:r>
    </w:p>
    <w:p>
      <w:pPr>
        <w:pStyle w:val="Heading2"/>
        <w:spacing w:after="150" w:before="300"/>
      </w:pPr>
      <w:r>
        <w:rPr>
          <w:rFonts w:ascii="Georgia" w:cs="Georgia" w:eastAsia="Georgia" w:hAnsi="Georgia"/>
          <w:b/>
          <w:bCs/>
          <w:color w:val="333333"/>
          <w:sz w:val="26"/>
          <w:szCs w:val="26"/>
        </w:rPr>
        <w:t xml:space="preserve">10.3 Path to Profitability</w:t>
      </w:r>
    </w:p>
    <w:p>
      <w:pPr>
        <w:spacing w:after="120"/>
      </w:pPr>
      <w:r>
        <w:rPr>
          <w:rFonts w:ascii="Arial" w:cs="Arial" w:eastAsia="Arial" w:hAnsi="Arial"/>
          <w:color w:val="333333"/>
          <w:sz w:val="22"/>
          <w:szCs w:val="22"/>
        </w:rPr>
        <w:t xml:space="preserve">The model reaches EBITDA breakeven at Month 17 with approximately 2,100 active subscribers generating ₹35L MRR. The primary lever is marketing efficiency: as SEO content matures and WhatsApp referrals scale, the effective CAC drops while subscriber count compounds. By Month 24, EBITDA margin reaches 11.2% with ₹6.5Cr ARR.</w:t>
      </w:r>
    </w:p>
    <w:p>
      <w:r>
        <w:br w:type="page"/>
      </w:r>
    </w:p>
    <w:p>
      <w:pPr>
        <w:pStyle w:val="Heading1"/>
        <w:spacing w:after="200" w:before="400"/>
      </w:pPr>
      <w:r>
        <w:rPr>
          <w:rFonts w:ascii="Georgia" w:cs="Georgia" w:eastAsia="Georgia" w:hAnsi="Georgia"/>
          <w:b/>
          <w:bCs/>
          <w:color w:val="1A1A1A"/>
          <w:sz w:val="32"/>
          <w:szCs w:val="32"/>
        </w:rPr>
        <w:t xml:space="preserve">11. Funding &amp; Use of Proceeds</w:t>
      </w:r>
    </w:p>
    <w:p>
      <w:pPr>
        <w:pStyle w:val="Heading2"/>
        <w:spacing w:after="150" w:before="300"/>
      </w:pPr>
      <w:r>
        <w:rPr>
          <w:rFonts w:ascii="Georgia" w:cs="Georgia" w:eastAsia="Georgia" w:hAnsi="Georgia"/>
          <w:b/>
          <w:bCs/>
          <w:color w:val="333333"/>
          <w:sz w:val="26"/>
          <w:szCs w:val="26"/>
        </w:rPr>
        <w:t xml:space="preserve">11.1 The Ask</w:t>
      </w:r>
    </w:p>
    <w:p>
      <w:pPr>
        <w:spacing w:after="120"/>
      </w:pPr>
      <w:r>
        <w:rPr>
          <w:rFonts w:ascii="Arial" w:cs="Arial" w:eastAsia="Arial" w:hAnsi="Arial"/>
          <w:color w:val="333333"/>
          <w:sz w:val="22"/>
          <w:szCs w:val="22"/>
        </w:rPr>
        <w:t xml:space="preserve">We are raising INR 50 Lakh in a pre-seed round to reach 1,000 active subscribers and prove unit economics at scale.</w:t>
      </w:r>
    </w:p>
    <w:p>
      <w:pPr>
        <w:pStyle w:val="Heading2"/>
        <w:spacing w:after="150" w:before="300"/>
      </w:pPr>
      <w:r>
        <w:rPr>
          <w:rFonts w:ascii="Georgia" w:cs="Georgia" w:eastAsia="Georgia" w:hAnsi="Georgia"/>
          <w:b/>
          <w:bCs/>
          <w:color w:val="333333"/>
          <w:sz w:val="26"/>
          <w:szCs w:val="26"/>
        </w:rPr>
        <w:t xml:space="preserve">11.2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Amount</w:t>
            </w:r>
          </w:p>
        </w:tc>
        <w:tc>
          <w:tcPr>
            <w:tcW w:type="dxa" w:w="12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Allocation</w:t>
            </w:r>
          </w:p>
        </w:tc>
        <w:tc>
          <w:tcPr>
            <w:tcW w:type="dxa" w:w="49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Marketing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6 months of paid acquisition + content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Initial stock for 3 Rx SKUs + 5 OTC supplements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Technology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Shopify theme, n8n hosting, OpenClaw setup, Razorpay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Working Capital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Operational buffer for first 6 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Licensing &amp;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Drug license, FSSAI, trademark, legal counsel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Doctor Network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Onboarding 10-15 doctors, platform integration</w:t>
            </w:r>
          </w:p>
        </w:tc>
      </w:tr>
    </w:tbl>
    <w:p>
      <w:pPr>
        <w:pStyle w:val="Heading2"/>
        <w:spacing w:after="150" w:before="300"/>
      </w:pPr>
      <w:r>
        <w:rPr>
          <w:rFonts w:ascii="Georgia" w:cs="Georgia" w:eastAsia="Georgia" w:hAnsi="Georgia"/>
          <w:b/>
          <w:bCs/>
          <w:color w:val="333333"/>
          <w:sz w:val="26"/>
          <w:szCs w:val="26"/>
        </w:rPr>
        <w:t xml:space="preserve">11.3 Milestones with This Raise</w:t>
      </w:r>
    </w:p>
    <w:p>
      <w:pPr>
        <w:spacing w:after="120"/>
      </w:pPr>
      <w:r>
        <w:rPr>
          <w:rFonts w:ascii="Arial" w:cs="Arial" w:eastAsia="Arial" w:hAnsi="Arial"/>
          <w:color w:val="333333"/>
          <w:sz w:val="22"/>
          <w:szCs w:val="22"/>
        </w:rPr>
        <w:t xml:space="preserve">Month 3: 200 active subscribers, ₹3.3L MRR, proof of concept. Month 6: 600 subscribers, ₹9.9L MRR, PMF achieved. Month 12: 1,400 subscribers, ₹23.1L MRR, ready for Seed round. The 12-month milestone represents ₹2Cr ARR run rate with clear path to EBITDA breakeven.</w:t>
      </w:r>
    </w:p>
    <w:p>
      <w:r>
        <w:br w:type="page"/>
      </w:r>
    </w:p>
    <w:p>
      <w:pPr>
        <w:pStyle w:val="Heading1"/>
        <w:spacing w:after="200" w:before="400"/>
      </w:pPr>
      <w:r>
        <w:rPr>
          <w:rFonts w:ascii="Georgia" w:cs="Georgia" w:eastAsia="Georgia" w:hAnsi="Georgia"/>
          <w:b/>
          <w:bCs/>
          <w:color w:val="1A1A1A"/>
          <w:sz w:val="32"/>
          <w:szCs w:val="32"/>
        </w:rPr>
        <w:t xml:space="preserve">12.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700"/>
        <w:gridCol w:w="1960"/>
      </w:tblGrid>
      <w:tr>
        <w:tc>
          <w:tcPr>
            <w:tcW w:type="dxa" w:w="17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1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arq.clinic</w:t>
            </w:r>
          </w:p>
        </w:tc>
        <w:tc>
          <w:tcPr>
            <w:tcW w:type="dxa" w:w="19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Man Matters</w:t>
            </w:r>
          </w:p>
        </w:tc>
        <w:tc>
          <w:tcPr>
            <w:tcW w:type="dxa" w:w="17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Hims (US)</w:t>
            </w:r>
          </w:p>
        </w:tc>
        <w:tc>
          <w:tcPr>
            <w:tcW w:type="dxa" w:w="19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PharmEasy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Positioning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Biohacker-native, premium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Mass-market men's health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Premium telehealth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Pharmacy delivery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Peptides &amp; TRT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Full catalog (26 products)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Limited (US only)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OTC Supplements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Curated biohacker stacks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Generic bundles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Branded line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Marketplace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Doctor Model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Post-purchase callback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Post-purchase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Pre-purchase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Prescription upload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Delivery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48hr, plain box, cold chain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3-5 days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2-3 days (US)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Same day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Channel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WhatsApp-first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 + web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 + web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Target Customer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Biohacker (28-35, urban)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Any Indian male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 consumer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Any Indian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Pricing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Premium, transparent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Discounted bundles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Premium subscription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Marketplace pricing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SEO Position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Uncontested keywords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Hair/skin keywords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Generic pharmacy</w:t>
            </w:r>
          </w:p>
        </w:tc>
      </w:tr>
    </w:tbl>
    <w:p>
      <w:pPr>
        <w:spacing w:after="120"/>
      </w:pPr>
      <w:r>
        <w:rPr>
          <w:rFonts w:ascii="Arial" w:cs="Arial" w:eastAsia="Arial" w:hAnsi="Arial"/>
          <w:color w:val="333333"/>
          <w:sz w:val="22"/>
          <w:szCs w:val="22"/>
        </w:rPr>
        <w:t xml:space="preserve">The key insight: nobody in India occupies the premium + medically rigorous + biohacker-native quadrant. Man Matters is mass-market. PharmEasy is logistics. arq is the only platform combining prescription biohacking with curated supplements and WhatsApp-native delivery.</w:t>
      </w:r>
    </w:p>
    <w:p>
      <w:r>
        <w:br w:type="page"/>
      </w:r>
    </w:p>
    <w:p>
      <w:pPr>
        <w:pStyle w:val="Heading1"/>
        <w:spacing w:after="200" w:before="400"/>
      </w:pPr>
      <w:r>
        <w:rPr>
          <w:rFonts w:ascii="Georgia" w:cs="Georgia" w:eastAsia="Georgia" w:hAnsi="Georgia"/>
          <w:b/>
          <w:bCs/>
          <w:color w:val="1A1A1A"/>
          <w:sz w:val="32"/>
          <w:szCs w:val="32"/>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3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Regulatory change on teleconsult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Diversify to in-person partnerships; maintain full compliance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Peptide regulatory crackdown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Physician letter framework; compounding pharmacy partnerships; legal counsel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 CAC / low conversion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SEO-first strategy reduces paid dependency; WhatsApp referrals as organic channel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Doctor network quality/availability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Multi-doctor roster; 2hr SLA with penalties; quality scoring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Grey market price competition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Premium positioning; medical oversight as differentiator; trust brand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Supply chain disruption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Multiple wholesale suppliers; 60-day safety stock on top SKUs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 privacy breach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Encryption at rest and transit; DPDP compliance; minimal data collection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Churn above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WhatsApp engagement; protocol-based selling (6-12 month protocols); OTC as retention layer</w:t>
            </w:r>
          </w:p>
        </w:tc>
      </w:tr>
    </w:tbl>
    <w:p>
      <w:r>
        <w:br w:type="page"/>
      </w:r>
    </w:p>
    <w:p>
      <w:pPr>
        <w:pStyle w:val="Heading1"/>
        <w:spacing w:after="200" w:before="400"/>
      </w:pPr>
      <w:r>
        <w:rPr>
          <w:rFonts w:ascii="Georgia" w:cs="Georgia" w:eastAsia="Georgia" w:hAnsi="Georgia"/>
          <w:b/>
          <w:bCs/>
          <w:color w:val="1A1A1A"/>
          <w:sz w:val="32"/>
          <w:szCs w:val="32"/>
        </w:rPr>
        <w:t xml:space="preserve">14. Team &amp; Hiring Plan</w:t>
      </w:r>
    </w:p>
    <w:p>
      <w:pPr>
        <w:pStyle w:val="Heading2"/>
        <w:spacing w:after="150" w:before="300"/>
      </w:pPr>
      <w:r>
        <w:rPr>
          <w:rFonts w:ascii="Georgia" w:cs="Georgia" w:eastAsia="Georgia" w:hAnsi="Georgia"/>
          <w:b/>
          <w:bCs/>
          <w:color w:val="333333"/>
          <w:sz w:val="26"/>
          <w:szCs w:val="26"/>
        </w:rPr>
        <w:t xml:space="preserve">14.1 Current Team</w:t>
      </w:r>
    </w:p>
    <w:p>
      <w:pPr>
        <w:spacing w:after="120"/>
      </w:pPr>
      <w:r>
        <w:rPr>
          <w:rFonts w:ascii="Arial" w:cs="Arial" w:eastAsia="Arial" w:hAnsi="Arial"/>
          <w:color w:val="333333"/>
          <w:sz w:val="22"/>
          <w:szCs w:val="22"/>
        </w:rPr>
        <w:t xml:space="preserve">[Founder Name] — CEO &amp; Founder. [Background and relevant experience to be filled in.]</w:t>
      </w:r>
    </w:p>
    <w:p>
      <w:pPr>
        <w:pStyle w:val="Heading2"/>
        <w:spacing w:after="150" w:before="300"/>
      </w:pPr>
      <w:r>
        <w:rPr>
          <w:rFonts w:ascii="Georgia" w:cs="Georgia" w:eastAsia="Georgia" w:hAnsi="Georgia"/>
          <w:b/>
          <w:bCs/>
          <w:color w:val="333333"/>
          <w:sz w:val="26"/>
          <w:szCs w:val="26"/>
        </w:rPr>
        <w:t xml:space="preserve">14.2 Immediate Hires (With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50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c>
          <w:tcPr>
            <w:tcW w:type="dxa" w:w="2360"/>
            <w:tcBorders>
              <w:top w:val="single" w:color="C8973A" w:sz="1"/>
              <w:left w:val="single" w:color="C8973A" w:sz="1"/>
              <w:bottom w:val="single" w:color="C8973A" w:sz="1"/>
              <w:right w:val="single" w:color="C8973A" w:sz="1"/>
            </w:tcBorders>
            <w:shd w:fill="C8973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Medical Director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Part-time MBBS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₹40,000-60,000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Growth Marketer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Full-time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₹50,000-70,000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Ops &amp; Fulfillment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Full-time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₹30,000-40,000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Content Writer (SEO)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Freelance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₹20,000-30,000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Month 1</w:t>
            </w:r>
          </w:p>
        </w:tc>
      </w:tr>
    </w:tbl>
    <w:p>
      <w:pPr>
        <w:pStyle w:val="Heading2"/>
        <w:spacing w:after="150" w:before="300"/>
      </w:pPr>
      <w:r>
        <w:rPr>
          <w:rFonts w:ascii="Georgia" w:cs="Georgia" w:eastAsia="Georgia" w:hAnsi="Georgia"/>
          <w:b/>
          <w:bCs/>
          <w:color w:val="333333"/>
          <w:sz w:val="26"/>
          <w:szCs w:val="26"/>
        </w:rPr>
        <w:t xml:space="preserve">14.3 Advisory Board (Target)</w:t>
      </w:r>
    </w:p>
    <w:p>
      <w:pPr>
        <w:spacing w:after="120"/>
      </w:pPr>
      <w:r>
        <w:rPr>
          <w:rFonts w:ascii="Arial" w:cs="Arial" w:eastAsia="Arial" w:hAnsi="Arial"/>
          <w:color w:val="333333"/>
          <w:sz w:val="22"/>
          <w:szCs w:val="22"/>
        </w:rPr>
        <w:t xml:space="preserve">Healthcare regulatory advisor (pharma lawyer), endocrinologist/physician advisor, D2C growth advisor (ex-Man Matters, Licious, or similar), and angel investor with pharma/health-tech portfolio.</w:t>
      </w:r>
    </w:p>
    <w:p>
      <w:r>
        <w:br w:type="page"/>
      </w:r>
    </w:p>
    <w:p>
      <w:pPr>
        <w:pStyle w:val="Heading1"/>
        <w:spacing w:after="200" w:before="400"/>
      </w:pPr>
      <w:r>
        <w:rPr>
          <w:rFonts w:ascii="Georgia" w:cs="Georgia" w:eastAsia="Georgia" w:hAnsi="Georgia"/>
          <w:b/>
          <w:bCs/>
          <w:color w:val="1A1A1A"/>
          <w:sz w:val="32"/>
          <w:szCs w:val="32"/>
        </w:rPr>
        <w:t xml:space="preserve">15. Appendix</w:t>
      </w:r>
    </w:p>
    <w:p>
      <w:pPr>
        <w:pStyle w:val="Heading2"/>
        <w:spacing w:after="150" w:before="300"/>
      </w:pPr>
      <w:r>
        <w:rPr>
          <w:rFonts w:ascii="Georgia" w:cs="Georgia" w:eastAsia="Georgia" w:hAnsi="Georgia"/>
          <w:b/>
          <w:bCs/>
          <w:color w:val="333333"/>
          <w:sz w:val="26"/>
          <w:szCs w:val="26"/>
        </w:rPr>
        <w:t xml:space="preserve">15.1 Full Product COGS Table</w:t>
      </w:r>
    </w:p>
    <w:p>
      <w:pPr>
        <w:spacing w:after="120"/>
      </w:pPr>
      <w:r>
        <w:rPr>
          <w:rFonts w:ascii="Arial" w:cs="Arial" w:eastAsia="Arial" w:hAnsi="Arial"/>
          <w:color w:val="333333"/>
          <w:sz w:val="22"/>
          <w:szCs w:val="22"/>
        </w:rPr>
        <w:t xml:space="preserve">See attached Excel workbook (arq_cogs_model.xlsx) for detailed per-product COGS breakdown including drug costs, doctor consultation fees, packaging, shipping, and platform fees across all 26 Rx SKUs.</w:t>
      </w:r>
    </w:p>
    <w:p>
      <w:pPr>
        <w:pStyle w:val="Heading2"/>
        <w:spacing w:after="150" w:before="300"/>
      </w:pPr>
      <w:r>
        <w:rPr>
          <w:rFonts w:ascii="Georgia" w:cs="Georgia" w:eastAsia="Georgia" w:hAnsi="Georgia"/>
          <w:b/>
          <w:bCs/>
          <w:color w:val="333333"/>
          <w:sz w:val="26"/>
          <w:szCs w:val="26"/>
        </w:rPr>
        <w:t xml:space="preserve">15.2 SEO Keyword Data</w:t>
      </w:r>
    </w:p>
    <w:p>
      <w:pPr>
        <w:spacing w:after="120"/>
      </w:pPr>
      <w:r>
        <w:rPr>
          <w:rFonts w:ascii="Arial" w:cs="Arial" w:eastAsia="Arial" w:hAnsi="Arial"/>
          <w:color w:val="333333"/>
          <w:sz w:val="22"/>
          <w:szCs w:val="22"/>
        </w:rPr>
        <w:t xml:space="preserve">See attached SEO analysis for complete keyword research including search volumes, keyword difficulty, CPC estimates, and 6-month content calendar. Data sourced from SEMrush India, January-March 2026.</w:t>
      </w:r>
    </w:p>
    <w:p>
      <w:pPr>
        <w:pStyle w:val="Heading2"/>
        <w:spacing w:after="150" w:before="300"/>
      </w:pPr>
      <w:r>
        <w:rPr>
          <w:rFonts w:ascii="Georgia" w:cs="Georgia" w:eastAsia="Georgia" w:hAnsi="Georgia"/>
          <w:b/>
          <w:bCs/>
          <w:color w:val="333333"/>
          <w:sz w:val="26"/>
          <w:szCs w:val="26"/>
        </w:rPr>
        <w:t xml:space="preserve">15.3 Technical Implementation</w:t>
      </w:r>
    </w:p>
    <w:p>
      <w:pPr>
        <w:spacing w:after="120"/>
      </w:pPr>
      <w:r>
        <w:rPr>
          <w:rFonts w:ascii="Arial" w:cs="Arial" w:eastAsia="Arial" w:hAnsi="Arial"/>
          <w:color w:val="333333"/>
          <w:sz w:val="22"/>
          <w:szCs w:val="22"/>
        </w:rPr>
        <w:t xml:space="preserve">See attached implementation guide for Shopify theme code, Razorpay integration (Node.js), n8n automation flow specifications, and WhatsApp/OpenClaw configuration.</w:t>
      </w:r>
    </w:p>
    <w:p>
      <w:pPr>
        <w:pStyle w:val="Heading2"/>
        <w:spacing w:after="150" w:before="300"/>
      </w:pPr>
      <w:r>
        <w:rPr>
          <w:rFonts w:ascii="Georgia" w:cs="Georgia" w:eastAsia="Georgia" w:hAnsi="Georgia"/>
          <w:b/>
          <w:bCs/>
          <w:color w:val="333333"/>
          <w:sz w:val="26"/>
          <w:szCs w:val="26"/>
        </w:rPr>
        <w:t xml:space="preserve">15.4 Brand Identity</w:t>
      </w:r>
    </w:p>
    <w:p>
      <w:pPr>
        <w:spacing w:after="120"/>
      </w:pPr>
      <w:r>
        <w:rPr>
          <w:rFonts w:ascii="Arial" w:cs="Arial" w:eastAsia="Arial" w:hAnsi="Arial"/>
          <w:color w:val="333333"/>
          <w:sz w:val="22"/>
          <w:szCs w:val="22"/>
        </w:rPr>
        <w:t xml:space="preserve">See attached brand identity document for complete visual system including color palette, typography, tone of voice, and positioning framework developed using Red Antler/Emily Heyward methodology.</w:t>
      </w:r>
    </w:p>
    <w:p>
      <w:pPr>
        <w:spacing w:before="600"/>
      </w:pPr>
    </w:p>
    <w:p>
      <w:pPr>
        <w:pBdr>
          <w:top w:val="single" w:color="C8973A" w:sz="2" w:space="20"/>
        </w:pBdr>
        <w:spacing w:before="200"/>
        <w:jc w:val="center"/>
      </w:pPr>
      <w:r>
        <w:rPr>
          <w:rFonts w:ascii="Georgia" w:cs="Georgia" w:eastAsia="Georgia" w:hAnsi="Georgia"/>
          <w:color w:val="C8973A"/>
          <w:sz w:val="22"/>
          <w:szCs w:val="22"/>
        </w:rPr>
        <w:t xml:space="preserve">arq.clinic  |  Your body. Your call.</w:t>
      </w:r>
    </w:p>
    <w:p>
      <w:pPr>
        <w:spacing w:before="100"/>
        <w:jc w:val="center"/>
      </w:pPr>
      <w:r>
        <w:rPr>
          <w:rFonts w:ascii="Arial" w:cs="Arial" w:eastAsia="Arial" w:hAnsi="Arial"/>
          <w:color w:val="666666"/>
          <w:sz w:val="18"/>
          <w:szCs w:val="18"/>
        </w:rPr>
        <w:t xml:space="preserve">Dear One Technologies Pvt Ltd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arq.clinic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2026-04-03T19:03:10.502Z</dcterms:created>
  <dcterms:modified xsi:type="dcterms:W3CDTF">2026-04-03T19:03:10.502Z</dcterms:modified>
</cp:coreProperties>
</file>

<file path=docProps/custom.xml><?xml version="1.0" encoding="utf-8"?>
<Properties xmlns="http://schemas.openxmlformats.org/officeDocument/2006/custom-properties" xmlns:vt="http://schemas.openxmlformats.org/officeDocument/2006/docPropsVTypes"/>
</file>