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ptos" w:hAnsi="Aptos"/>
          <w:b/>
          <w:i w:val="0"/>
          <w:color w:val="182536"/>
          <w:sz w:val="36"/>
        </w:rPr>
        <w:t>TATVA DESAI</w:t>
      </w:r>
    </w:p>
    <w:p>
      <w:pPr>
        <w:spacing w:after="80"/>
        <w:jc w:val="center"/>
      </w:pPr>
      <w:r>
        <w:rPr>
          <w:rFonts w:ascii="Aptos" w:hAnsi="Aptos"/>
          <w:b w:val="0"/>
          <w:i w:val="0"/>
          <w:color w:val="535D69"/>
          <w:sz w:val="16"/>
        </w:rPr>
        <w:t>+91 94997 56756  |  tatvadesai95@gmail.com  |  linkedin.com/in/tatvadesai</w:t>
      </w:r>
    </w:p>
    <w:p>
      <w:pPr>
        <w:spacing w:after="80"/>
        <w:jc w:val="center"/>
      </w:pPr>
      <w:r>
        <w:rPr>
          <w:rFonts w:ascii="Aptos" w:hAnsi="Aptos"/>
          <w:b w:val="0"/>
          <w:i w:val="0"/>
          <w:color w:val="535D69"/>
          <w:sz w:val="16"/>
        </w:rPr>
        <w:t>github.com/tatvadesai  |  tatvadesai.github.io  |  ekagritventures.github.io</w:t>
      </w:r>
    </w:p>
    <w:p>
      <w:pPr>
        <w:keepNext/>
        <w:spacing w:before="110" w:after="42"/>
        <w:pBdr>
          <w:bottom w:val="single" w:sz="6" w:space="2" w:color="B7C7D6"/>
        </w:pBdr>
      </w:pPr>
      <w:r>
        <w:rPr>
          <w:rFonts w:ascii="Aptos" w:hAnsi="Aptos"/>
          <w:b/>
          <w:i w:val="0"/>
          <w:color w:val="205988"/>
          <w:sz w:val="16"/>
        </w:rPr>
        <w:t>PROFILE</w:t>
      </w:r>
    </w:p>
    <w:p>
      <w:pPr>
        <w:spacing w:after="0"/>
      </w:pPr>
      <w:r>
        <w:rPr>
          <w:rFonts w:ascii="Aptos" w:hAnsi="Aptos"/>
          <w:b w:val="0"/>
          <w:i w:val="0"/>
          <w:color w:val="182536"/>
          <w:sz w:val="17"/>
        </w:rPr>
        <w:t>MBA Business Analytics candidate bridging credit risk, portfolio analytics and operating decisions. Builds Python/R/SQL workflows that turn messy data into Management Information with explicit limits and challenger-aware model choice.</w:t>
      </w:r>
    </w:p>
    <w:p>
      <w:pPr>
        <w:keepNext/>
        <w:spacing w:before="110" w:after="42"/>
        <w:pBdr>
          <w:bottom w:val="single" w:sz="6" w:space="2" w:color="B7C7D6"/>
        </w:pBdr>
      </w:pPr>
      <w:r>
        <w:rPr>
          <w:rFonts w:ascii="Aptos" w:hAnsi="Aptos"/>
          <w:b/>
          <w:i w:val="0"/>
          <w:color w:val="205988"/>
          <w:sz w:val="16"/>
        </w:rPr>
        <w:t>EDUCATION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92"/>
        <w:gridCol w:w="1944"/>
      </w:tblGrid>
      <w:tr>
        <w:tc>
          <w:tcPr>
            <w:tcW w:type="dxa" w:w="7992"/>
            <w:tcMar>
              <w:top w:w="0" w:type="dxa"/>
              <w:start w:w="0" w:type="dxa"/>
              <w:bottom w:w="0" w:type="dxa"/>
              <w:end w:w="2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82536"/>
                <w:sz w:val="18"/>
              </w:rPr>
              <w:t>BITS Pilani — MBA, Business Analytics</w:t>
            </w:r>
          </w:p>
        </w:tc>
        <w:tc>
          <w:tcPr>
            <w:tcW w:type="dxa" w:w="1944"/>
            <w:tcMar>
              <w:top w:w="0" w:type="dxa"/>
              <w:start w:w="200" w:type="dxa"/>
              <w:bottom w:w="0" w:type="dxa"/>
              <w:end w:w="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b w:val="0"/>
                <w:i w:val="0"/>
                <w:color w:val="535D69"/>
                <w:sz w:val="16"/>
              </w:rPr>
              <w:t>2025–2027</w:t>
            </w:r>
          </w:p>
        </w:tc>
      </w:tr>
    </w:tbl>
    <w:p>
      <w:pPr>
        <w:spacing w:after="12"/>
      </w:pPr>
      <w:r>
        <w:rPr>
          <w:rFonts w:ascii="Aptos" w:hAnsi="Aptos"/>
          <w:b w:val="0"/>
          <w:i/>
          <w:color w:val="535D69"/>
          <w:sz w:val="16"/>
        </w:rPr>
        <w:t>CGPA: 8.14 | Coursework: Financial Statement Analysis, Statistics &amp; Econometrics, Programming for Analytics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92"/>
        <w:gridCol w:w="1944"/>
      </w:tblGrid>
      <w:tr>
        <w:tc>
          <w:tcPr>
            <w:tcW w:type="dxa" w:w="7992"/>
            <w:tcMar>
              <w:top w:w="0" w:type="dxa"/>
              <w:start w:w="0" w:type="dxa"/>
              <w:bottom w:w="0" w:type="dxa"/>
              <w:end w:w="2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82536"/>
                <w:sz w:val="18"/>
              </w:rPr>
              <w:t>Navrachana University — BBA</w:t>
            </w:r>
          </w:p>
        </w:tc>
        <w:tc>
          <w:tcPr>
            <w:tcW w:type="dxa" w:w="1944"/>
            <w:tcMar>
              <w:top w:w="0" w:type="dxa"/>
              <w:start w:w="200" w:type="dxa"/>
              <w:bottom w:w="0" w:type="dxa"/>
              <w:end w:w="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b w:val="0"/>
                <w:i w:val="0"/>
                <w:color w:val="535D69"/>
                <w:sz w:val="16"/>
              </w:rPr>
              <w:t>2021–2024</w:t>
            </w:r>
          </w:p>
        </w:tc>
      </w:tr>
    </w:tbl>
    <w:p>
      <w:pPr>
        <w:spacing w:after="12"/>
      </w:pPr>
      <w:r>
        <w:rPr>
          <w:rFonts w:ascii="Aptos" w:hAnsi="Aptos"/>
          <w:b w:val="0"/>
          <w:i/>
          <w:color w:val="535D69"/>
          <w:sz w:val="16"/>
        </w:rPr>
        <w:t>CGPA: 7.7/10 | Finance and business foundation</w:t>
      </w:r>
    </w:p>
    <w:p>
      <w:pPr>
        <w:keepNext/>
        <w:spacing w:before="110" w:after="42"/>
        <w:pBdr>
          <w:bottom w:val="single" w:sz="6" w:space="2" w:color="B7C7D6"/>
        </w:pBdr>
      </w:pPr>
      <w:r>
        <w:rPr>
          <w:rFonts w:ascii="Aptos" w:hAnsi="Aptos"/>
          <w:b/>
          <w:i w:val="0"/>
          <w:color w:val="205988"/>
          <w:sz w:val="16"/>
        </w:rPr>
        <w:t>EXPERIENCE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92"/>
        <w:gridCol w:w="1944"/>
      </w:tblGrid>
      <w:tr>
        <w:tc>
          <w:tcPr>
            <w:tcW w:type="dxa" w:w="7992"/>
            <w:tcMar>
              <w:top w:w="0" w:type="dxa"/>
              <w:start w:w="0" w:type="dxa"/>
              <w:bottom w:w="0" w:type="dxa"/>
              <w:end w:w="2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82536"/>
                <w:sz w:val="18"/>
              </w:rPr>
              <w:t>Family Distribution Business - Analytics Projects</w:t>
            </w:r>
          </w:p>
        </w:tc>
        <w:tc>
          <w:tcPr>
            <w:tcW w:type="dxa" w:w="1944"/>
            <w:tcMar>
              <w:top w:w="0" w:type="dxa"/>
              <w:start w:w="200" w:type="dxa"/>
              <w:bottom w:w="0" w:type="dxa"/>
              <w:end w:w="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b w:val="0"/>
                <w:i w:val="0"/>
                <w:color w:val="535D69"/>
                <w:sz w:val="16"/>
              </w:rPr>
            </w:r>
          </w:p>
        </w:tc>
      </w:tr>
    </w:tbl>
    <w:p>
      <w:pPr>
        <w:spacing w:after="12"/>
      </w:pPr>
      <w:r>
        <w:rPr>
          <w:rFonts w:ascii="Aptos" w:hAnsi="Aptos"/>
          <w:b w:val="0"/>
          <w:i/>
          <w:color w:val="535D69"/>
          <w:sz w:val="16"/>
        </w:rPr>
        <w:t>Regional consumer-goods distribution | anonymised portfolio description</w:t>
      </w:r>
    </w:p>
    <w:p>
      <w:pPr>
        <w:spacing w:after="16"/>
        <w:ind w:left="187" w:hanging="158"/>
      </w:pPr>
      <w:r>
        <w:rPr>
          <w:rFonts w:ascii="Aptos" w:hAnsi="Aptos"/>
          <w:b/>
          <w:i w:val="0"/>
          <w:color w:val="205988"/>
          <w:sz w:val="17"/>
        </w:rPr>
        <w:t xml:space="preserve">• </w:t>
      </w:r>
      <w:r>
        <w:rPr>
          <w:rFonts w:ascii="Aptos" w:hAnsi="Aptos"/>
          <w:b w:val="0"/>
          <w:i w:val="0"/>
          <w:color w:val="182536"/>
          <w:sz w:val="17"/>
        </w:rPr>
        <w:t>Built an anonymised demand-forecasting and inventory-planning workflow using time-aware validation, baseline comparison, uncertainty buffers and documented evidence boundaries.</w:t>
      </w:r>
    </w:p>
    <w:p>
      <w:pPr>
        <w:spacing w:after="16"/>
        <w:ind w:left="187" w:hanging="158"/>
      </w:pPr>
      <w:r>
        <w:rPr>
          <w:rFonts w:ascii="Aptos" w:hAnsi="Aptos"/>
          <w:b/>
          <w:i w:val="0"/>
          <w:color w:val="205988"/>
          <w:sz w:val="17"/>
        </w:rPr>
        <w:t xml:space="preserve">• </w:t>
      </w:r>
      <w:r>
        <w:rPr>
          <w:rFonts w:ascii="Aptos" w:hAnsi="Aptos"/>
          <w:b w:val="0"/>
          <w:i w:val="0"/>
          <w:color w:val="182536"/>
          <w:sz w:val="17"/>
        </w:rPr>
        <w:t>Automated operational analysis across sales reporting, invoice classification and outlet discovery to support planning and commercial decisions.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92"/>
        <w:gridCol w:w="1944"/>
      </w:tblGrid>
      <w:tr>
        <w:tc>
          <w:tcPr>
            <w:tcW w:type="dxa" w:w="7992"/>
            <w:tcMar>
              <w:top w:w="0" w:type="dxa"/>
              <w:start w:w="0" w:type="dxa"/>
              <w:bottom w:w="0" w:type="dxa"/>
              <w:end w:w="2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82536"/>
                <w:sz w:val="18"/>
              </w:rPr>
              <w:t>ASA Capital Management - Equity Research &amp; Data Intern</w:t>
            </w:r>
          </w:p>
        </w:tc>
        <w:tc>
          <w:tcPr>
            <w:tcW w:type="dxa" w:w="1944"/>
            <w:tcMar>
              <w:top w:w="0" w:type="dxa"/>
              <w:start w:w="200" w:type="dxa"/>
              <w:bottom w:w="0" w:type="dxa"/>
              <w:end w:w="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b w:val="0"/>
                <w:i w:val="0"/>
                <w:color w:val="535D69"/>
                <w:sz w:val="16"/>
              </w:rPr>
              <w:t>May-Jul 2023</w:t>
            </w:r>
          </w:p>
        </w:tc>
      </w:tr>
    </w:tbl>
    <w:p>
      <w:pPr>
        <w:spacing w:after="12"/>
      </w:pPr>
      <w:r>
        <w:rPr>
          <w:rFonts w:ascii="Aptos" w:hAnsi="Aptos"/>
          <w:b w:val="0"/>
          <w:i/>
          <w:color w:val="535D69"/>
          <w:sz w:val="16"/>
        </w:rPr>
        <w:t>Vadodara</w:t>
      </w:r>
    </w:p>
    <w:p>
      <w:pPr>
        <w:spacing w:after="16"/>
        <w:ind w:left="187" w:hanging="158"/>
      </w:pPr>
      <w:r>
        <w:rPr>
          <w:rFonts w:ascii="Aptos" w:hAnsi="Aptos"/>
          <w:b/>
          <w:i w:val="0"/>
          <w:color w:val="205988"/>
          <w:sz w:val="17"/>
        </w:rPr>
        <w:t xml:space="preserve">• </w:t>
      </w:r>
      <w:r>
        <w:rPr>
          <w:rFonts w:ascii="Aptos" w:hAnsi="Aptos"/>
          <w:b w:val="0"/>
          <w:i w:val="0"/>
          <w:color w:val="182536"/>
          <w:sz w:val="17"/>
        </w:rPr>
        <w:t>Built Python-based annotation extraction and market-volume screening tools to support equity-research workflows across NSE-listed companies.</w:t>
      </w:r>
    </w:p>
    <w:p>
      <w:pPr>
        <w:spacing w:after="16"/>
        <w:ind w:left="187" w:hanging="158"/>
      </w:pPr>
      <w:r>
        <w:rPr>
          <w:rFonts w:ascii="Aptos" w:hAnsi="Aptos"/>
          <w:b/>
          <w:i w:val="0"/>
          <w:color w:val="205988"/>
          <w:sz w:val="17"/>
        </w:rPr>
        <w:t xml:space="preserve">• </w:t>
      </w:r>
      <w:r>
        <w:rPr>
          <w:rFonts w:ascii="Aptos" w:hAnsi="Aptos"/>
          <w:b w:val="0"/>
          <w:i w:val="0"/>
          <w:color w:val="182536"/>
          <w:sz w:val="17"/>
        </w:rPr>
        <w:t>Conducted consumer-review sentiment analysis, NBFC/housing research and financial-data collection for investment-research assignments.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92"/>
        <w:gridCol w:w="1944"/>
      </w:tblGrid>
      <w:tr>
        <w:tc>
          <w:tcPr>
            <w:tcW w:type="dxa" w:w="7992"/>
            <w:tcMar>
              <w:top w:w="0" w:type="dxa"/>
              <w:start w:w="0" w:type="dxa"/>
              <w:bottom w:w="0" w:type="dxa"/>
              <w:end w:w="2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82536"/>
                <w:sz w:val="18"/>
              </w:rPr>
              <w:t>GatherAround - Founder</w:t>
            </w:r>
          </w:p>
        </w:tc>
        <w:tc>
          <w:tcPr>
            <w:tcW w:type="dxa" w:w="1944"/>
            <w:tcMar>
              <w:top w:w="0" w:type="dxa"/>
              <w:start w:w="200" w:type="dxa"/>
              <w:bottom w:w="0" w:type="dxa"/>
              <w:end w:w="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b w:val="0"/>
                <w:i w:val="0"/>
                <w:color w:val="535D69"/>
                <w:sz w:val="16"/>
              </w:rPr>
            </w:r>
          </w:p>
        </w:tc>
      </w:tr>
    </w:tbl>
    <w:p>
      <w:pPr>
        <w:spacing w:after="12"/>
      </w:pPr>
      <w:r>
        <w:rPr>
          <w:rFonts w:ascii="Aptos" w:hAnsi="Aptos"/>
          <w:b w:val="0"/>
          <w:i/>
          <w:color w:val="535D69"/>
          <w:sz w:val="16"/>
        </w:rPr>
        <w:t>Curated events startup</w:t>
      </w:r>
    </w:p>
    <w:p>
      <w:pPr>
        <w:spacing w:after="16"/>
        <w:ind w:left="187" w:hanging="158"/>
      </w:pPr>
      <w:r>
        <w:rPr>
          <w:rFonts w:ascii="Aptos" w:hAnsi="Aptos"/>
          <w:b/>
          <w:i w:val="0"/>
          <w:color w:val="205988"/>
          <w:sz w:val="17"/>
        </w:rPr>
        <w:t xml:space="preserve">• </w:t>
      </w:r>
      <w:r>
        <w:rPr>
          <w:rFonts w:ascii="Aptos" w:hAnsi="Aptos"/>
          <w:b w:val="0"/>
          <w:i w:val="0"/>
          <w:color w:val="182536"/>
          <w:sz w:val="17"/>
        </w:rPr>
        <w:t>Built and operated a curated-events startup; ran 12+ events for 70+ participants and generated INR 10,000+ in revenue.</w:t>
      </w:r>
    </w:p>
    <w:p>
      <w:pPr>
        <w:spacing w:after="16"/>
        <w:ind w:left="187" w:hanging="158"/>
      </w:pPr>
      <w:r>
        <w:rPr>
          <w:rFonts w:ascii="Aptos" w:hAnsi="Aptos"/>
          <w:b/>
          <w:i w:val="0"/>
          <w:color w:val="205988"/>
          <w:sz w:val="17"/>
        </w:rPr>
        <w:t xml:space="preserve">• </w:t>
      </w:r>
      <w:r>
        <w:rPr>
          <w:rFonts w:ascii="Aptos" w:hAnsi="Aptos"/>
          <w:b w:val="0"/>
          <w:i w:val="0"/>
          <w:color w:val="182536"/>
          <w:sz w:val="17"/>
        </w:rPr>
        <w:t>Selected among the top 25 of 100+ teams across five BITS campuses in the Mookerji Innovation Fund.</w:t>
      </w:r>
    </w:p>
    <w:p>
      <w:pPr>
        <w:keepNext/>
        <w:spacing w:before="110" w:after="42"/>
        <w:pBdr>
          <w:bottom w:val="single" w:sz="6" w:space="2" w:color="B7C7D6"/>
        </w:pBdr>
      </w:pPr>
      <w:r>
        <w:rPr>
          <w:rFonts w:ascii="Aptos" w:hAnsi="Aptos"/>
          <w:b/>
          <w:i w:val="0"/>
          <w:color w:val="205988"/>
          <w:sz w:val="16"/>
        </w:rPr>
        <w:t>SELECTED PROJECTS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92"/>
        <w:gridCol w:w="1944"/>
      </w:tblGrid>
      <w:tr>
        <w:tc>
          <w:tcPr>
            <w:tcW w:type="dxa" w:w="7992"/>
            <w:tcMar>
              <w:top w:w="0" w:type="dxa"/>
              <w:start w:w="0" w:type="dxa"/>
              <w:bottom w:w="0" w:type="dxa"/>
              <w:end w:w="2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82536"/>
                <w:sz w:val="18"/>
              </w:rPr>
              <w:t>Wholesale Credit Early-Warning &amp; MI Cockpit</w:t>
            </w:r>
          </w:p>
        </w:tc>
        <w:tc>
          <w:tcPr>
            <w:tcW w:type="dxa" w:w="1944"/>
            <w:tcMar>
              <w:top w:w="0" w:type="dxa"/>
              <w:start w:w="200" w:type="dxa"/>
              <w:bottom w:w="0" w:type="dxa"/>
              <w:end w:w="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b w:val="0"/>
                <w:i w:val="0"/>
                <w:color w:val="535D69"/>
                <w:sz w:val="16"/>
              </w:rPr>
              <w:t>Python + SQL</w:t>
            </w:r>
          </w:p>
        </w:tc>
      </w:tr>
    </w:tbl>
    <w:p>
      <w:pPr>
        <w:spacing w:after="12"/>
      </w:pPr>
      <w:r>
        <w:rPr>
          <w:rFonts w:ascii="Aptos" w:hAnsi="Aptos"/>
          <w:b w:val="0"/>
          <w:i/>
          <w:color w:val="535D69"/>
          <w:sz w:val="16"/>
        </w:rPr>
        <w:t>Synthetic MI | DuckDB + Streamlit — github.com/tatvadesai/wholesale-credit-cockpit</w:t>
      </w:r>
    </w:p>
    <w:p>
      <w:pPr>
        <w:spacing w:after="16"/>
        <w:ind w:left="187" w:hanging="158"/>
      </w:pPr>
      <w:r>
        <w:rPr>
          <w:rFonts w:ascii="Aptos" w:hAnsi="Aptos"/>
          <w:b/>
          <w:i w:val="0"/>
          <w:color w:val="205988"/>
          <w:sz w:val="17"/>
        </w:rPr>
        <w:t xml:space="preserve">• </w:t>
      </w:r>
      <w:r>
        <w:rPr>
          <w:rFonts w:ascii="Aptos" w:hAnsi="Aptos"/>
          <w:b w:val="0"/>
          <w:i w:val="0"/>
          <w:color w:val="182536"/>
          <w:sz w:val="17"/>
        </w:rPr>
        <w:t>Built an offline MI cockpit for 6 synthetic obligors, calculating $420m assumed EAD, EAD-weighted PD, expected loss and country/sector HHI with drill-downs.</w:t>
      </w:r>
    </w:p>
    <w:p>
      <w:pPr>
        <w:spacing w:after="16"/>
        <w:ind w:left="187" w:hanging="158"/>
      </w:pPr>
      <w:r>
        <w:rPr>
          <w:rFonts w:ascii="Aptos" w:hAnsi="Aptos"/>
          <w:b/>
          <w:i w:val="0"/>
          <w:color w:val="205988"/>
          <w:sz w:val="17"/>
        </w:rPr>
        <w:t xml:space="preserve">• </w:t>
      </w:r>
      <w:r>
        <w:rPr>
          <w:rFonts w:ascii="Aptos" w:hAnsi="Aptos"/>
          <w:b w:val="0"/>
          <w:i w:val="0"/>
          <w:color w:val="182536"/>
          <w:sz w:val="17"/>
        </w:rPr>
        <w:t>Implemented evidence-bearing rules and a 1.5×PD/+10pp LGD stress that raised synthetic EL $9.61m → $17.61m and warnings 2 → 3, with SHA-256 snapshots and read-only mart.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92"/>
        <w:gridCol w:w="1944"/>
      </w:tblGrid>
      <w:tr>
        <w:tc>
          <w:tcPr>
            <w:tcW w:type="dxa" w:w="7992"/>
            <w:tcMar>
              <w:top w:w="0" w:type="dxa"/>
              <w:start w:w="0" w:type="dxa"/>
              <w:bottom w:w="0" w:type="dxa"/>
              <w:end w:w="2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82536"/>
                <w:sz w:val="18"/>
              </w:rPr>
              <w:t>Credit Risk Engine — Logistic (champion) vs RF vs XGB</w:t>
            </w:r>
          </w:p>
        </w:tc>
        <w:tc>
          <w:tcPr>
            <w:tcW w:type="dxa" w:w="1944"/>
            <w:tcMar>
              <w:top w:w="0" w:type="dxa"/>
              <w:start w:w="200" w:type="dxa"/>
              <w:bottom w:w="0" w:type="dxa"/>
              <w:end w:w="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b w:val="0"/>
                <w:i w:val="0"/>
                <w:color w:val="535D69"/>
                <w:sz w:val="16"/>
              </w:rPr>
              <w:t>Python</w:t>
            </w:r>
          </w:p>
        </w:tc>
      </w:tr>
    </w:tbl>
    <w:p>
      <w:pPr>
        <w:spacing w:after="12"/>
      </w:pPr>
      <w:r>
        <w:rPr>
          <w:rFonts w:ascii="Aptos" w:hAnsi="Aptos"/>
          <w:b w:val="0"/>
          <w:i/>
          <w:color w:val="535D69"/>
          <w:sz w:val="16"/>
        </w:rPr>
        <w:t>Retail PD scorecard | UCI German Credit — github.com/tatvadesai/credit-risk-engine</w:t>
      </w:r>
    </w:p>
    <w:p>
      <w:pPr>
        <w:spacing w:after="16"/>
        <w:ind w:left="187" w:hanging="158"/>
      </w:pPr>
      <w:r>
        <w:rPr>
          <w:rFonts w:ascii="Aptos" w:hAnsi="Aptos"/>
          <w:b/>
          <w:i w:val="0"/>
          <w:color w:val="205988"/>
          <w:sz w:val="17"/>
        </w:rPr>
        <w:t xml:space="preserve">• </w:t>
      </w:r>
      <w:r>
        <w:rPr>
          <w:rFonts w:ascii="Aptos" w:hAnsi="Aptos"/>
          <w:b w:val="0"/>
          <w:i w:val="0"/>
          <w:color w:val="182536"/>
          <w:sz w:val="17"/>
        </w:rPr>
        <w:t>Developed WoE/IV + 50-PDO logistic scorecard on 1,000 records; test AUC 0.792, Gini 0.584, KS 0.498. Challenger on same WoE split: Logistic 0.795 &gt; RF 0.787 &gt; XGB 0.756 — champion generalizes, challengers overfit; kept logistic for points + auditability.</w:t>
      </w:r>
    </w:p>
    <w:p>
      <w:pPr>
        <w:spacing w:after="16"/>
        <w:ind w:left="187" w:hanging="158"/>
      </w:pPr>
      <w:r>
        <w:rPr>
          <w:rFonts w:ascii="Aptos" w:hAnsi="Aptos"/>
          <w:b/>
          <w:i w:val="0"/>
          <w:color w:val="205988"/>
          <w:sz w:val="17"/>
        </w:rPr>
        <w:t xml:space="preserve">• </w:t>
      </w:r>
      <w:r>
        <w:rPr>
          <w:rFonts w:ascii="Aptos" w:hAnsi="Aptos"/>
          <w:b w:val="0"/>
          <w:i w:val="0"/>
          <w:color w:val="182536"/>
          <w:sz w:val="17"/>
        </w:rPr>
        <w:t>Automated validation (AUC/Gini/KS/PSI 0.034, calibration) and separated fitted PD from assumed LGD/EAD with model card and limits.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92"/>
        <w:gridCol w:w="1944"/>
      </w:tblGrid>
      <w:tr>
        <w:tc>
          <w:tcPr>
            <w:tcW w:type="dxa" w:w="7992"/>
            <w:tcMar>
              <w:top w:w="0" w:type="dxa"/>
              <w:start w:w="0" w:type="dxa"/>
              <w:bottom w:w="0" w:type="dxa"/>
              <w:end w:w="2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82536"/>
                <w:sz w:val="18"/>
              </w:rPr>
              <w:t>Portfolio Tearsheet Pipeline</w:t>
            </w:r>
          </w:p>
        </w:tc>
        <w:tc>
          <w:tcPr>
            <w:tcW w:type="dxa" w:w="1944"/>
            <w:tcMar>
              <w:top w:w="0" w:type="dxa"/>
              <w:start w:w="200" w:type="dxa"/>
              <w:bottom w:w="0" w:type="dxa"/>
              <w:end w:w="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b w:val="0"/>
                <w:i w:val="0"/>
                <w:color w:val="535D69"/>
                <w:sz w:val="16"/>
              </w:rPr>
              <w:t>Python</w:t>
            </w:r>
          </w:p>
        </w:tc>
      </w:tr>
    </w:tbl>
    <w:p>
      <w:pPr>
        <w:spacing w:after="12"/>
      </w:pPr>
      <w:r>
        <w:rPr>
          <w:rFonts w:ascii="Aptos" w:hAnsi="Aptos"/>
          <w:b w:val="0"/>
          <w:i/>
          <w:color w:val="535D69"/>
          <w:sz w:val="16"/>
        </w:rPr>
        <w:t>Broker exports → FIFO + returns — github.com/tatvadesai/tearsheet</w:t>
      </w:r>
    </w:p>
    <w:p>
      <w:pPr>
        <w:spacing w:after="16"/>
        <w:ind w:left="187" w:hanging="158"/>
      </w:pPr>
      <w:r>
        <w:rPr>
          <w:rFonts w:ascii="Aptos" w:hAnsi="Aptos"/>
          <w:b/>
          <w:i w:val="0"/>
          <w:color w:val="205988"/>
          <w:sz w:val="17"/>
        </w:rPr>
        <w:t xml:space="preserve">• </w:t>
      </w:r>
      <w:r>
        <w:rPr>
          <w:rFonts w:ascii="Aptos" w:hAnsi="Aptos"/>
          <w:b w:val="0"/>
          <w:i w:val="0"/>
          <w:color w:val="182536"/>
          <w:sz w:val="17"/>
        </w:rPr>
        <w:t>Built a pipeline for Indian broker exports (Zerodha/Groww) into FIFO holdings, XIRR/TTWR/CAGR/Modified Dietz and NIFTY benchmarking with HTML reports on fictional sample_zerodha.csv.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92"/>
        <w:gridCol w:w="1944"/>
      </w:tblGrid>
      <w:tr>
        <w:tc>
          <w:tcPr>
            <w:tcW w:type="dxa" w:w="7992"/>
            <w:tcMar>
              <w:top w:w="0" w:type="dxa"/>
              <w:start w:w="0" w:type="dxa"/>
              <w:bottom w:w="0" w:type="dxa"/>
              <w:end w:w="2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82536"/>
                <w:sz w:val="18"/>
              </w:rPr>
              <w:t>Demand Forecasting Under Operating Constraints</w:t>
            </w:r>
          </w:p>
        </w:tc>
        <w:tc>
          <w:tcPr>
            <w:tcW w:type="dxa" w:w="1944"/>
            <w:tcMar>
              <w:top w:w="0" w:type="dxa"/>
              <w:start w:w="200" w:type="dxa"/>
              <w:bottom w:w="0" w:type="dxa"/>
              <w:end w:w="0" w:type="dxa"/>
            </w:tcMar>
            <w:vAlign w:val="center"/>
          </w:tcPr>
          <w:p>
            <w:pPr>
              <w:jc w:val="right"/>
            </w:pPr>
            <w:r>
              <w:rPr>
                <w:rFonts w:ascii="Aptos" w:hAnsi="Aptos"/>
                <w:b w:val="0"/>
                <w:i w:val="0"/>
                <w:color w:val="535D69"/>
                <w:sz w:val="16"/>
              </w:rPr>
              <w:t>R</w:t>
            </w:r>
          </w:p>
        </w:tc>
      </w:tr>
    </w:tbl>
    <w:p>
      <w:pPr>
        <w:spacing w:after="12"/>
      </w:pPr>
      <w:r>
        <w:rPr>
          <w:rFonts w:ascii="Aptos" w:hAnsi="Aptos"/>
          <w:b w:val="0"/>
          <w:i/>
          <w:color w:val="535D69"/>
          <w:sz w:val="16"/>
        </w:rPr>
        <w:t>Public synthetic | Private data excluded — github.com/tatvadesai/demand-forecasting-synthetic</w:t>
      </w:r>
    </w:p>
    <w:p>
      <w:pPr>
        <w:spacing w:after="16"/>
        <w:ind w:left="187" w:hanging="158"/>
      </w:pPr>
      <w:r>
        <w:rPr>
          <w:rFonts w:ascii="Aptos" w:hAnsi="Aptos"/>
          <w:b/>
          <w:i w:val="0"/>
          <w:color w:val="205988"/>
          <w:sz w:val="17"/>
        </w:rPr>
        <w:t xml:space="preserve">• </w:t>
      </w:r>
      <w:r>
        <w:rPr>
          <w:rFonts w:ascii="Aptos" w:hAnsi="Aptos"/>
          <w:b w:val="0"/>
          <w:i w:val="0"/>
          <w:color w:val="182536"/>
          <w:sz w:val="17"/>
        </w:rPr>
        <w:t>Built a time-aware weekly workflow on 1,463 fictional obs with fixed 52-week holdout; harmonic-regression MASE 0.664 vs 1.116 naive, 80.8% P80 coverage, privacy-scanned and reproducible.</w:t>
      </w:r>
    </w:p>
    <w:p>
      <w:pPr>
        <w:keepNext/>
        <w:spacing w:before="110" w:after="42"/>
        <w:pBdr>
          <w:bottom w:val="single" w:sz="6" w:space="2" w:color="B7C7D6"/>
        </w:pBdr>
      </w:pPr>
      <w:r>
        <w:rPr>
          <w:rFonts w:ascii="Aptos" w:hAnsi="Aptos"/>
          <w:b/>
          <w:i w:val="0"/>
          <w:color w:val="205988"/>
          <w:sz w:val="16"/>
        </w:rPr>
        <w:t>SKILLS</w:t>
      </w:r>
    </w:p>
    <w:p>
      <w:pPr>
        <w:spacing w:after="0"/>
      </w:pPr>
      <w:r>
        <w:rPr>
          <w:rFonts w:ascii="Aptos" w:hAnsi="Aptos"/>
          <w:b/>
          <w:i w:val="0"/>
          <w:color w:val="182536"/>
          <w:sz w:val="17"/>
        </w:rPr>
        <w:t xml:space="preserve">Risk &amp; Decisions: </w:t>
      </w:r>
      <w:r>
        <w:rPr>
          <w:rFonts w:ascii="Aptos" w:hAnsi="Aptos"/>
          <w:b w:val="0"/>
          <w:i w:val="0"/>
          <w:color w:val="535D69"/>
          <w:sz w:val="17"/>
        </w:rPr>
        <w:t>Credit risk, PD scorecards, EL, MI, concentration, returns (XIRR/TTWR), VaR/CVaR</w:t>
      </w:r>
      <w:r>
        <w:rPr>
          <w:rFonts w:ascii="Aptos" w:hAnsi="Aptos"/>
          <w:b w:val="0"/>
          <w:i w:val="0"/>
          <w:color w:val="969EA6"/>
          <w:sz w:val="17"/>
        </w:rPr>
        <w:t xml:space="preserve">  |  </w:t>
      </w:r>
      <w:r>
        <w:rPr>
          <w:rFonts w:ascii="Aptos" w:hAnsi="Aptos"/>
          <w:b/>
          <w:i w:val="0"/>
          <w:color w:val="182536"/>
          <w:sz w:val="17"/>
        </w:rPr>
        <w:t xml:space="preserve">Data: </w:t>
      </w:r>
      <w:r>
        <w:rPr>
          <w:rFonts w:ascii="Aptos" w:hAnsi="Aptos"/>
          <w:b w:val="0"/>
          <w:i w:val="0"/>
          <w:color w:val="535D69"/>
          <w:sz w:val="17"/>
        </w:rPr>
        <w:t>Python, R, SQL, DuckDB, pandas, statistics</w:t>
      </w:r>
      <w:r>
        <w:rPr>
          <w:rFonts w:ascii="Aptos" w:hAnsi="Aptos"/>
          <w:b w:val="0"/>
          <w:i w:val="0"/>
          <w:color w:val="969EA6"/>
          <w:sz w:val="17"/>
        </w:rPr>
        <w:t xml:space="preserve">  |  </w:t>
      </w:r>
      <w:r>
        <w:rPr>
          <w:rFonts w:ascii="Aptos" w:hAnsi="Aptos"/>
          <w:b/>
          <w:i w:val="0"/>
          <w:color w:val="182536"/>
          <w:sz w:val="17"/>
        </w:rPr>
        <w:t xml:space="preserve">Tools: </w:t>
      </w:r>
      <w:r>
        <w:rPr>
          <w:rFonts w:ascii="Aptos" w:hAnsi="Aptos"/>
          <w:b w:val="0"/>
          <w:i w:val="0"/>
          <w:color w:val="535D69"/>
          <w:sz w:val="17"/>
        </w:rPr>
        <w:t>Streamlit, Git, GitHub, Excel, Jupyter</w:t>
      </w:r>
    </w:p>
    <w:p>
      <w:pPr>
        <w:keepNext/>
        <w:spacing w:before="110" w:after="42"/>
        <w:pBdr>
          <w:bottom w:val="single" w:sz="6" w:space="2" w:color="B7C7D6"/>
        </w:pBdr>
      </w:pPr>
      <w:r>
        <w:rPr>
          <w:rFonts w:ascii="Aptos" w:hAnsi="Aptos"/>
          <w:b/>
          <w:i w:val="0"/>
          <w:color w:val="205988"/>
          <w:sz w:val="16"/>
        </w:rPr>
        <w:t>LEADERSHIP &amp; RECOGNITION</w:t>
      </w:r>
    </w:p>
    <w:p>
      <w:pPr>
        <w:spacing w:after="0"/>
      </w:pPr>
      <w:r>
        <w:rPr>
          <w:rFonts w:ascii="Aptos" w:hAnsi="Aptos"/>
          <w:b w:val="0"/>
          <w:i w:val="0"/>
          <w:color w:val="182536"/>
          <w:sz w:val="16"/>
        </w:rPr>
        <w:t>Student–Faculty Council Member, BITS Pilani MBA  |  Coordinator, Finomaniac Club  |  Runner-up, Nirma E-Cell Business Plan Competition (2025)  |  AIR 345, IPMAT</w:t>
      </w:r>
    </w:p>
    <w:sectPr w:rsidR="00FC693F" w:rsidRPr="0006063C" w:rsidSect="00034616">
      <w:pgSz w:w="12240" w:h="15840"/>
      <w:pgMar w:top="691" w:right="792" w:bottom="662" w:left="792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