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focused on credit risk, portfolio monitoring and risk-return analysis. Builds reproducible Python and SQL workflows that connect model evidence to clear management information.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—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—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May–Jul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Monitor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portfolio demonstration | DuckDB + Streamlit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offline wholesale-credit MI cockpit for a six-obligor synthetic portfolio, calculating $420m assumed EAD, EAD-weighted PD, expected loss and country/sector HHI with obligor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Implemented evidence-bearing PD/watchlist rules and a transparent stress scenario that raised synthetic expected loss from $9.61m to $17.61m and warning signals from two to three.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Retail PD scorecard | UCI German Credit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Developed an interpretable PD scorecard on 1,000 records using WoE/IV screening, logistic regression and 50-PDO scaling; achieved 0.792 test AUC, 0.584 Gini and 0.498 KS.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discrimination, calibration, score-stability and expected-loss reporting while separating fitted PD from assumption-driven LGD and EAD.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Risk &amp; Allocation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Historical market data | Risk, stress and optimization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engine for VaR/CVaR, drawdown, beta, alpha and risk-adjusted returns, plus long-only optimization, a 60-point frontier and three explicit hypothetical stress scenarios.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Public synthetic workflow | Private-source data excluded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weekly forecasting workflow with a fixed 52-week holdout, baseline comparison and empirically calibrated P80 planning buffer on 1,463 fictional observations.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Risk: </w:t>
      </w:r>
      <w:r>
        <w:rPr>
          <w:rFonts w:ascii="Aptos" w:hAnsi="Aptos"/>
          <w:b w:val="0"/>
          <w:i w:val="0"/>
          <w:color w:val="535D69"/>
          <w:sz w:val="17"/>
        </w:rPr>
        <w:t>Credit risk, PD scorecards, expected loss, portfolio MI, concentration, VaR/CVaR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DuckDB, pandas, statistics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Git, GitHub, Excel,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