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i w:val="0"/>
          <w:color w:val="182536"/>
          <w:sz w:val="36"/>
        </w:rPr>
        <w:t>TATVA 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+91 94997 56756  |  tatvadesai95@gmail.com  |  linkedin.com/in/tatvadesai</w:t>
      </w:r>
    </w:p>
    <w:p>
      <w:pPr>
        <w:spacing w:after="80"/>
        <w:jc w:val="center"/>
      </w:pPr>
      <w:r>
        <w:rPr>
          <w:rFonts w:ascii="Aptos" w:hAnsi="Aptos"/>
          <w:b w:val="0"/>
          <w:i w:val="0"/>
          <w:color w:val="535D69"/>
          <w:sz w:val="16"/>
        </w:rPr>
        <w:t>github.com/tatvadesai  |  tatvadesai.github.io  |  ekagritventures.github.io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PROFILE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7"/>
        </w:rPr>
        <w:t>MBA Business Analytics candidate bridging credit risk, portfolio analytics and operating decisions. Builds Python/R/SQL workflows that turn messy data into Management Information with explicit limits and challenger-aware model choice.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BITS Pilani — MBA, Business Analytics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2025–2027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8.14 | Coursework: Financial Statement Analysis, Statistics &amp; Econometrics, Programming for Analytics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Navrachana University — BBA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2021–2024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CGPA: 7.7/10 | Finance and business foundation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Family Distribution Business - Analytics Projects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Regional consumer-goods distribution | anonymised portfolio description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anonymised demand-forecasting and inventory-planning workflow using time-aware validation, baseline comparison, uncertainty buffers and documented evidence boundaries.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operational analysis across sales reporting, invoice classification and outlet discovery to support planning and commercial decisions.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ASA Capital Management - Equity Research &amp; Data Intern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May-Jul 2023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Vadodara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Python-based annotation extraction and market-volume screening tools to support equity-research workflows across NSE-listed companies.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Conducted consumer-review sentiment analysis, NBFC/housing research and financial-data collection for investment-research assignments.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GatherAround - Founder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Curated events startup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and operated a curated-events startup; ran 12+ events for 70+ participants and generated INR 10,000+ in revenue.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Selected among the top 25 of 100+ teams across five BITS campuses in the Mookerji Innovation Fund.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SELECTED 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Wholesale Credit Early-Warning &amp; MI Monitor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 + SQL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Synthetic MI | DuckDB + Streamlit — github.com/tatvadesai/wholesale-credit-monitor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an offline MI cockpit for 6 synthetic obligors, calculating $420m assumed EAD, EAD-weighted PD, expected loss and country/sector HHI with drill-downs.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Implemented evidence-bearing rules and a 1.5×PD/+10pp LGD stress that raised synthetic EL $9.61m → $17.61m and warnings 2 → 3, with SHA-256 snapshots and read-only mart.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Credit Risk Engine — Logistic (champion) vs RF vs XGB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Retail PD scorecard | UCI German Credit — github.com/tatvadesai/credit-risk-engine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Developed WoE/IV + 50-PDO logistic scorecard on 1,000 records; test AUC 0.792, Gini 0.584, KS 0.498. Challenger on same WoE split: Logistic 0.792 &gt; RF 0.787 &gt; XGB 0.756 — champion generalizes, challengers overfit (RF train AUC 0.899, XGB 0.984); kept logistic for points + auditability.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Automated validation (AUC/Gini/KS/PSI 0.034, calibration) and separated fitted PD from assumed LGD/EAD with model card and limits.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Portfolio Tearsheet Pipeline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Python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Broker exports → FIFO + returns — github.com/tatvadesai/portfolio-tearsheet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a pipeline turning Indian broker exports (Zerodha/Groww) into FIFO lot holdings, then XIRR/TTWR/Modified Dietz/CAGR and NIFTY 50 benchmarking, on fictional sample_zerodha.csv.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Report leads on the money-weighted vs time-weighted gap as the cost of cash-flow timing, with rolling 63/126/252-session windows on a shared scale and per-holding sparklines to test whether performance persists.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1944"/>
      </w:tblGrid>
      <w:tr>
        <w:tc>
          <w:tcPr>
            <w:tcW w:type="dxa" w:w="7992"/>
            <w:tcMar>
              <w:top w:w="0" w:type="dxa"/>
              <w:start w:w="0" w:type="dxa"/>
              <w:bottom w:w="0" w:type="dxa"/>
              <w:end w:w="20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82536"/>
                <w:sz w:val="18"/>
              </w:rPr>
              <w:t>Demand Forecasting Under Operating Constraints</w:t>
            </w:r>
          </w:p>
        </w:tc>
        <w:tc>
          <w:tcPr>
            <w:tcW w:type="dxa" w:w="1944"/>
            <w:tcMar>
              <w:top w:w="0" w:type="dxa"/>
              <w:start w:w="200" w:type="dxa"/>
              <w:bottom w:w="0" w:type="dxa"/>
              <w:end w:w="0" w:type="dxa"/>
            </w:tcMar>
            <w:vAlign w:val="center"/>
          </w:tcPr>
          <w:p>
            <w:pPr>
              <w:jc w:val="right"/>
            </w:pPr>
            <w:r>
              <w:rPr>
                <w:rFonts w:ascii="Aptos" w:hAnsi="Aptos"/>
                <w:b w:val="0"/>
                <w:i w:val="0"/>
                <w:color w:val="535D69"/>
                <w:sz w:val="16"/>
              </w:rPr>
              <w:t>R</w:t>
            </w:r>
          </w:p>
        </w:tc>
      </w:tr>
    </w:tbl>
    <w:p>
      <w:pPr>
        <w:spacing w:after="12"/>
      </w:pPr>
      <w:r>
        <w:rPr>
          <w:rFonts w:ascii="Aptos" w:hAnsi="Aptos"/>
          <w:b w:val="0"/>
          <w:i/>
          <w:color w:val="535D69"/>
          <w:sz w:val="16"/>
        </w:rPr>
        <w:t>Public synthetic | Private data excluded — github.com/tatvadesai/demand-forecasting-synthetic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Built the weekly demand-planning forecast pipeline for a regional distribution business, covering time-aware validation, model selection, forecast reconciliation and inventory planning.</w:t>
      </w:r>
    </w:p>
    <w:p>
      <w:pPr>
        <w:spacing w:after="16"/>
        <w:ind w:left="187" w:hanging="158"/>
      </w:pPr>
      <w:r>
        <w:rPr>
          <w:rFonts w:ascii="Aptos" w:hAnsi="Aptos"/>
          <w:b/>
          <w:i w:val="0"/>
          <w:color w:val="205988"/>
          <w:sz w:val="17"/>
        </w:rPr>
        <w:t xml:space="preserve">• </w:t>
      </w:r>
      <w:r>
        <w:rPr>
          <w:rFonts w:ascii="Aptos" w:hAnsi="Aptos"/>
          <w:b w:val="0"/>
          <w:i w:val="0"/>
          <w:color w:val="182536"/>
          <w:sz w:val="17"/>
        </w:rPr>
        <w:t>Published an anonymised synthetic reproduction of the method, as the underlying business data is confidential: 1,463 fictional weekly observations, fixed 52-week holdout, harmonic-regression MASE 0.664 vs 1.116 seasonal naive, 80.8% P80 coverage, with an automated privacy scan.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SKILLS</w:t>
      </w:r>
    </w:p>
    <w:p>
      <w:pPr>
        <w:spacing w:after="0"/>
      </w:pPr>
      <w:r>
        <w:rPr>
          <w:rFonts w:ascii="Aptos" w:hAnsi="Aptos"/>
          <w:b/>
          <w:i w:val="0"/>
          <w:color w:val="182536"/>
          <w:sz w:val="17"/>
        </w:rPr>
        <w:t xml:space="preserve">Risk &amp; Decisions: </w:t>
      </w:r>
      <w:r>
        <w:rPr>
          <w:rFonts w:ascii="Aptos" w:hAnsi="Aptos"/>
          <w:b w:val="0"/>
          <w:i w:val="0"/>
          <w:color w:val="535D69"/>
          <w:sz w:val="17"/>
        </w:rPr>
        <w:t>Credit risk, PD scorecards, expected loss, MI, concentration (HHI), returns (XIRR/TTWR), forecasting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Data: </w:t>
      </w:r>
      <w:r>
        <w:rPr>
          <w:rFonts w:ascii="Aptos" w:hAnsi="Aptos"/>
          <w:b w:val="0"/>
          <w:i w:val="0"/>
          <w:color w:val="535D69"/>
          <w:sz w:val="17"/>
        </w:rPr>
        <w:t>Python, R, SQL, DuckDB, pandas, statistics</w:t>
      </w:r>
      <w:r>
        <w:rPr>
          <w:rFonts w:ascii="Aptos" w:hAnsi="Aptos"/>
          <w:b w:val="0"/>
          <w:i w:val="0"/>
          <w:color w:val="969EA6"/>
          <w:sz w:val="17"/>
        </w:rPr>
        <w:t xml:space="preserve">  |  </w:t>
      </w:r>
      <w:r>
        <w:rPr>
          <w:rFonts w:ascii="Aptos" w:hAnsi="Aptos"/>
          <w:b/>
          <w:i w:val="0"/>
          <w:color w:val="182536"/>
          <w:sz w:val="17"/>
        </w:rPr>
        <w:t xml:space="preserve">Tools: </w:t>
      </w:r>
      <w:r>
        <w:rPr>
          <w:rFonts w:ascii="Aptos" w:hAnsi="Aptos"/>
          <w:b w:val="0"/>
          <w:i w:val="0"/>
          <w:color w:val="535D69"/>
          <w:sz w:val="17"/>
        </w:rPr>
        <w:t>Streamlit, Git, GitHub, Excel, Jupyter</w:t>
      </w:r>
    </w:p>
    <w:p>
      <w:pPr>
        <w:keepNext/>
        <w:spacing w:before="110" w:after="42"/>
        <w:pBdr>
          <w:bottom w:val="single" w:sz="6" w:space="2" w:color="B7C7D6"/>
        </w:pBdr>
      </w:pPr>
      <w:r>
        <w:rPr>
          <w:rFonts w:ascii="Aptos" w:hAnsi="Aptos"/>
          <w:b/>
          <w:i w:val="0"/>
          <w:color w:val="205988"/>
          <w:sz w:val="16"/>
        </w:rPr>
        <w:t>LEADERSHIP &amp; RECOGNITION</w:t>
      </w:r>
    </w:p>
    <w:p>
      <w:pPr>
        <w:spacing w:after="0"/>
      </w:pPr>
      <w:r>
        <w:rPr>
          <w:rFonts w:ascii="Aptos" w:hAnsi="Aptos"/>
          <w:b w:val="0"/>
          <w:i w:val="0"/>
          <w:color w:val="182536"/>
          <w:sz w:val="16"/>
        </w:rPr>
        <w:t>Student–Faculty Council Member, BITS Pilani MBA  |  Coordinator, Finomaniac Club  |  Runner-up, Nirma E-Cell Business Plan Competition (2025)  |  AIR 345, IPMAT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