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82536"/>
          <w:sz w:val="36"/>
        </w:rPr>
        <w:t>TATVA DESAI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535D69"/>
          <w:sz w:val="16"/>
        </w:rPr>
        <w:t>+91 94997 56756  |  tatvadesai95@gmail.com  |  linkedin.com/in/tatvadesai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535D69"/>
          <w:sz w:val="16"/>
        </w:rPr>
        <w:t>github.com/tatvadesai  |  tatvadesai.github.io  |  ekagritventures.github.io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PROFILE</w:t>
      </w:r>
    </w:p>
    <w:p>
      <w:pPr>
        <w:spacing w:after="0"/>
      </w:pPr>
      <w:r>
        <w:rPr>
          <w:rFonts w:ascii="Aptos" w:hAnsi="Aptos"/>
          <w:b w:val="0"/>
          <w:i w:val="0"/>
          <w:color w:val="182536"/>
          <w:sz w:val="17"/>
        </w:rPr>
        <w:t>MBA Business Analytics candidate focused on credit risk, portfolio monitoring and risk-return analysis. Builds reproducible Python and SQL workflows that connect model evidence to clear management information.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BITS Pilani — MBA, Business Analytics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2025–2027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CGPA: 8.14 | Coursework: Financial Statement Analysis, Statistics &amp; Econometrics, Programming for Analytics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Navrachana University — BBA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2021–2024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CGPA: 7.7/10 | Finance and business foundation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Family Distribution Business — Analytics Projects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Regional consumer-goods distribution | anonymised portfolio description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an anonymised demand-forecasting and inventory-planning workflow using time-aware validation, baseline comparison, uncertainty buffers and documented evidence boundaries.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Automated operational analysis across sales reporting, invoice classification and outlet discovery to support planning and commercial decisions.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ASA Capital Management — Equity Research &amp; Data Intern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May–Jul 2023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Vadodara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Python-based annotation extraction and market-volume screening tools to support equity-research workflows across NSE-listed companies.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Conducted consumer-review sentiment analysis, NBFC/housing research and financial-data collection for investment-research assignments.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SELECTED PROJECTS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Wholesale Credit Early-Warning &amp; MI Cockpit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 + SQL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Synthetic portfolio demonstration | DuckDB + Streamlit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an offline wholesale-credit MI cockpit for a six-obligor synthetic portfolio, calculating $420m assumed EAD, EAD-weighted PD, expected loss and country/sector HHI with obligor drill-downs.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Implemented evidence-bearing PD/watchlist rules and a transparent stress scenario that raised synthetic expected loss from $9.61m to $17.61m and warning signals from two to three.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Credit Risk Engine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Retail PD scorecard | UCI German Credit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Developed an interpretable PD scorecard on 1,000 records using WoE/IV screening, logistic regression and 50-PDO scaling; achieved 0.792 test AUC, 0.584 Gini and 0.498 KS.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Automated discrimination, calibration, score-stability and expected-loss reporting while separating fitted PD from assumption-driven LGD and EAD.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Portfolio Risk &amp; Allocation Engine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Historical market data | Risk, stress and optimization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 reproducible engine for VaR/CVaR, drawdown, beta, alpha and risk-adjusted returns, plus long-only optimization, a 60-point frontier and three explicit hypothetical stress scenarios.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Demand Forecasting Under Operating Constraints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R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Public synthetic workflow | Private-source data excluded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 reproducible weekly forecasting workflow with a fixed 52-week holdout, baseline comparison and empirically calibrated P80 planning buffer on 1,463 fictional observations.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SKILLS</w:t>
      </w:r>
    </w:p>
    <w:p>
      <w:pPr>
        <w:spacing w:after="0"/>
      </w:pPr>
      <w:r>
        <w:rPr>
          <w:rFonts w:ascii="Aptos" w:hAnsi="Aptos"/>
          <w:b/>
          <w:i w:val="0"/>
          <w:color w:val="182536"/>
          <w:sz w:val="17"/>
        </w:rPr>
        <w:t xml:space="preserve">Risk: </w:t>
      </w:r>
      <w:r>
        <w:rPr>
          <w:rFonts w:ascii="Aptos" w:hAnsi="Aptos"/>
          <w:b w:val="0"/>
          <w:i w:val="0"/>
          <w:color w:val="535D69"/>
          <w:sz w:val="17"/>
        </w:rPr>
        <w:t>Credit risk, PD scorecards, expected loss, portfolio MI, concentration, VaR/CVaR</w:t>
      </w:r>
      <w:r>
        <w:rPr>
          <w:rFonts w:ascii="Aptos" w:hAnsi="Aptos"/>
          <w:b w:val="0"/>
          <w:i w:val="0"/>
          <w:color w:val="969EA6"/>
          <w:sz w:val="17"/>
        </w:rPr>
        <w:t xml:space="preserve">  |  </w:t>
      </w:r>
      <w:r>
        <w:rPr>
          <w:rFonts w:ascii="Aptos" w:hAnsi="Aptos"/>
          <w:b/>
          <w:i w:val="0"/>
          <w:color w:val="182536"/>
          <w:sz w:val="17"/>
        </w:rPr>
        <w:t xml:space="preserve">Data: </w:t>
      </w:r>
      <w:r>
        <w:rPr>
          <w:rFonts w:ascii="Aptos" w:hAnsi="Aptos"/>
          <w:b w:val="0"/>
          <w:i w:val="0"/>
          <w:color w:val="535D69"/>
          <w:sz w:val="17"/>
        </w:rPr>
        <w:t>Python, R, SQL, DuckDB, pandas, statistics</w:t>
      </w:r>
      <w:r>
        <w:rPr>
          <w:rFonts w:ascii="Aptos" w:hAnsi="Aptos"/>
          <w:b w:val="0"/>
          <w:i w:val="0"/>
          <w:color w:val="969EA6"/>
          <w:sz w:val="17"/>
        </w:rPr>
        <w:t xml:space="preserve">  |  </w:t>
      </w:r>
      <w:r>
        <w:rPr>
          <w:rFonts w:ascii="Aptos" w:hAnsi="Aptos"/>
          <w:b/>
          <w:i w:val="0"/>
          <w:color w:val="182536"/>
          <w:sz w:val="17"/>
        </w:rPr>
        <w:t xml:space="preserve">Tools: </w:t>
      </w:r>
      <w:r>
        <w:rPr>
          <w:rFonts w:ascii="Aptos" w:hAnsi="Aptos"/>
          <w:b w:val="0"/>
          <w:i w:val="0"/>
          <w:color w:val="535D69"/>
          <w:sz w:val="17"/>
        </w:rPr>
        <w:t>Streamlit, Git, GitHub, Excel, Jupyter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LEADERSHIP &amp; RECOGNITION</w:t>
      </w:r>
    </w:p>
    <w:p>
      <w:pPr>
        <w:spacing w:after="0"/>
      </w:pPr>
      <w:r>
        <w:rPr>
          <w:rFonts w:ascii="Aptos" w:hAnsi="Aptos"/>
          <w:b w:val="0"/>
          <w:i w:val="0"/>
          <w:color w:val="182536"/>
          <w:sz w:val="16"/>
        </w:rPr>
        <w:t>Student–Faculty Council Member, BITS Pilani MBA  |  Coordinator, Finomaniac Club  |  Runner-up, Nirma E-Cell Business Plan Competition (2025)  |  AIR 345, IPMAT</w:t>
      </w:r>
    </w:p>
    <w:sectPr w:rsidR="00FC693F" w:rsidRPr="0006063C" w:rsidSect="00034616">
      <w:pgSz w:w="12240" w:h="15840"/>
      <w:pgMar w:top="691" w:right="792" w:bottom="66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