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bridging credit risk, portfolio analytics and operating decisions. Builds Python/R/SQL workflows that turn messy data into Management Information with explicit limits and challenger-aware model choice.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-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-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May-Jul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GatherAround - Founder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Curated events startup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and operated a curated-events startup; ran 12+ events for 70+ participants and generated INR 10,000+ in revenue.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Selected among the top 25 of 100+ teams across five BITS campuses in the Mookerji Innovation Fund.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Cockpit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MI | DuckDB + Streamlit — github.com/tatvadesai/wholesale-credit-cockpit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offline MI cockpit for 6 synthetic obligors, calculating $420m assumed EAD, EAD-weighted PD, expected loss and country/sector HHI with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Implemented evidence-bearing rules and a 1.5×PD/+10pp LGD stress that raised synthetic EL $9.61m → $17.61m and warnings 2 → 3, with SHA-256 snapshots and read-only mart.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 — Logistic (champion) vs RF vs XGB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Retail PD scorecard | UCI German Credit — github.com/tatvadesai/credit-risk-engine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Developed WoE/IV + 50-PDO logistic scorecard on 1,000 records; test AUC 0.792, Gini 0.584, KS 0.498. Challenger on same WoE split: Logistic 0.792 &gt; RF 0.787 &gt; XGB 0.756 — champion generalizes, challengers overfit (RF train AUC 0.899, XGB 0.984); kept logistic for points + auditability.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validation (AUC/Gini/KS/PSI 0.034, calibration) and separated fitted PD from assumed LGD/EAD with model card and limits.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Tearsheet Pipeline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Broker exports → FIFO + returns — github.com/tatvadesai/tearsheet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pipeline turning Indian broker exports (Zerodha/Groww) into FIFO lot holdings, then XIRR/TTWR/Modified Dietz/CAGR and NIFTY 50 benchmarking, on fictional sample_zerodha.csv.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Report leads on the money-weighted vs time-weighted gap as the cost of cash-flow timing, with rolling 63/126/252-session windows on a shared scale and per-holding sparklines to test whether performance persists.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Public synthetic | Private data excluded — github.com/tatvadesai/demand-forecasting-synthetic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time-aware weekly workflow on 1,463 fictional obs with fixed 52-week holdout; harmonic-regression MASE 0.664 vs 1.116 naive, 80.8% P80 coverage, privacy-scanned and reproducible.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Risk &amp; Decisions: </w:t>
      </w:r>
      <w:r>
        <w:rPr>
          <w:rFonts w:ascii="Aptos" w:hAnsi="Aptos"/>
          <w:b w:val="0"/>
          <w:i w:val="0"/>
          <w:color w:val="535D69"/>
          <w:sz w:val="17"/>
        </w:rPr>
        <w:t>Credit risk, PD scorecards, EL, MI, concentration, returns (XIRR/TTWR), VaR/CVaR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DuckDB, pandas, statistics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Git, GitHub, Excel,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