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45A32"/>
          <w:sz w:val="38"/>
          <w:szCs w:val="38"/>
        </w:rPr>
        <w:t xml:space="preserve">PROPOSTA TÉCNICA DE CONSULTORIA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Metalúrgica YZ — Soluções em Automação e TI</w:t>
      </w:r>
    </w:p>
    <w:p>
      <w:pPr>
        <w:pBdr>
          <w:bottom w:val="single" w:color="145A32" w:sz="6" w:space="1"/>
        </w:pBdr>
        <w:spacing w:after="360" w:before="0"/>
        <w:jc w:val="center"/>
      </w:pPr>
      <w:r>
        <w:rPr>
          <w:rFonts w:ascii="Arial" w:cs="Arial" w:eastAsia="Arial" w:hAnsi="Arial"/>
          <w:i/>
          <w:iCs/>
          <w:color w:val="777777"/>
          <w:sz w:val="23"/>
          <w:szCs w:val="23"/>
        </w:rPr>
        <w:t xml:space="preserve">Área: Eficiência de Recursos — Consumo Ineficiente de Água e Energia</w:t>
      </w:r>
    </w:p>
    <w:p>
      <w:pPr>
        <w:spacing w:after="180" w:before="280"/>
      </w:pPr>
      <w:r>
        <w:rPr>
          <w:rFonts w:ascii="Arial" w:cs="Arial" w:eastAsia="Arial" w:hAnsi="Arial"/>
          <w:b/>
          <w:bCs/>
          <w:color w:val="145A32"/>
          <w:sz w:val="32"/>
          <w:szCs w:val="32"/>
        </w:rPr>
        <w:t xml:space="preserve">1. Problema Identificado</w:t>
      </w:r>
    </w:p>
    <w:p>
      <w:pPr>
        <w:spacing w:after="180"/>
      </w:pPr>
      <w:r>
        <w:rPr>
          <w:rFonts w:ascii="Arial" w:cs="Arial" w:eastAsia="Arial" w:hAnsi="Arial"/>
          <w:sz w:val="23"/>
          <w:szCs w:val="23"/>
        </w:rPr>
        <w:t xml:space="preserve">A Metalúrgica YZ apresenta consumo ineficiente de água e energia, sem instrumentação nem monitoramento setorizado. A ausência de medição por ponto de uso impede a identificação de desperdícios. O uso de mangueiras abertas para limpeza e processos sem controle de ciclo contribui para volumes de consumo acima da média do setor.</w:t>
      </w:r>
    </w:p>
    <w:p>
      <w:pPr>
        <w:spacing w:after="180" w:before="280"/>
      </w:pPr>
      <w:r>
        <w:rPr>
          <w:rFonts w:ascii="Arial" w:cs="Arial" w:eastAsia="Arial" w:hAnsi="Arial"/>
          <w:b/>
          <w:bCs/>
          <w:color w:val="145A32"/>
          <w:sz w:val="32"/>
          <w:szCs w:val="32"/>
        </w:rPr>
        <w:t xml:space="preserve">2. Solução Proposta</w:t>
      </w:r>
    </w:p>
    <w:p>
      <w:pPr>
        <w:spacing w:after="180"/>
      </w:pPr>
      <w:r>
        <w:rPr>
          <w:rFonts w:ascii="Arial" w:cs="Arial" w:eastAsia="Arial" w:hAnsi="Arial"/>
          <w:sz w:val="23"/>
          <w:szCs w:val="23"/>
        </w:rPr>
        <w:t xml:space="preserve">A solução proposta para este problema é apresentada a seguir: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Solução 2 (Alternativa)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Medidores Setorizados + Protocolo de Uso Racional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3"/>
                <w:szCs w:val="23"/>
              </w:rPr>
              <w:t xml:space="preserve">Instalação de hidrômetros em cada ponto de uso relevante (usinagem, limpeza, pintura, sanitários). Sistema de planilha digital para registro e análise mensal do consumo. Substituição de mangueiras abertas por lavadoras de alta pressão (menor volume por ciclo).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6"/>
                <w:szCs w:val="26"/>
              </w:rPr>
              <w:t xml:space="preserve">Orçamento: R$ 7.500</w:t>
            </w:r>
          </w:p>
        </w:tc>
      </w:tr>
    </w:tbl>
    <w:p>
      <w:pPr>
        <w:spacing w:after="280"/>
      </w:pPr>
    </w:p>
    <w:p>
      <w:pPr>
        <w:spacing w:after="180" w:before="280"/>
      </w:pPr>
      <w:r>
        <w:rPr>
          <w:rFonts w:ascii="Arial" w:cs="Arial" w:eastAsia="Arial" w:hAnsi="Arial"/>
          <w:b/>
          <w:bCs/>
          <w:color w:val="145A32"/>
          <w:sz w:val="32"/>
          <w:szCs w:val="32"/>
        </w:rPr>
        <w:t xml:space="preserve">3. Detalhamento Técnico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3.1 Medição Setorizada de Água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Hidrômetros digitais instalados nos principais pontos: usinagem, pintura, limpeza industrial, sanitários e refeitório;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Leitura com transmissão automática para planilha/software central;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Alertas automáticos para consumo acima da média histórica (desvio &gt; 15%);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Substituição de mangueiras abertas por lavadoras de alta pressão (redução de até 70% por ciclo).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3.2 Monitoramento de Energia e Protocolo Racional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Medidores de energia elétrica (kWh) por setor produtivo (fornos, prensas, compressores, iluminação);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Dashboard com consumo em tempo real e histórico mensal por setor;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Protocolo de desligamento programado em horários de pico (gestão de demanda);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Planilha digital com relatório mensal comparativo à meta e ao mês anterior;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Programa interno de conscientização com metas por setor e reconhecimento trimestral.</w:t>
      </w:r>
    </w:p>
    <w:p>
      <w:pPr>
        <w:spacing w:after="280"/>
      </w:pPr>
    </w:p>
    <w:p>
      <w:pPr>
        <w:spacing w:after="180" w:before="280"/>
      </w:pPr>
      <w:r>
        <w:rPr>
          <w:rFonts w:ascii="Arial" w:cs="Arial" w:eastAsia="Arial" w:hAnsi="Arial"/>
          <w:b/>
          <w:bCs/>
          <w:color w:val="145A32"/>
          <w:sz w:val="32"/>
          <w:szCs w:val="32"/>
        </w:rPr>
        <w:t xml:space="preserve">4. Normas e Legislação Aplicável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NBR ISO 14001 — Sistema de Gestão Ambiental: gestão de aspectos e impactos ambientais incluindo consumo de recursos;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Lei 9.433/1997 — Política Nacional de Recursos Hídricos: uso racional e eficiente da água;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Resolução ANEEL — Eficiência Energética: programas de redução de consumo em indústrias;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ABNT NBR 5410 — Instalações Elétricas de Baixa Tensão: segurança nas medições instaladas.</w:t>
      </w:r>
    </w:p>
    <w:p>
      <w:pPr>
        <w:spacing w:after="280"/>
      </w:pPr>
    </w:p>
    <w:p>
      <w:pPr>
        <w:spacing w:after="180" w:before="280"/>
      </w:pPr>
      <w:r>
        <w:rPr>
          <w:rFonts w:ascii="Arial" w:cs="Arial" w:eastAsia="Arial" w:hAnsi="Arial"/>
          <w:b/>
          <w:bCs/>
          <w:color w:val="145A32"/>
          <w:sz w:val="32"/>
          <w:szCs w:val="32"/>
        </w:rPr>
        <w:t xml:space="preserve">5. Indicadores de Desempenho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Indicador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Meta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Redução consumo de água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- 20% em 12 meses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Redução consumo de energia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- 15% em 12 meses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Setores com medição instalada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100% até mês 3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Relatórios mensais no prazo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Alertas com ação corretiva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90%</w:t>
            </w:r>
          </w:p>
        </w:tc>
      </w:tr>
    </w:tbl>
    <w:p>
      <w:pPr>
        <w:spacing w:after="280"/>
      </w:pPr>
    </w:p>
    <w:p>
      <w:pPr>
        <w:spacing w:after="180" w:before="280"/>
      </w:pPr>
      <w:r>
        <w:rPr>
          <w:rFonts w:ascii="Arial" w:cs="Arial" w:eastAsia="Arial" w:hAnsi="Arial"/>
          <w:b/>
          <w:bCs/>
          <w:color w:val="145A32"/>
          <w:sz w:val="32"/>
          <w:szCs w:val="32"/>
        </w:rPr>
        <w:t xml:space="preserve">6. Estimativa de Investimento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Valor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Hidrômetros digitais setorizados (8 pontos)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R$ 2.800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Medidores de energia elétrica (6 setores)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R$ 2.400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Lavadoras de alta pressão (substituição)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R$ 1.200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Configuração planilha digital e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R$ 600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Treinamento e implantação do protocolo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R$ 500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R$ 7.500</w:t>
            </w:r>
          </w:p>
        </w:tc>
      </w:tr>
    </w:tbl>
    <w:p>
      <w:pPr>
        <w:spacing w:after="400"/>
      </w:pPr>
    </w:p>
    <w:p>
      <w:pPr>
        <w:pBdr>
          <w:top w:val="single" w:color="145A32" w:sz="4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Equipe de Consultoria — Metalúrgica YZ  |  Projeto SST &amp; Sustentabilidade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2026-05-19T23:08:06.738Z</dcterms:created>
  <dcterms:modified xsi:type="dcterms:W3CDTF">2026-05-19T23:08:06.738Z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