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768"/>
        <w:gridCol w:w="3528"/>
      </w:tblGrid>
      <w:tr>
        <w:tc>
          <w:tcPr>
            <w:tcW w:type="dxa" w:w="6768"/>
            <w:tcMar>
              <w:top w:w="0" w:type="dxa"/>
              <w:start w:w="0" w:type="dxa"/>
              <w:bottom w:w="30" w:type="dxa"/>
              <w:end w:w="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17202A"/>
                <w:spacing w:val="0"/>
                <w:kern w:val="2"/>
                <w:sz w:val="48"/>
              </w:rPr>
              <w:t>Tauqeer Ahmed</w:t>
            </w:r>
          </w:p>
          <w:p>
            <w:pPr>
              <w:spacing w:after="6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23"/>
              </w:rPr>
              <w:t>Staff / Lead Backend Engineer</w:t>
            </w:r>
          </w:p>
          <w:p>
            <w:pPr>
              <w:spacing w:after="80" w:line="252" w:lineRule="auto"/>
            </w:pPr>
            <w:r>
              <w:rPr>
                <w:rFonts w:ascii="Arial" w:hAnsi="Arial" w:eastAsia="Arial" w:cs="Arial"/>
                <w:color w:val="5B6673"/>
                <w:spacing w:val="0"/>
                <w:kern w:val="2"/>
                <w:sz w:val="17"/>
              </w:rPr>
              <w:t>Java, Spring Boot, Kafka, microservices, platform modernization, observability, and delivery ownership across banking, healthcare, telecom, and enterprise platforms.</w:t>
            </w:r>
          </w:p>
        </w:tc>
        <w:tc>
          <w:tcPr>
            <w:tcW w:type="dxa" w:w="3528"/>
            <w:tcMar>
              <w:top w:w="0" w:type="dxa"/>
              <w:start w:w="0" w:type="dxa"/>
              <w:bottom w:w="30" w:type="dxa"/>
              <w:end w:w="0" w:type="dxa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Arial" w:hAnsi="Arial" w:eastAsia="Arial" w:cs="Arial"/>
                <w:color w:val="5B6673"/>
                <w:spacing w:val="0"/>
                <w:kern w:val="2"/>
                <w:sz w:val="16"/>
              </w:rPr>
              <w:t>Bangalore, India</w:t>
              <w:br/>
            </w:r>
            <w:r>
              <w:rPr>
                <w:rFonts w:ascii="Arial" w:hAnsi="Arial" w:eastAsia="Arial" w:cs="Arial"/>
                <w:color w:val="5B6673"/>
                <w:spacing w:val="0"/>
                <w:kern w:val="2"/>
                <w:sz w:val="16"/>
              </w:rPr>
              <w:t>ahmedtaukhir@gmail.com</w:t>
              <w:br/>
            </w:r>
            <w:r>
              <w:rPr>
                <w:rFonts w:ascii="Arial" w:hAnsi="Arial" w:eastAsia="Arial" w:cs="Arial"/>
                <w:color w:val="2563EB"/>
                <w:spacing w:val="0"/>
                <w:kern w:val="2"/>
                <w:sz w:val="16"/>
              </w:rPr>
              <w:t>github.com/taukhir</w:t>
              <w:br/>
            </w:r>
            <w:r>
              <w:rPr>
                <w:rFonts w:ascii="Arial" w:hAnsi="Arial" w:eastAsia="Arial" w:cs="Arial"/>
                <w:color w:val="2563EB"/>
                <w:spacing w:val="0"/>
                <w:kern w:val="2"/>
                <w:sz w:val="16"/>
              </w:rPr>
              <w:t>taukhir.github.io/portfolio</w:t>
              <w:br/>
            </w:r>
            <w:r>
              <w:rPr>
                <w:rFonts w:ascii="Arial" w:hAnsi="Arial" w:eastAsia="Arial" w:cs="Arial"/>
                <w:color w:val="2563EB"/>
                <w:spacing w:val="0"/>
                <w:kern w:val="2"/>
                <w:sz w:val="16"/>
              </w:rPr>
              <w:t>linkedin.com/in/tauqeer-ahmed-379803173</w:t>
              <w:br/>
            </w:r>
          </w:p>
        </w:tc>
      </w:tr>
    </w:tbl>
    <w:p>
      <w:pPr>
        <w:keepNext/>
        <w:keepLines/>
        <w:spacing w:before="160" w:after="60" w:line="252" w:lineRule="auto"/>
        <w:pBdr>
          <w:bottom w:val="single" w:sz="8" w:space="3" w:color="D9E2F2"/>
        </w:pBdr>
      </w:pPr>
      <w:r>
        <w:rPr>
          <w:rFonts w:ascii="Arial" w:hAnsi="Arial" w:eastAsia="Arial" w:cs="Arial"/>
          <w:b/>
          <w:color w:val="2563EB"/>
          <w:spacing w:val="0"/>
          <w:kern w:val="2"/>
          <w:sz w:val="21"/>
        </w:rPr>
        <w:t>PROFESSIONAL SUMMARY</w:t>
      </w:r>
    </w:p>
    <w:p>
      <w:pPr>
        <w:keepLines w:val="0"/>
        <w:spacing w:before="0" w:after="60" w:line="252" w:lineRule="auto"/>
      </w:pPr>
      <w:r>
        <w:rPr>
          <w:rFonts w:ascii="Arial" w:hAnsi="Arial" w:eastAsia="Arial" w:cs="Arial"/>
          <w:color w:val="17202A"/>
          <w:spacing w:val="0"/>
          <w:kern w:val="2"/>
          <w:sz w:val="18"/>
        </w:rPr>
        <w:t>Senior backend engineer with 7+ years of experience designing scalable backend platforms, leading end-to-end delivery, and modernizing enterprise systems using Java 17, Spring Boot, Apache Kafka, Docker, Kubernetes, and Angular. Known for converting complex business requirements into reliable services, observable workflows, and implementation-ready architecture.</w:t>
      </w:r>
    </w:p>
    <w:p>
      <w:pPr>
        <w:keepNext/>
        <w:keepLines/>
        <w:spacing w:before="160" w:after="60" w:line="252" w:lineRule="auto"/>
        <w:pBdr>
          <w:bottom w:val="single" w:sz="8" w:space="3" w:color="D9E2F2"/>
        </w:pBdr>
      </w:pPr>
      <w:r>
        <w:rPr>
          <w:rFonts w:ascii="Arial" w:hAnsi="Arial" w:eastAsia="Arial" w:cs="Arial"/>
          <w:b/>
          <w:color w:val="2563EB"/>
          <w:spacing w:val="0"/>
          <w:kern w:val="2"/>
          <w:sz w:val="21"/>
        </w:rPr>
        <w:t>CAREER IMPACT SNAPSHOT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642"/>
            <w:tcBorders>
              <w:top w:val="single" w:sz="6" w:space="0" w:color="D9E2F2"/>
              <w:left w:val="single" w:sz="6" w:space="0" w:color="D9E2F2"/>
              <w:bottom w:val="single" w:sz="6" w:space="0" w:color="D9E2F2"/>
              <w:right w:val="single" w:sz="6" w:space="0" w:color="D9E2F2"/>
            </w:tcBorders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EEF4FF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30"/>
              </w:rPr>
              <w:t>8+</w:t>
            </w:r>
          </w:p>
        </w:tc>
        <w:tc>
          <w:tcPr>
            <w:tcW w:type="dxa" w:w="2642"/>
            <w:tcBorders>
              <w:top w:val="single" w:sz="6" w:space="0" w:color="D9E2F2"/>
              <w:left w:val="single" w:sz="6" w:space="0" w:color="D9E2F2"/>
              <w:bottom w:val="single" w:sz="6" w:space="0" w:color="D9E2F2"/>
              <w:right w:val="single" w:sz="6" w:space="0" w:color="D9E2F2"/>
            </w:tcBorders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EEF4FF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30"/>
              </w:rPr>
              <w:t>40%+</w:t>
            </w:r>
          </w:p>
        </w:tc>
        <w:tc>
          <w:tcPr>
            <w:tcW w:type="dxa" w:w="2642"/>
            <w:tcBorders>
              <w:top w:val="single" w:sz="6" w:space="0" w:color="D9E2F2"/>
              <w:left w:val="single" w:sz="6" w:space="0" w:color="D9E2F2"/>
              <w:bottom w:val="single" w:sz="6" w:space="0" w:color="D9E2F2"/>
              <w:right w:val="single" w:sz="6" w:space="0" w:color="D9E2F2"/>
            </w:tcBorders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EEF4FF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30"/>
              </w:rPr>
              <w:t>10M+</w:t>
            </w:r>
          </w:p>
        </w:tc>
        <w:tc>
          <w:tcPr>
            <w:tcW w:type="dxa" w:w="2642"/>
            <w:tcBorders>
              <w:top w:val="single" w:sz="6" w:space="0" w:color="D9E2F2"/>
              <w:left w:val="single" w:sz="6" w:space="0" w:color="D9E2F2"/>
              <w:bottom w:val="single" w:sz="6" w:space="0" w:color="D9E2F2"/>
              <w:right w:val="single" w:sz="6" w:space="0" w:color="D9E2F2"/>
            </w:tcBorders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EEF4FF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30"/>
              </w:rPr>
              <w:t>90%+</w:t>
            </w:r>
          </w:p>
        </w:tc>
      </w:tr>
      <w:tr>
        <w:tc>
          <w:tcPr>
            <w:tcW w:type="dxa" w:w="2642"/>
            <w:tcBorders>
              <w:top w:val="single" w:sz="6" w:space="0" w:color="D9E2F2"/>
              <w:left w:val="single" w:sz="6" w:space="0" w:color="D9E2F2"/>
              <w:bottom w:val="single" w:sz="6" w:space="0" w:color="D9E2F2"/>
              <w:right w:val="single" w:sz="6" w:space="0" w:color="D9E2F2"/>
            </w:tcBorders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5"/>
              </w:rPr>
              <w:t>Spring Boot microservices decomposed from a banking monolith</w:t>
            </w:r>
          </w:p>
        </w:tc>
        <w:tc>
          <w:tcPr>
            <w:tcW w:type="dxa" w:w="2642"/>
            <w:tcBorders>
              <w:top w:val="single" w:sz="6" w:space="0" w:color="D9E2F2"/>
              <w:left w:val="single" w:sz="6" w:space="0" w:color="D9E2F2"/>
              <w:bottom w:val="single" w:sz="6" w:space="0" w:color="D9E2F2"/>
              <w:right w:val="single" w:sz="6" w:space="0" w:color="D9E2F2"/>
            </w:tcBorders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5"/>
              </w:rPr>
              <w:t>manual reporting effort reduced through automation</w:t>
            </w:r>
          </w:p>
        </w:tc>
        <w:tc>
          <w:tcPr>
            <w:tcW w:type="dxa" w:w="2642"/>
            <w:tcBorders>
              <w:top w:val="single" w:sz="6" w:space="0" w:color="D9E2F2"/>
              <w:left w:val="single" w:sz="6" w:space="0" w:color="D9E2F2"/>
              <w:bottom w:val="single" w:sz="6" w:space="0" w:color="D9E2F2"/>
              <w:right w:val="single" w:sz="6" w:space="0" w:color="D9E2F2"/>
            </w:tcBorders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5"/>
              </w:rPr>
              <w:t>monthly telecom billing transactions processed</w:t>
            </w:r>
          </w:p>
        </w:tc>
        <w:tc>
          <w:tcPr>
            <w:tcW w:type="dxa" w:w="2642"/>
            <w:tcBorders>
              <w:top w:val="single" w:sz="6" w:space="0" w:color="D9E2F2"/>
              <w:left w:val="single" w:sz="6" w:space="0" w:color="D9E2F2"/>
              <w:bottom w:val="single" w:sz="6" w:space="0" w:color="D9E2F2"/>
              <w:right w:val="single" w:sz="6" w:space="0" w:color="D9E2F2"/>
            </w:tcBorders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5"/>
              </w:rPr>
              <w:t>test coverage on critical healthcare services</w:t>
            </w:r>
          </w:p>
        </w:tc>
      </w:tr>
    </w:tbl>
    <w:p>
      <w:pPr>
        <w:keepNext/>
        <w:keepLines/>
        <w:spacing w:before="160" w:after="60" w:line="252" w:lineRule="auto"/>
        <w:pBdr>
          <w:bottom w:val="single" w:sz="8" w:space="3" w:color="D9E2F2"/>
        </w:pBdr>
      </w:pPr>
      <w:r>
        <w:rPr>
          <w:rFonts w:ascii="Arial" w:hAnsi="Arial" w:eastAsia="Arial" w:cs="Arial"/>
          <w:b/>
          <w:color w:val="2563EB"/>
          <w:spacing w:val="0"/>
          <w:kern w:val="2"/>
          <w:sz w:val="21"/>
        </w:rPr>
        <w:t>CORE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44"/>
        <w:gridCol w:w="8280"/>
      </w:tblGrid>
      <w:tr>
        <w:tc>
          <w:tcPr>
            <w:tcW w:type="dxa" w:w="1944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16"/>
              </w:rPr>
              <w:t>Backend</w:t>
            </w:r>
          </w:p>
        </w:tc>
        <w:tc>
          <w:tcPr>
            <w:tcW w:type="dxa" w:w="8280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7"/>
              </w:rPr>
              <w:t>Java 17/21, Spring Boot, Spring Cloud, Hibernate, JPA, REST APIs, Microservices, Liquibase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16"/>
              </w:rPr>
              <w:t>Events &amp; Workflow</w:t>
            </w:r>
          </w:p>
        </w:tc>
        <w:tc>
          <w:tcPr>
            <w:tcW w:type="dxa" w:w="8280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7"/>
              </w:rPr>
              <w:t>Apache Kafka, event-driven architecture, SAGA patterns, Camunda, BPMN, retry and recovery workflows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16"/>
              </w:rPr>
              <w:t>Frontend</w:t>
            </w:r>
          </w:p>
        </w:tc>
        <w:tc>
          <w:tcPr>
            <w:tcW w:type="dxa" w:w="8280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7"/>
              </w:rPr>
              <w:t>Angular 7 to 17 modernization, Angular 22 project work, TypeScript, RxJS, responsive UI integration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16"/>
              </w:rPr>
              <w:t>Data</w:t>
            </w:r>
          </w:p>
        </w:tc>
        <w:tc>
          <w:tcPr>
            <w:tcW w:type="dxa" w:w="8280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7"/>
              </w:rPr>
              <w:t>MySQL, DB2, PostgreSQL, Cassandra, FHIR, HL7, ETL pipelines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16"/>
              </w:rPr>
              <w:t>Platform</w:t>
            </w:r>
          </w:p>
        </w:tc>
        <w:tc>
          <w:tcPr>
            <w:tcW w:type="dxa" w:w="8280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7"/>
              </w:rPr>
              <w:t>Docker, Kubernetes, TKGI, Jenkins, GitHub Actions, GitLab, Bitbucket, AWS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16"/>
              </w:rPr>
              <w:t>Quality</w:t>
            </w:r>
          </w:p>
        </w:tc>
        <w:tc>
          <w:tcPr>
            <w:tcW w:type="dxa" w:w="8280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7"/>
              </w:rPr>
              <w:t>JUnit, Mockito, Postman, SonarQube, CI/CD quality gates, observability with Grafana and Prometheus</w:t>
            </w:r>
          </w:p>
        </w:tc>
      </w:tr>
    </w:tbl>
    <w:p>
      <w:pPr>
        <w:keepNext/>
        <w:keepLines/>
        <w:spacing w:before="160" w:after="60" w:line="252" w:lineRule="auto"/>
        <w:pBdr>
          <w:bottom w:val="single" w:sz="8" w:space="3" w:color="D9E2F2"/>
        </w:pBdr>
      </w:pPr>
      <w:r>
        <w:rPr>
          <w:rFonts w:ascii="Arial" w:hAnsi="Arial" w:eastAsia="Arial" w:cs="Arial"/>
          <w:b/>
          <w:color w:val="2563EB"/>
          <w:spacing w:val="0"/>
          <w:kern w:val="2"/>
          <w:sz w:val="21"/>
        </w:rPr>
        <w:t>PROFESSIONAL EXPERIENCE</w:t>
      </w:r>
    </w:p>
    <w:p>
      <w:pPr>
        <w:keepNext/>
        <w:keepLines/>
        <w:spacing w:before="80" w:after="20" w:line="252" w:lineRule="auto"/>
      </w:pPr>
      <w:r>
        <w:rPr>
          <w:rFonts w:ascii="Arial" w:hAnsi="Arial" w:eastAsia="Arial" w:cs="Arial"/>
          <w:b/>
          <w:color w:val="17202A"/>
          <w:spacing w:val="0"/>
          <w:kern w:val="2"/>
          <w:sz w:val="20"/>
        </w:rPr>
        <w:t>Lead Engineer</w:t>
      </w:r>
      <w:r>
        <w:rPr>
          <w:rFonts w:ascii="Arial" w:hAnsi="Arial" w:eastAsia="Arial" w:cs="Arial"/>
          <w:b/>
          <w:color w:val="2563EB"/>
          <w:spacing w:val="0"/>
          <w:kern w:val="2"/>
          <w:sz w:val="20"/>
        </w:rPr>
        <w:t xml:space="preserve"> | Nagarro</w:t>
      </w:r>
    </w:p>
    <w:p>
      <w:pPr>
        <w:keepLines/>
        <w:spacing w:before="0" w:after="4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Dec 2025 - Present | Bangalore, India | Enterprise POCs</w:t>
      </w:r>
    </w:p>
    <w:p>
      <w:pPr>
        <w:keepLines w:val="0"/>
        <w:spacing w:before="0" w:after="40" w:line="250" w:lineRule="auto"/>
      </w:pPr>
      <w:r>
        <w:rPr>
          <w:rFonts w:ascii="Arial" w:hAnsi="Arial" w:eastAsia="Arial" w:cs="Arial"/>
          <w:color w:val="17202A"/>
          <w:spacing w:val="0"/>
          <w:kern w:val="2"/>
          <w:sz w:val="18"/>
        </w:rPr>
        <w:t>Leading enterprise POC development and solution shaping for client initiatives including AMWAY.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Lead feasibility studies and convert ambiguous product needs into reviewable architecture, API boundaries, and implementation plans.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Own POC delivery from discovery and API design through stakeholder validation and production-readiness planning.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Build Spring Boot services for analytics, aggregation, workflow automation, and integration-heavy backend use cases.</w:t>
      </w:r>
    </w:p>
    <w:p>
      <w:pPr>
        <w:keepLines w:val="0"/>
        <w:spacing w:before="0" w:after="10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Stack: Java, Spring Boot, REST APIs, Solution Architecture, Technical Leadership</w:t>
      </w:r>
    </w:p>
    <w:p>
      <w:pPr>
        <w:keepNext/>
        <w:keepLines/>
        <w:spacing w:before="80" w:after="20" w:line="252" w:lineRule="auto"/>
      </w:pPr>
      <w:r>
        <w:rPr>
          <w:rFonts w:ascii="Arial" w:hAnsi="Arial" w:eastAsia="Arial" w:cs="Arial"/>
          <w:b/>
          <w:color w:val="17202A"/>
          <w:spacing w:val="0"/>
          <w:kern w:val="2"/>
          <w:sz w:val="20"/>
        </w:rPr>
        <w:t>Lead Engineer</w:t>
      </w:r>
      <w:r>
        <w:rPr>
          <w:rFonts w:ascii="Arial" w:hAnsi="Arial" w:eastAsia="Arial" w:cs="Arial"/>
          <w:b/>
          <w:color w:val="2563EB"/>
          <w:spacing w:val="0"/>
          <w:kern w:val="2"/>
          <w:sz w:val="20"/>
        </w:rPr>
        <w:t xml:space="preserve"> | HCLTech</w:t>
      </w:r>
    </w:p>
    <w:p>
      <w:pPr>
        <w:keepLines/>
        <w:spacing w:before="0" w:after="4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Apr 2025 - Dec 2025 | Bangalore, India | Platform Engineering</w:t>
      </w:r>
    </w:p>
    <w:p>
      <w:pPr>
        <w:keepLines w:val="0"/>
        <w:spacing w:before="0" w:after="40" w:line="250" w:lineRule="auto"/>
      </w:pPr>
      <w:r>
        <w:rPr>
          <w:rFonts w:ascii="Arial" w:hAnsi="Arial" w:eastAsia="Arial" w:cs="Arial"/>
          <w:color w:val="17202A"/>
          <w:spacing w:val="0"/>
          <w:kern w:val="2"/>
          <w:sz w:val="18"/>
        </w:rPr>
        <w:t>Strengthened Kubernetes platform reliability, observability, security posture, and engineering quality on TKGI.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Drove production security remediation toward a zero-critical-CVE state across the platform.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Improved operational visibility and simplified monitoring by removing legacy Wavefront dependencies.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Supported incident response, deployment optimization, technical reviews, and engineer mentoring.</w:t>
      </w:r>
    </w:p>
    <w:p>
      <w:pPr>
        <w:keepLines w:val="0"/>
        <w:spacing w:before="0" w:after="10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Stack: Kubernetes, TKGI, Observability, Security, CI/CD, Platform Operations</w:t>
      </w:r>
    </w:p>
    <w:p>
      <w:pPr>
        <w:keepNext/>
        <w:keepLines/>
        <w:spacing w:before="80" w:after="20" w:line="252" w:lineRule="auto"/>
      </w:pPr>
      <w:r>
        <w:rPr>
          <w:rFonts w:ascii="Arial" w:hAnsi="Arial" w:eastAsia="Arial" w:cs="Arial"/>
          <w:b/>
          <w:color w:val="17202A"/>
          <w:spacing w:val="0"/>
          <w:kern w:val="2"/>
          <w:sz w:val="20"/>
        </w:rPr>
        <w:t>Senior Software Engineer</w:t>
      </w:r>
      <w:r>
        <w:rPr>
          <w:rFonts w:ascii="Arial" w:hAnsi="Arial" w:eastAsia="Arial" w:cs="Arial"/>
          <w:b/>
          <w:color w:val="2563EB"/>
          <w:spacing w:val="0"/>
          <w:kern w:val="2"/>
          <w:sz w:val="20"/>
        </w:rPr>
        <w:t xml:space="preserve"> | Wissen Technology / Morgan Stanley</w:t>
      </w:r>
    </w:p>
    <w:p>
      <w:pPr>
        <w:keepLines/>
        <w:spacing w:before="0" w:after="4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Dec 2022 - Apr 2025 | Investment Management | Strategic Reporting Architecture</w:t>
      </w:r>
    </w:p>
    <w:p>
      <w:pPr>
        <w:keepLines w:val="0"/>
        <w:spacing w:before="0" w:after="40" w:line="250" w:lineRule="auto"/>
      </w:pPr>
      <w:r>
        <w:rPr>
          <w:rFonts w:ascii="Arial" w:hAnsi="Arial" w:eastAsia="Arial" w:cs="Arial"/>
          <w:color w:val="17202A"/>
          <w:spacing w:val="0"/>
          <w:kern w:val="2"/>
          <w:sz w:val="18"/>
        </w:rPr>
        <w:t>Modernized an enterprise banking reporting platform across backend architecture, frontend modules, automation, and release engineering.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Decomposed a legacy reporting monolith into 8+ Spring Boot microservices, improving deployment flexibility and reducing release dependencies.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Upgraded three Angular applications from Angular 7 to Angular 17, reducing technical debt and improving maintainability.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Delivered 10+ reporting automation features including cloning, bulk operations, scheduling, and input processing, reducing manual effort by 40%+.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Implemented Liquibase schema versioning across Dev, QA, UAT, and Production to prevent schema drift.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Owned 20+ feature deliveries from requirements and design through implementation, testing, deployment, and support; reviewed 20+ feature changes.</w:t>
      </w:r>
    </w:p>
    <w:p>
      <w:pPr>
        <w:keepLines w:val="0"/>
        <w:spacing w:before="0" w:after="10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Stack: Java 17, Spring Boot, Spring Cloud, Microservices, Angular, DB2, Liquibase, Jenkins, CI/CD</w:t>
      </w:r>
    </w:p>
    <w:p>
      <w:pPr>
        <w:keepNext/>
        <w:keepLines/>
        <w:spacing w:before="80" w:after="20" w:line="252" w:lineRule="auto"/>
      </w:pPr>
      <w:r>
        <w:rPr>
          <w:rFonts w:ascii="Arial" w:hAnsi="Arial" w:eastAsia="Arial" w:cs="Arial"/>
          <w:b/>
          <w:color w:val="17202A"/>
          <w:spacing w:val="0"/>
          <w:kern w:val="2"/>
          <w:sz w:val="20"/>
        </w:rPr>
        <w:t>Software Engineer</w:t>
      </w:r>
      <w:r>
        <w:rPr>
          <w:rFonts w:ascii="Arial" w:hAnsi="Arial" w:eastAsia="Arial" w:cs="Arial"/>
          <w:b/>
          <w:color w:val="2563EB"/>
          <w:spacing w:val="0"/>
          <w:kern w:val="2"/>
          <w:sz w:val="20"/>
        </w:rPr>
        <w:t xml:space="preserve"> | Optum Global Solutions</w:t>
      </w:r>
    </w:p>
    <w:p>
      <w:pPr>
        <w:keepLines/>
        <w:spacing w:before="0" w:after="4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Nov 2021 - Dec 2022 | Healthcare | Falcon</w:t>
      </w:r>
    </w:p>
    <w:p>
      <w:pPr>
        <w:keepLines w:val="0"/>
        <w:spacing w:before="0" w:after="40" w:line="250" w:lineRule="auto"/>
      </w:pPr>
      <w:r>
        <w:rPr>
          <w:rFonts w:ascii="Arial" w:hAnsi="Arial" w:eastAsia="Arial" w:cs="Arial"/>
          <w:color w:val="17202A"/>
          <w:spacing w:val="0"/>
          <w:kern w:val="2"/>
          <w:sz w:val="18"/>
        </w:rPr>
        <w:t>Built healthcare interoperability services for HL7-to-FHIR transformation, real-time clinical event processing, and secure data exchange.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Designed HL7-to-FHIR transformation pipelines supporting standardized clinical integrations.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Built 10+ REST APIs and Spring Boot microservices for real-time clinical event processing with Kafka and SFTP exchange.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Automated FHIR validation and testing workflows, reducing manual QA effort by 30% and improving data quality.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Implemented Grafana and Prometheus monitoring, reducing issue detection time by 40%.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Reached 90%+ automated test coverage on critical healthcare services using JUnit and Mockito.</w:t>
      </w:r>
    </w:p>
    <w:p>
      <w:pPr>
        <w:keepLines w:val="0"/>
        <w:spacing w:before="0" w:after="10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Stack: Java 17, Spring Boot, Kafka, FHIR, HL7, MySQL, Grafana, Prometheus, JUnit, Mockito</w:t>
      </w:r>
    </w:p>
    <w:p>
      <w:pPr>
        <w:keepNext/>
        <w:keepLines/>
        <w:spacing w:before="80" w:after="20" w:line="252" w:lineRule="auto"/>
      </w:pPr>
      <w:r>
        <w:rPr>
          <w:rFonts w:ascii="Arial" w:hAnsi="Arial" w:eastAsia="Arial" w:cs="Arial"/>
          <w:b/>
          <w:color w:val="17202A"/>
          <w:spacing w:val="0"/>
          <w:kern w:val="2"/>
          <w:sz w:val="20"/>
        </w:rPr>
        <w:t>Software Engineer</w:t>
      </w:r>
      <w:r>
        <w:rPr>
          <w:rFonts w:ascii="Arial" w:hAnsi="Arial" w:eastAsia="Arial" w:cs="Arial"/>
          <w:b/>
          <w:color w:val="2563EB"/>
          <w:spacing w:val="0"/>
          <w:kern w:val="2"/>
          <w:sz w:val="20"/>
        </w:rPr>
        <w:t xml:space="preserve"> | Tecnotree Convergence</w:t>
      </w:r>
    </w:p>
    <w:p>
      <w:pPr>
        <w:keepLines/>
        <w:spacing w:before="0" w:after="4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Aug 2019 - Oct 2021 | Telecom | DCBS, DLM</w:t>
      </w:r>
    </w:p>
    <w:p>
      <w:pPr>
        <w:keepLines w:val="0"/>
        <w:spacing w:before="0" w:after="40" w:line="250" w:lineRule="auto"/>
      </w:pPr>
      <w:r>
        <w:rPr>
          <w:rFonts w:ascii="Arial" w:hAnsi="Arial" w:eastAsia="Arial" w:cs="Arial"/>
          <w:color w:val="17202A"/>
          <w:spacing w:val="0"/>
          <w:kern w:val="2"/>
          <w:sz w:val="18"/>
        </w:rPr>
        <w:t>Built telecom billing and workflow automation platforms using event-driven services, distributed processing, BPMN orchestration, and cloud-native delivery.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Designed Spring Boot microservices to process 10M+ telecom billing transactions monthly with Kafka, Cassandra, and downstream URA integrations.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Created retry and recovery workflows that reprocessed failed billing transactions, reducing manual intervention by 80%+.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Modernized static dashboards into 15+ real-time operational reports.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Automated 25+ business workflows using Camunda and BPMN, reducing manual processing effort by 60%.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Standardized configuration and deployment across 10+ microservices using Spring Cloud Config, Docker, Kubernetes, Rancher, and GitHub pipelines.</w:t>
      </w:r>
    </w:p>
    <w:p>
      <w:pPr>
        <w:keepLines w:val="0"/>
        <w:spacing w:before="0" w:after="10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Stack: Java 17, Spring Boot, Kafka, MySQL, Cassandra, Camunda, Docker, Kubernetes, Jenkins</w:t>
      </w:r>
    </w:p>
    <w:p>
      <w:pPr>
        <w:keepNext/>
        <w:keepLines/>
        <w:spacing w:before="160" w:after="60" w:line="252" w:lineRule="auto"/>
        <w:pBdr>
          <w:bottom w:val="single" w:sz="8" w:space="3" w:color="D9E2F2"/>
        </w:pBdr>
      </w:pPr>
      <w:r>
        <w:rPr>
          <w:rFonts w:ascii="Arial" w:hAnsi="Arial" w:eastAsia="Arial" w:cs="Arial"/>
          <w:b/>
          <w:color w:val="2563EB"/>
          <w:spacing w:val="0"/>
          <w:kern w:val="2"/>
          <w:sz w:val="21"/>
        </w:rPr>
        <w:t>SELECTED PROJECT</w:t>
      </w:r>
    </w:p>
    <w:p>
      <w:pPr>
        <w:keepNext/>
        <w:keepLines/>
        <w:spacing w:before="80" w:after="20" w:line="252" w:lineRule="auto"/>
      </w:pPr>
      <w:r>
        <w:rPr>
          <w:rFonts w:ascii="Arial" w:hAnsi="Arial" w:eastAsia="Arial" w:cs="Arial"/>
          <w:b/>
          <w:color w:val="17202A"/>
          <w:spacing w:val="0"/>
          <w:kern w:val="2"/>
          <w:sz w:val="20"/>
        </w:rPr>
        <w:t>ShopVerse</w:t>
      </w:r>
      <w:r>
        <w:rPr>
          <w:rFonts w:ascii="Arial" w:hAnsi="Arial" w:eastAsia="Arial" w:cs="Arial"/>
          <w:b/>
          <w:color w:val="2563EB"/>
          <w:spacing w:val="0"/>
          <w:kern w:val="2"/>
          <w:sz w:val="20"/>
        </w:rPr>
        <w:t xml:space="preserve"> | Personal Architecture Project</w:t>
      </w:r>
    </w:p>
    <w:p>
      <w:pPr>
        <w:keepLines/>
        <w:spacing w:before="0" w:after="4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github.com/taukhir/shopverse | taukhir.github.io/portfolio</w:t>
      </w:r>
    </w:p>
    <w:p>
      <w:pPr>
        <w:keepLines w:val="0"/>
        <w:spacing w:before="0" w:after="40" w:line="250" w:lineRule="auto"/>
      </w:pPr>
      <w:r>
        <w:rPr>
          <w:rFonts w:ascii="Arial" w:hAnsi="Arial" w:eastAsia="Arial" w:cs="Arial"/>
          <w:color w:val="17202A"/>
          <w:spacing w:val="0"/>
          <w:kern w:val="2"/>
          <w:sz w:val="18"/>
        </w:rPr>
        <w:t>Production-minded commerce reference platform used to demonstrate full-stack architecture decisions.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Built Java/Spring microservices with API Gateway, Eureka discovery, centralized config, JWT/JWKS security, Kafka choreography SAGA, outbox, Docker, CI, and observability.</w:t>
      </w:r>
    </w:p>
    <w:p>
      <w:pPr>
        <w:pStyle w:val="ListBullet"/>
        <w:keepLines w:val="0"/>
        <w:spacing w:before="0" w:after="40" w:line="247" w:lineRule="auto"/>
        <w:ind w:left="259" w:hanging="259"/>
      </w:pPr>
      <w:r>
        <w:rPr>
          <w:rFonts w:ascii="Arial" w:hAnsi="Arial" w:eastAsia="Arial" w:cs="Arial"/>
          <w:color w:val="17202A"/>
          <w:spacing w:val="0"/>
          <w:kern w:val="2"/>
          <w:sz w:val="17"/>
        </w:rPr>
        <w:t>Added ShopVerse Web, an Angular 22 client covering storefront, auth, cart, checkout, orders, account, and admin operations.</w:t>
      </w:r>
    </w:p>
    <w:p>
      <w:pPr>
        <w:keepLines w:val="0"/>
        <w:spacing w:before="0" w:after="100" w:line="240" w:lineRule="auto"/>
      </w:pPr>
      <w:r>
        <w:rPr>
          <w:rFonts w:ascii="Arial" w:hAnsi="Arial" w:eastAsia="Arial" w:cs="Arial"/>
          <w:color w:val="5B6673"/>
          <w:spacing w:val="0"/>
          <w:kern w:val="2"/>
          <w:sz w:val="16"/>
        </w:rPr>
        <w:t>Stack: Java 17, Spring Cloud, Kafka, Docker, Angular 22, TypeScript, RxJS, MySQL, Grafana, Prometheus</w:t>
      </w:r>
    </w:p>
    <w:p>
      <w:pPr>
        <w:keepNext/>
        <w:keepLines/>
        <w:spacing w:before="160" w:after="60" w:line="252" w:lineRule="auto"/>
        <w:pBdr>
          <w:bottom w:val="single" w:sz="8" w:space="3" w:color="D9E2F2"/>
        </w:pBdr>
      </w:pPr>
      <w:r>
        <w:rPr>
          <w:rFonts w:ascii="Arial" w:hAnsi="Arial" w:eastAsia="Arial" w:cs="Arial"/>
          <w:b/>
          <w:color w:val="2563EB"/>
          <w:spacing w:val="0"/>
          <w:kern w:val="2"/>
          <w:sz w:val="21"/>
        </w:rPr>
        <w:t>EDUCATION, DEVELOPMENT, AWARDS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44"/>
        <w:gridCol w:w="8280"/>
      </w:tblGrid>
      <w:tr>
        <w:tc>
          <w:tcPr>
            <w:tcW w:type="dxa" w:w="1944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16"/>
              </w:rPr>
              <w:t>Education</w:t>
            </w:r>
          </w:p>
        </w:tc>
        <w:tc>
          <w:tcPr>
            <w:tcW w:type="dxa" w:w="8280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7"/>
              </w:rPr>
              <w:t>Bachelor of Computer Science &amp; Engineering, KNSIT, Karnataka, India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16"/>
              </w:rPr>
              <w:t>Development</w:t>
            </w:r>
          </w:p>
        </w:tc>
        <w:tc>
          <w:tcPr>
            <w:tcW w:type="dxa" w:w="8280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7"/>
              </w:rPr>
              <w:t>Java, Spring Framework &amp; Spring Boot - JSpiders; Data Structures &amp; Algorithms; Microservices Architecture; Event-Driven Architecture with Apache Kafka</w:t>
            </w:r>
          </w:p>
        </w:tc>
      </w:tr>
      <w:tr>
        <w:tc>
          <w:tcPr>
            <w:tcW w:type="dxa" w:w="1944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b/>
                <w:color w:val="2563EB"/>
                <w:spacing w:val="0"/>
                <w:kern w:val="2"/>
                <w:sz w:val="16"/>
              </w:rPr>
              <w:t>Awards</w:t>
            </w:r>
          </w:p>
        </w:tc>
        <w:tc>
          <w:tcPr>
            <w:tcW w:type="dxa" w:w="8280"/>
            <w:vAlign w:val="center"/>
            <w:tcMar>
              <w:top w:w="45" w:type="dxa"/>
              <w:start w:w="0" w:type="dxa"/>
              <w:bottom w:w="45" w:type="dxa"/>
              <w:end w:w="90" w:type="dxa"/>
            </w:tcMar>
          </w:tcPr>
          <w:p>
            <w:pPr>
              <w:spacing w:after="20"/>
            </w:pPr>
            <w:r>
              <w:rPr>
                <w:rFonts w:ascii="Arial" w:hAnsi="Arial" w:eastAsia="Arial" w:cs="Arial"/>
                <w:color w:val="17202A"/>
                <w:spacing w:val="0"/>
                <w:kern w:val="2"/>
                <w:sz w:val="17"/>
              </w:rPr>
              <w:t>Q4 Result Driven Award - Tecnotree; Value Award - Optum Global Solutions</w:t>
            </w:r>
          </w:p>
        </w:tc>
      </w:tr>
    </w:tbl>
    <w:sectPr>
      <w:footerReference w:type="default" r:id="rId9"/>
      <w:pgSz w:w="12240" w:h="15840"/>
      <w:pgMar w:top="749" w:right="835" w:bottom="749" w:left="835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5B6673"/>
        <w:spacing w:val="0"/>
        <w:kern w:val="2"/>
        <w:sz w:val="15"/>
      </w:rPr>
      <w:t>Tauqeer Ahmed | Staff / Lead Backend Engineer | Updated July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2563E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2563E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1720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Tauqeer Ahmed Resume</dc:title>
  <dc:subject>Staff / Lead Backend Engineer Resume</dc:subject>
  <dc:creator/>
  <cp:keywords>Java, Spring Boot, Kafka, Microservices, Angular, Kubernetes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