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0D1729"/>
          <w:sz w:val="36"/>
          <w:szCs w:val="36"/>
        </w:rPr>
        <w:t xml:space="preserve">REQUEST FOR QUOTE</w:t>
      </w:r>
    </w:p>
    <w:p>
      <w:pPr>
        <w:spacing w:after="200"/>
        <w:jc w:val="left"/>
      </w:pPr>
      <w:r>
        <w:rPr>
          <w:i/>
          <w:iCs/>
          <w:color w:val="0E9488"/>
          <w:sz w:val="22"/>
          <w:szCs w:val="22"/>
        </w:rPr>
        <w:t xml:space="preserve">Mobile devices for the Equipment Pre-Use Checklist System — pilot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70"/>
              <w:left w:type="dxa" w:w="110"/>
              <w:bottom w:type="dxa" w:w="70"/>
              <w:right w:type="dxa" w:w="110"/>
            </w:tcMar>
          </w:tcPr>
          <w:p>
            <w:r>
              <w:rPr>
                <w:b/>
                <w:bCs/>
                <w:sz w:val="18"/>
                <w:szCs w:val="18"/>
              </w:rPr>
              <w:t xml:space="preserve">Issuing organisation</w:t>
            </w:r>
          </w:p>
        </w:tc>
        <w:tc>
          <w:tcPr>
            <w:tcW w:type="dxa" w:w="7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8"/>
                <w:szCs w:val="18"/>
              </w:rPr>
              <w:t xml:space="preserve">Enaleni Engineering (Pty) Ltd  ·  Belfast Coal Mine, Mpumalanga</w:t>
            </w:r>
          </w:p>
        </w:tc>
      </w:tr>
      <w:tr>
        <w:tc>
          <w:tcPr>
            <w:tcW w:type="dxa" w:w="2200"/>
            <w:tcBorders>
              <w:top w:val="single" w:color="CCCCCC" w:sz="1"/>
              <w:left w:val="single" w:color="CCCCCC" w:sz="1"/>
              <w:bottom w:val="single" w:color="CCCCCC" w:sz="1"/>
              <w:right w:val="single" w:color="CCCCCC" w:sz="1"/>
            </w:tcBorders>
            <w:shd w:fill="F0F4F8" w:val="clear"/>
            <w:tcMar>
              <w:top w:type="dxa" w:w="70"/>
              <w:left w:type="dxa" w:w="110"/>
              <w:bottom w:type="dxa" w:w="70"/>
              <w:right w:type="dxa" w:w="110"/>
            </w:tcMar>
          </w:tcPr>
          <w:p>
            <w:r>
              <w:rPr>
                <w:b/>
                <w:bCs/>
                <w:sz w:val="18"/>
                <w:szCs w:val="18"/>
              </w:rPr>
              <w:t xml:space="preserve">RFQ reference</w:t>
            </w:r>
          </w:p>
        </w:tc>
        <w:tc>
          <w:tcPr>
            <w:tcW w:type="dxa" w:w="7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8"/>
                <w:szCs w:val="18"/>
              </w:rPr>
              <w:t xml:space="preserve">ENA-RFQ-EQ-2026-001</w:t>
            </w:r>
          </w:p>
        </w:tc>
      </w:tr>
      <w:tr>
        <w:tc>
          <w:tcPr>
            <w:tcW w:type="dxa" w:w="2200"/>
            <w:tcBorders>
              <w:top w:val="single" w:color="CCCCCC" w:sz="1"/>
              <w:left w:val="single" w:color="CCCCCC" w:sz="1"/>
              <w:bottom w:val="single" w:color="CCCCCC" w:sz="1"/>
              <w:right w:val="single" w:color="CCCCCC" w:sz="1"/>
            </w:tcBorders>
            <w:shd w:fill="F0F4F8" w:val="clear"/>
            <w:tcMar>
              <w:top w:type="dxa" w:w="70"/>
              <w:left w:type="dxa" w:w="110"/>
              <w:bottom w:type="dxa" w:w="70"/>
              <w:right w:type="dxa" w:w="110"/>
            </w:tcMar>
          </w:tcPr>
          <w:p>
            <w:r>
              <w:rPr>
                <w:b/>
                <w:bCs/>
                <w:sz w:val="18"/>
                <w:szCs w:val="18"/>
              </w:rPr>
              <w:t xml:space="preserve">Issued</w:t>
            </w:r>
          </w:p>
        </w:tc>
        <w:tc>
          <w:tcPr>
            <w:tcW w:type="dxa" w:w="7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8"/>
                <w:szCs w:val="18"/>
              </w:rPr>
              <w:t xml:space="preserve">_____ / _____ / 2026</w:t>
            </w:r>
          </w:p>
        </w:tc>
      </w:tr>
      <w:tr>
        <w:tc>
          <w:tcPr>
            <w:tcW w:type="dxa" w:w="2200"/>
            <w:tcBorders>
              <w:top w:val="single" w:color="CCCCCC" w:sz="1"/>
              <w:left w:val="single" w:color="CCCCCC" w:sz="1"/>
              <w:bottom w:val="single" w:color="CCCCCC" w:sz="1"/>
              <w:right w:val="single" w:color="CCCCCC" w:sz="1"/>
            </w:tcBorders>
            <w:shd w:fill="F0F4F8" w:val="clear"/>
            <w:tcMar>
              <w:top w:type="dxa" w:w="70"/>
              <w:left w:type="dxa" w:w="110"/>
              <w:bottom w:type="dxa" w:w="70"/>
              <w:right w:type="dxa" w:w="110"/>
            </w:tcMar>
          </w:tcPr>
          <w:p>
            <w:r>
              <w:rPr>
                <w:b/>
                <w:bCs/>
                <w:sz w:val="18"/>
                <w:szCs w:val="18"/>
              </w:rPr>
              <w:t xml:space="preserve">Quote due back by</w:t>
            </w:r>
          </w:p>
        </w:tc>
        <w:tc>
          <w:tcPr>
            <w:tcW w:type="dxa" w:w="7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8"/>
                <w:szCs w:val="18"/>
              </w:rPr>
              <w:t xml:space="preserve">_____ / _____ / 2026  (14 working days from issue)</w:t>
            </w:r>
          </w:p>
        </w:tc>
      </w:tr>
      <w:tr>
        <w:tc>
          <w:tcPr>
            <w:tcW w:type="dxa" w:w="2200"/>
            <w:tcBorders>
              <w:top w:val="single" w:color="CCCCCC" w:sz="1"/>
              <w:left w:val="single" w:color="CCCCCC" w:sz="1"/>
              <w:bottom w:val="single" w:color="CCCCCC" w:sz="1"/>
              <w:right w:val="single" w:color="CCCCCC" w:sz="1"/>
            </w:tcBorders>
            <w:shd w:fill="F0F4F8" w:val="clear"/>
            <w:tcMar>
              <w:top w:type="dxa" w:w="70"/>
              <w:left w:type="dxa" w:w="110"/>
              <w:bottom w:type="dxa" w:w="70"/>
              <w:right w:type="dxa" w:w="110"/>
            </w:tcMar>
          </w:tcPr>
          <w:p>
            <w:r>
              <w:rPr>
                <w:b/>
                <w:bCs/>
                <w:sz w:val="18"/>
                <w:szCs w:val="18"/>
              </w:rPr>
              <w:t xml:space="preserve">Primary contact</w:t>
            </w:r>
          </w:p>
        </w:tc>
        <w:tc>
          <w:tcPr>
            <w:tcW w:type="dxa" w:w="7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8"/>
                <w:szCs w:val="18"/>
              </w:rPr>
              <w:t xml:space="preserve">TauGM · tau.maswanganye@gmail.com</w:t>
            </w:r>
          </w:p>
        </w:tc>
      </w:tr>
      <w:tr>
        <w:tc>
          <w:tcPr>
            <w:tcW w:type="dxa" w:w="2200"/>
            <w:tcBorders>
              <w:top w:val="single" w:color="CCCCCC" w:sz="1"/>
              <w:left w:val="single" w:color="CCCCCC" w:sz="1"/>
              <w:bottom w:val="single" w:color="CCCCCC" w:sz="1"/>
              <w:right w:val="single" w:color="CCCCCC" w:sz="1"/>
            </w:tcBorders>
            <w:shd w:fill="F0F4F8" w:val="clear"/>
            <w:tcMar>
              <w:top w:type="dxa" w:w="70"/>
              <w:left w:type="dxa" w:w="110"/>
              <w:bottom w:type="dxa" w:w="70"/>
              <w:right w:type="dxa" w:w="110"/>
            </w:tcMar>
          </w:tcPr>
          <w:p>
            <w:r>
              <w:rPr>
                <w:b/>
                <w:bCs/>
                <w:sz w:val="18"/>
                <w:szCs w:val="18"/>
              </w:rPr>
              <w:t xml:space="preserve">Deployment site</w:t>
            </w:r>
          </w:p>
        </w:tc>
        <w:tc>
          <w:tcPr>
            <w:tcW w:type="dxa" w:w="7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sz w:val="18"/>
                <w:szCs w:val="18"/>
              </w:rPr>
              <w:t xml:space="preserve">Belfast Coal Mine, Mpumalanga, South Africa</w:t>
            </w:r>
          </w:p>
        </w:tc>
      </w:tr>
    </w:tbl>
    <w:p>
      <w:pPr>
        <w:pStyle w:val="Heading1"/>
      </w:pPr>
      <w:r>
        <w:rPr>
          <w:b/>
          <w:bCs/>
          <w:color w:val="0D1729"/>
        </w:rPr>
        <w:t xml:space="preserve">1.  Project context</w:t>
      </w:r>
    </w:p>
    <w:p>
      <w:pPr>
        <w:spacing w:after="100"/>
      </w:pPr>
      <w:r>
        <w:t xml:space="preserve">Enaleni Engineering has built and deployed the Equipment Pre-Use Checklist System for Belfast Coal Mine: an ASP.NET Core web back-end with a .NET MAUI Blazor Hybrid mobile app targeting Android and Windows. The system enforces MHSA Section 22(a) operator competency at every pre-shift check, captures defects with photos and voice memos, and works fully offline with deferred sync. A mobile-device allowlist pins each device to a single user via a hardware fingerprint.</w:t>
      </w:r>
    </w:p>
    <w:p>
      <w:pPr>
        <w:spacing w:after="100"/>
      </w:pPr>
      <w:r>
        <w:t xml:space="preserve">This RFQ covers the hardware fleet for a 50-machine pilot at Belfast: tablets for operators, supervisors, and mechanics; a small number of Windows 2-in-1s for admin and SHE staff; charging infrastructure; MDM licensing; and site enrolment.</w:t>
      </w:r>
    </w:p>
    <w:p>
      <w:pPr>
        <w:pStyle w:val="Heading1"/>
      </w:pPr>
      <w:r>
        <w:rPr>
          <w:b/>
          <w:bCs/>
          <w:color w:val="0D1729"/>
        </w:rPr>
        <w:t xml:space="preserve">2.  Hardware specification</w:t>
      </w:r>
    </w:p>
    <w:p>
      <w:pPr>
        <w:spacing w:after="100"/>
      </w:pPr>
      <w:r>
        <w:rPr>
          <w:i/>
          <w:iCs/>
        </w:rPr>
        <w:t xml:space="preserve">Vendors must quote against the target specification in column 3. Example models in column 4 are illustrative only — equivalent products from any reputable manufacturer are acceptable. Substitutions must meet OR exceed every target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3300"/>
        <w:gridCol w:w="2360"/>
      </w:tblGrid>
      <w:tr>
        <w:trPr>
          <w:tblHeader/>
        </w:trPr>
        <w:tc>
          <w:tcPr>
            <w:tcW w:type="dxa" w:w="3000"/>
            <w:tcBorders>
              <w:top w:val="single" w:color="CCCCCC" w:sz="1"/>
              <w:left w:val="single" w:color="CCCCCC" w:sz="1"/>
              <w:bottom w:val="single" w:color="CCCCCC" w:sz="1"/>
              <w:right w:val="single" w:color="CCCCCC" w:sz="1"/>
            </w:tcBorders>
            <w:shd w:fill="0D1729" w:val="clear"/>
            <w:tcMar>
              <w:top w:type="dxa" w:w="80"/>
              <w:left w:type="dxa" w:w="110"/>
              <w:bottom w:type="dxa" w:w="80"/>
              <w:right w:type="dxa" w:w="110"/>
            </w:tcMar>
          </w:tcPr>
          <w:p>
            <w:r>
              <w:rPr>
                <w:b/>
                <w:bCs/>
                <w:color w:val="FFFFFF"/>
                <w:sz w:val="18"/>
                <w:szCs w:val="18"/>
              </w:rPr>
              <w:t xml:space="preserve">Item</w:t>
            </w:r>
          </w:p>
        </w:tc>
        <w:tc>
          <w:tcPr>
            <w:tcW w:type="dxa" w:w="700"/>
            <w:tcBorders>
              <w:top w:val="single" w:color="CCCCCC" w:sz="1"/>
              <w:left w:val="single" w:color="CCCCCC" w:sz="1"/>
              <w:bottom w:val="single" w:color="CCCCCC" w:sz="1"/>
              <w:right w:val="single" w:color="CCCCCC" w:sz="1"/>
            </w:tcBorders>
            <w:shd w:fill="0D1729" w:val="clear"/>
            <w:tcMar>
              <w:top w:type="dxa" w:w="80"/>
              <w:left w:type="dxa" w:w="110"/>
              <w:bottom w:type="dxa" w:w="80"/>
              <w:right w:type="dxa" w:w="110"/>
            </w:tcMar>
          </w:tcPr>
          <w:p>
            <w:r>
              <w:rPr>
                <w:b/>
                <w:bCs/>
                <w:color w:val="FFFFFF"/>
                <w:sz w:val="18"/>
                <w:szCs w:val="18"/>
              </w:rPr>
              <w:t xml:space="preserve">Qty</w:t>
            </w:r>
          </w:p>
        </w:tc>
        <w:tc>
          <w:tcPr>
            <w:tcW w:type="dxa" w:w="3300"/>
            <w:tcBorders>
              <w:top w:val="single" w:color="CCCCCC" w:sz="1"/>
              <w:left w:val="single" w:color="CCCCCC" w:sz="1"/>
              <w:bottom w:val="single" w:color="CCCCCC" w:sz="1"/>
              <w:right w:val="single" w:color="CCCCCC" w:sz="1"/>
            </w:tcBorders>
            <w:shd w:fill="0D1729" w:val="clear"/>
            <w:tcMar>
              <w:top w:type="dxa" w:w="80"/>
              <w:left w:type="dxa" w:w="110"/>
              <w:bottom w:type="dxa" w:w="80"/>
              <w:right w:type="dxa" w:w="110"/>
            </w:tcMar>
          </w:tcPr>
          <w:p>
            <w:r>
              <w:rPr>
                <w:b/>
                <w:bCs/>
                <w:color w:val="FFFFFF"/>
                <w:sz w:val="18"/>
                <w:szCs w:val="18"/>
              </w:rPr>
              <w:t xml:space="preserve">Target specification (mandatory)</w:t>
            </w:r>
          </w:p>
        </w:tc>
        <w:tc>
          <w:tcPr>
            <w:tcW w:type="dxa" w:w="2360"/>
            <w:tcBorders>
              <w:top w:val="single" w:color="CCCCCC" w:sz="1"/>
              <w:left w:val="single" w:color="CCCCCC" w:sz="1"/>
              <w:bottom w:val="single" w:color="CCCCCC" w:sz="1"/>
              <w:right w:val="single" w:color="CCCCCC" w:sz="1"/>
            </w:tcBorders>
            <w:shd w:fill="0D1729" w:val="clear"/>
            <w:tcMar>
              <w:top w:type="dxa" w:w="80"/>
              <w:left w:type="dxa" w:w="110"/>
              <w:bottom w:type="dxa" w:w="80"/>
              <w:right w:type="dxa" w:w="110"/>
            </w:tcMar>
          </w:tcPr>
          <w:p>
            <w:r>
              <w:rPr>
                <w:b/>
                <w:bCs/>
                <w:color w:val="FFFFFF"/>
                <w:sz w:val="18"/>
                <w:szCs w:val="18"/>
              </w:rPr>
              <w:t xml:space="preserve">Example model (or equivalent)</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Rugged 8-inch Android tablet  (operators, in-cab use)</w:t>
            </w:r>
          </w:p>
        </w:tc>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20</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IP68 dust/water; MIL-STD-810H drop ≥1.5 m; sunlight-readable display ≥600 nit; Android 13+; ≥6 GB RAM, ≥128 GB storage; fingerprint sensor; replaceable battery; glove-capable touchscreen; rear ≥13 MP camera; microphone; Wi-Fi 6 + LTE; stylus included</w:t>
            </w:r>
          </w:p>
        </w:tc>
        <w:tc>
          <w:tcPr>
            <w:tcW w:type="dxa" w:w="2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Samsung Galaxy Tab Active 5  (or Tab Active 4 Pro)</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Semi-rugged 11-inch Android tablet  (supervisors, mechanics)</w:t>
            </w:r>
          </w:p>
        </w:tc>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6</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IP52 minimum (paired with case below); Android 13+; ≥6 GB RAM, ≥128 GB storage; 10.9–11" display; fingerprint sensor; ≥12 MP rear camera; Wi-Fi 6; stylus included</w:t>
            </w:r>
          </w:p>
        </w:tc>
        <w:tc>
          <w:tcPr>
            <w:tcW w:type="dxa" w:w="2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Samsung Galaxy Tab S9 FE  (or Lenovo Tab P12)</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Windows 2-in-1 tablet  (admin, SHE officer, mine manager)</w:t>
            </w:r>
          </w:p>
        </w:tc>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2</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Windows 11 Pro; ≥16 GB RAM, ≥512 GB SSD; ≥13" display; Type Cover (keyboard) + stylus; rugged carry case rated to 1.2 m drop; biometric login (fingerprint or face); Wi-Fi 6E; 2 × USB-C with DisplayPort</w:t>
            </w:r>
          </w:p>
        </w:tc>
        <w:tc>
          <w:tcPr>
            <w:tcW w:type="dxa" w:w="2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Microsoft Surface Pro 11  (or Lenovo ThinkPad X12)</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Rugged Android phone  (spot inspections, mobile foremen)</w:t>
            </w:r>
          </w:p>
        </w:tc>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4</w:t>
            </w:r>
          </w:p>
        </w:tc>
        <w:tc>
          <w:tcPr>
            <w:tcW w:type="dxa" w:w="3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IP68; MIL-STD-810H; Android 13+; ≥4 GB RAM; fingerprint sensor; programmable button; replaceable or extended battery; pocket-sized (≤6.6" display); ≥13 MP camera</w:t>
            </w:r>
          </w:p>
        </w:tc>
        <w:tc>
          <w:tcPr>
            <w:tcW w:type="dxa" w:w="23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0"/>
            </w:pPr>
            <w:r>
              <w:rPr>
                <w:sz w:val="18"/>
                <w:szCs w:val="18"/>
              </w:rPr>
              <w:t xml:space="preserve">Samsung Galaxy XCover7  (or Cat S75)</w:t>
            </w:r>
          </w:p>
        </w:tc>
      </w:tr>
    </w:tbl>
    <w:p>
      <w:pPr>
        <w:pStyle w:val="Heading1"/>
      </w:pPr>
      <w:r>
        <w:rPr>
          <w:b/>
          <w:bCs/>
          <w:color w:val="0D1729"/>
        </w:rPr>
        <w:t xml:space="preserve">3.  Accessories and ancillary</w:t>
      </w:r>
    </w:p>
    <w:p>
      <w:pPr>
        <w:pStyle w:val="ListParagraph"/>
        <w:numPr>
          <w:ilvl w:val="0"/>
          <w:numId w:val="2"/>
        </w:numPr>
        <w:spacing w:after="40"/>
      </w:pPr>
      <w:r>
        <w:rPr>
          <w:b/>
          <w:bCs/>
        </w:rPr>
        <w:t xml:space="preserve">Spare batteries — </w:t>
      </w:r>
      <w:r>
        <w:t xml:space="preserve">minimum 4 per Tier-1 tablet so shift-end hot-swap is possible at all assigned machines.</w:t>
      </w:r>
    </w:p>
    <w:p>
      <w:pPr>
        <w:pStyle w:val="ListParagraph"/>
        <w:numPr>
          <w:ilvl w:val="0"/>
          <w:numId w:val="2"/>
        </w:numPr>
        <w:spacing w:after="40"/>
      </w:pPr>
      <w:r>
        <w:rPr>
          <w:b/>
          <w:bCs/>
        </w:rPr>
        <w:t xml:space="preserve">Screen protectors — </w:t>
      </w:r>
      <w:r>
        <w:t xml:space="preserve">tempered glass on every device, fitted before delivery.</w:t>
      </w:r>
    </w:p>
    <w:p>
      <w:pPr>
        <w:pStyle w:val="ListParagraph"/>
        <w:numPr>
          <w:ilvl w:val="0"/>
          <w:numId w:val="2"/>
        </w:numPr>
        <w:spacing w:after="40"/>
      </w:pPr>
      <w:r>
        <w:rPr>
          <w:b/>
          <w:bCs/>
        </w:rPr>
        <w:t xml:space="preserve">Cases — </w:t>
      </w:r>
      <w:r>
        <w:t xml:space="preserve">Tier-2 tablets shipped with OtterBox Defender or equivalent rated to MIL-STD-810H.</w:t>
      </w:r>
    </w:p>
    <w:p>
      <w:pPr>
        <w:pStyle w:val="ListParagraph"/>
        <w:numPr>
          <w:ilvl w:val="0"/>
          <w:numId w:val="2"/>
        </w:numPr>
        <w:spacing w:after="40"/>
      </w:pPr>
      <w:r>
        <w:rPr>
          <w:b/>
          <w:bCs/>
        </w:rPr>
        <w:t xml:space="preserve">Charging cart — </w:t>
      </w:r>
      <w:r>
        <w:t xml:space="preserve">single locked 20-bay cart for the Tier-1 tablets at shift-change point. Per-bay status LEDs.</w:t>
      </w:r>
    </w:p>
    <w:p>
      <w:pPr>
        <w:pStyle w:val="ListParagraph"/>
        <w:numPr>
          <w:ilvl w:val="0"/>
          <w:numId w:val="2"/>
        </w:numPr>
        <w:spacing w:after="40"/>
      </w:pPr>
      <w:r>
        <w:rPr>
          <w:b/>
          <w:bCs/>
        </w:rPr>
        <w:t xml:space="preserve">Asset tags — </w:t>
      </w:r>
      <w:r>
        <w:t xml:space="preserve">each device pre-labelled with a printed asset tag bonded to the case. Tag format to be agreed.</w:t>
      </w:r>
    </w:p>
    <w:p>
      <w:pPr>
        <w:pStyle w:val="Heading1"/>
      </w:pPr>
      <w:r>
        <w:rPr>
          <w:b/>
          <w:bCs/>
          <w:color w:val="0D1729"/>
        </w:rPr>
        <w:t xml:space="preserve">4.  Mobile device management</w:t>
      </w:r>
    </w:p>
    <w:p>
      <w:pPr>
        <w:spacing w:after="100"/>
      </w:pPr>
      <w:r>
        <w:t xml:space="preserve">The application uses a hardware-fingerprint allowlist that pins each device to a single operator. Centralised remote-wipe, app-deployment, and configuration push are mandatory. Quote on 12 months of MDM licensing per device.</w:t>
      </w:r>
    </w:p>
    <w:p>
      <w:pPr>
        <w:pStyle w:val="ListParagraph"/>
        <w:numPr>
          <w:ilvl w:val="0"/>
          <w:numId w:val="2"/>
        </w:numPr>
        <w:spacing w:after="40"/>
      </w:pPr>
      <w:r>
        <w:t xml:space="preserve">Android tier: Samsung Knox Mobile Enrolment or Microsoft Intune (vendor to specify).</w:t>
      </w:r>
    </w:p>
    <w:p>
      <w:pPr>
        <w:pStyle w:val="ListParagraph"/>
        <w:numPr>
          <w:ilvl w:val="0"/>
          <w:numId w:val="2"/>
        </w:numPr>
        <w:spacing w:after="40"/>
      </w:pPr>
      <w:r>
        <w:t xml:space="preserve">Windows tier: Microsoft Intune via existing Microsoft 365 tenant.</w:t>
      </w:r>
    </w:p>
    <w:p>
      <w:pPr>
        <w:pStyle w:val="ListParagraph"/>
        <w:numPr>
          <w:ilvl w:val="0"/>
          <w:numId w:val="2"/>
        </w:numPr>
        <w:spacing w:after="40"/>
      </w:pPr>
      <w:r>
        <w:t xml:space="preserve">Initial enrolment + zero-touch provisioning must be included in the line item.</w:t>
      </w:r>
    </w:p>
    <w:p>
      <w:pPr>
        <w:pStyle w:val="Heading1"/>
      </w:pPr>
      <w:r>
        <w:rPr>
          <w:b/>
          <w:bCs/>
          <w:color w:val="0D1729"/>
        </w:rPr>
        <w:t xml:space="preserve">5.  Service, warranty, and support</w:t>
      </w:r>
    </w:p>
    <w:p>
      <w:pPr>
        <w:pStyle w:val="ListParagraph"/>
        <w:numPr>
          <w:ilvl w:val="0"/>
          <w:numId w:val="2"/>
        </w:numPr>
        <w:spacing w:after="40"/>
      </w:pPr>
      <w:r>
        <w:rPr>
          <w:b/>
          <w:bCs/>
        </w:rPr>
        <w:t xml:space="preserve">Warranty — </w:t>
      </w:r>
      <w:r>
        <w:t xml:space="preserve">minimum 24 months on tablets and phones, 12 months on accessories, on-site replacement within 5 working days.</w:t>
      </w:r>
    </w:p>
    <w:p>
      <w:pPr>
        <w:pStyle w:val="ListParagraph"/>
        <w:numPr>
          <w:ilvl w:val="0"/>
          <w:numId w:val="2"/>
        </w:numPr>
        <w:spacing w:after="40"/>
      </w:pPr>
      <w:r>
        <w:rPr>
          <w:b/>
          <w:bCs/>
        </w:rPr>
        <w:t xml:space="preserve">Hot-spare pool — </w:t>
      </w:r>
      <w:r>
        <w:t xml:space="preserve">vendor to hold a 10 % hot-spare pool at their location during the first 6 months.</w:t>
      </w:r>
    </w:p>
    <w:p>
      <w:pPr>
        <w:pStyle w:val="ListParagraph"/>
        <w:numPr>
          <w:ilvl w:val="0"/>
          <w:numId w:val="2"/>
        </w:numPr>
        <w:spacing w:after="40"/>
      </w:pPr>
      <w:r>
        <w:rPr>
          <w:b/>
          <w:bCs/>
        </w:rPr>
        <w:t xml:space="preserve">Delivery — </w:t>
      </w:r>
      <w:r>
        <w:t xml:space="preserve">to Belfast Coal Mine site office, scheduled with the operations manager.</w:t>
      </w:r>
    </w:p>
    <w:p>
      <w:pPr>
        <w:pStyle w:val="ListParagraph"/>
        <w:numPr>
          <w:ilvl w:val="0"/>
          <w:numId w:val="2"/>
        </w:numPr>
        <w:spacing w:after="40"/>
      </w:pPr>
      <w:r>
        <w:rPr>
          <w:b/>
          <w:bCs/>
        </w:rPr>
        <w:t xml:space="preserve">Handover training — </w:t>
      </w:r>
      <w:r>
        <w:t xml:space="preserve">two days on site for IT and SHE staff — enrolment workflow, allowlist management, fault-reporting process.</w:t>
      </w:r>
    </w:p>
    <w:p>
      <w:pPr>
        <w:pStyle w:val="ListParagraph"/>
        <w:numPr>
          <w:ilvl w:val="0"/>
          <w:numId w:val="2"/>
        </w:numPr>
        <w:spacing w:after="40"/>
      </w:pPr>
      <w:r>
        <w:rPr>
          <w:b/>
          <w:bCs/>
        </w:rPr>
        <w:t xml:space="preserve">Lead time — </w:t>
      </w:r>
      <w:r>
        <w:t xml:space="preserve">from PO to delivery on site must be stated explicitly per line item; affects scoring.</w:t>
      </w:r>
    </w:p>
    <w:p>
      <w:r>
        <w:br w:type="page"/>
      </w:r>
    </w:p>
    <w:p>
      <w:pPr>
        <w:pStyle w:val="Heading1"/>
      </w:pPr>
      <w:r>
        <w:rPr>
          <w:b/>
          <w:bCs/>
          <w:color w:val="0D1729"/>
        </w:rPr>
        <w:t xml:space="preserve">6.  Vendor pricing response</w:t>
      </w:r>
    </w:p>
    <w:p>
      <w:pPr>
        <w:spacing w:after="100"/>
      </w:pPr>
      <w:r>
        <w:t xml:space="preserve">Complete every line of the table below. Sub-total each row and total at the foot. Where a substitution against the example model is being proposed, attach a one-page comparison sheet showing how the substitution meets or exceeds the target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700"/>
        <w:gridCol w:w="1500"/>
        <w:gridCol w:w="1700"/>
        <w:gridCol w:w="1760"/>
      </w:tblGrid>
      <w:tr>
        <w:trPr>
          <w:tblHeader/>
        </w:trPr>
        <w:tc>
          <w:tcPr>
            <w:tcW w:type="dxa" w:w="3700"/>
            <w:tcBorders>
              <w:top w:val="single" w:color="CCCCCC" w:sz="1"/>
              <w:left w:val="single" w:color="CCCCCC" w:sz="1"/>
              <w:bottom w:val="single" w:color="CCCCCC" w:sz="1"/>
              <w:right w:val="single" w:color="CCCCCC" w:sz="1"/>
            </w:tcBorders>
            <w:shd w:fill="0E9488" w:val="clear"/>
            <w:tcMar>
              <w:top w:type="dxa" w:w="70"/>
              <w:left w:type="dxa" w:w="100"/>
              <w:bottom w:type="dxa" w:w="70"/>
              <w:right w:type="dxa" w:w="100"/>
            </w:tcMar>
          </w:tcPr>
          <w:p>
            <w:r>
              <w:rPr>
                <w:b/>
                <w:bCs/>
                <w:color w:val="FFFFFF"/>
                <w:sz w:val="17"/>
                <w:szCs w:val="17"/>
              </w:rPr>
              <w:t xml:space="preserve">Line item</w:t>
            </w:r>
          </w:p>
        </w:tc>
        <w:tc>
          <w:tcPr>
            <w:tcW w:type="dxa" w:w="700"/>
            <w:tcBorders>
              <w:top w:val="single" w:color="CCCCCC" w:sz="1"/>
              <w:left w:val="single" w:color="CCCCCC" w:sz="1"/>
              <w:bottom w:val="single" w:color="CCCCCC" w:sz="1"/>
              <w:right w:val="single" w:color="CCCCCC" w:sz="1"/>
            </w:tcBorders>
            <w:shd w:fill="0E9488" w:val="clear"/>
            <w:tcMar>
              <w:top w:type="dxa" w:w="70"/>
              <w:left w:type="dxa" w:w="100"/>
              <w:bottom w:type="dxa" w:w="70"/>
              <w:right w:type="dxa" w:w="100"/>
            </w:tcMar>
          </w:tcPr>
          <w:p>
            <w:r>
              <w:rPr>
                <w:b/>
                <w:bCs/>
                <w:color w:val="FFFFFF"/>
                <w:sz w:val="17"/>
                <w:szCs w:val="17"/>
              </w:rPr>
              <w:t xml:space="preserve">Qty</w:t>
            </w:r>
          </w:p>
        </w:tc>
        <w:tc>
          <w:tcPr>
            <w:tcW w:type="dxa" w:w="1500"/>
            <w:tcBorders>
              <w:top w:val="single" w:color="CCCCCC" w:sz="1"/>
              <w:left w:val="single" w:color="CCCCCC" w:sz="1"/>
              <w:bottom w:val="single" w:color="CCCCCC" w:sz="1"/>
              <w:right w:val="single" w:color="CCCCCC" w:sz="1"/>
            </w:tcBorders>
            <w:shd w:fill="0E9488" w:val="clear"/>
            <w:tcMar>
              <w:top w:type="dxa" w:w="70"/>
              <w:left w:type="dxa" w:w="100"/>
              <w:bottom w:type="dxa" w:w="70"/>
              <w:right w:type="dxa" w:w="100"/>
            </w:tcMar>
          </w:tcPr>
          <w:p>
            <w:r>
              <w:rPr>
                <w:b/>
                <w:bCs/>
                <w:color w:val="FFFFFF"/>
                <w:sz w:val="17"/>
                <w:szCs w:val="17"/>
              </w:rPr>
              <w:t xml:space="preserve">Unit price (ZAR)</w:t>
            </w:r>
          </w:p>
        </w:tc>
        <w:tc>
          <w:tcPr>
            <w:tcW w:type="dxa" w:w="1700"/>
            <w:tcBorders>
              <w:top w:val="single" w:color="CCCCCC" w:sz="1"/>
              <w:left w:val="single" w:color="CCCCCC" w:sz="1"/>
              <w:bottom w:val="single" w:color="CCCCCC" w:sz="1"/>
              <w:right w:val="single" w:color="CCCCCC" w:sz="1"/>
            </w:tcBorders>
            <w:shd w:fill="0E9488" w:val="clear"/>
            <w:tcMar>
              <w:top w:type="dxa" w:w="70"/>
              <w:left w:type="dxa" w:w="100"/>
              <w:bottom w:type="dxa" w:w="70"/>
              <w:right w:type="dxa" w:w="100"/>
            </w:tcMar>
          </w:tcPr>
          <w:p>
            <w:r>
              <w:rPr>
                <w:b/>
                <w:bCs/>
                <w:color w:val="FFFFFF"/>
                <w:sz w:val="17"/>
                <w:szCs w:val="17"/>
              </w:rPr>
              <w:t xml:space="preserve">Lead time</w:t>
            </w:r>
          </w:p>
        </w:tc>
        <w:tc>
          <w:tcPr>
            <w:tcW w:type="dxa" w:w="1760"/>
            <w:tcBorders>
              <w:top w:val="single" w:color="CCCCCC" w:sz="1"/>
              <w:left w:val="single" w:color="CCCCCC" w:sz="1"/>
              <w:bottom w:val="single" w:color="CCCCCC" w:sz="1"/>
              <w:right w:val="single" w:color="CCCCCC" w:sz="1"/>
            </w:tcBorders>
            <w:shd w:fill="0E9488" w:val="clear"/>
            <w:tcMar>
              <w:top w:type="dxa" w:w="70"/>
              <w:left w:type="dxa" w:w="100"/>
              <w:bottom w:type="dxa" w:w="70"/>
              <w:right w:type="dxa" w:w="100"/>
            </w:tcMar>
          </w:tcPr>
          <w:p>
            <w:r>
              <w:rPr>
                <w:b/>
                <w:bCs/>
                <w:color w:val="FFFFFF"/>
                <w:sz w:val="17"/>
                <w:szCs w:val="17"/>
              </w:rPr>
              <w:t xml:space="preserve">Subtotal (ZAR)</w:t>
            </w:r>
          </w:p>
        </w:tc>
      </w:tr>
      <w:tr>
        <w:tc>
          <w:tcPr>
            <w:tcW w:type="dxa" w:w="3700"/>
            <w:tcBorders>
              <w:top w:val="single" w:color="CCCCCC" w:sz="1"/>
              <w:left w:val="single" w:color="CCCCCC" w:sz="1"/>
              <w:bottom w:val="single" w:color="CCCCCC" w:sz="1"/>
              <w:right w:val="single" w:color="CCCCCC" w:sz="1"/>
            </w:tcBorders>
            <w:tcMar>
              <w:top w:type="dxa" w:w="90"/>
              <w:left w:type="dxa" w:w="100"/>
              <w:bottom w:type="dxa" w:w="90"/>
              <w:right w:type="dxa" w:w="100"/>
            </w:tcMar>
          </w:tcPr>
          <w:p>
            <w:r>
              <w:rPr>
                <w:sz w:val="17"/>
                <w:szCs w:val="17"/>
              </w:rPr>
              <w:t xml:space="preserve">Rugged 8" Android tablet — Tier 1 (operators)</w:t>
            </w:r>
          </w:p>
        </w:tc>
        <w:tc>
          <w:tcPr>
            <w:tcW w:type="dxa" w:w="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5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6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r>
      <w:tr>
        <w:tc>
          <w:tcPr>
            <w:tcW w:type="dxa" w:w="3700"/>
            <w:tcBorders>
              <w:top w:val="single" w:color="CCCCCC" w:sz="1"/>
              <w:left w:val="single" w:color="CCCCCC" w:sz="1"/>
              <w:bottom w:val="single" w:color="CCCCCC" w:sz="1"/>
              <w:right w:val="single" w:color="CCCCCC" w:sz="1"/>
            </w:tcBorders>
            <w:tcMar>
              <w:top w:type="dxa" w:w="90"/>
              <w:left w:type="dxa" w:w="100"/>
              <w:bottom w:type="dxa" w:w="90"/>
              <w:right w:type="dxa" w:w="100"/>
            </w:tcMar>
          </w:tcPr>
          <w:p>
            <w:r>
              <w:rPr>
                <w:sz w:val="17"/>
                <w:szCs w:val="17"/>
              </w:rPr>
              <w:t xml:space="preserve">Semi-rugged 11" Android tablet — Tier 2 (supervisors / mechanics)</w:t>
            </w:r>
          </w:p>
        </w:tc>
        <w:tc>
          <w:tcPr>
            <w:tcW w:type="dxa" w:w="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5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6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r>
      <w:tr>
        <w:tc>
          <w:tcPr>
            <w:tcW w:type="dxa" w:w="3700"/>
            <w:tcBorders>
              <w:top w:val="single" w:color="CCCCCC" w:sz="1"/>
              <w:left w:val="single" w:color="CCCCCC" w:sz="1"/>
              <w:bottom w:val="single" w:color="CCCCCC" w:sz="1"/>
              <w:right w:val="single" w:color="CCCCCC" w:sz="1"/>
            </w:tcBorders>
            <w:tcMar>
              <w:top w:type="dxa" w:w="90"/>
              <w:left w:type="dxa" w:w="100"/>
              <w:bottom w:type="dxa" w:w="90"/>
              <w:right w:type="dxa" w:w="100"/>
            </w:tcMar>
          </w:tcPr>
          <w:p>
            <w:r>
              <w:rPr>
                <w:sz w:val="17"/>
                <w:szCs w:val="17"/>
              </w:rPr>
              <w:t xml:space="preserve">Windows 2-in-1 tablet — Tier 3 (admin / SHE / mine manager)</w:t>
            </w:r>
          </w:p>
        </w:tc>
        <w:tc>
          <w:tcPr>
            <w:tcW w:type="dxa" w:w="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5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6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r>
      <w:tr>
        <w:tc>
          <w:tcPr>
            <w:tcW w:type="dxa" w:w="3700"/>
            <w:tcBorders>
              <w:top w:val="single" w:color="CCCCCC" w:sz="1"/>
              <w:left w:val="single" w:color="CCCCCC" w:sz="1"/>
              <w:bottom w:val="single" w:color="CCCCCC" w:sz="1"/>
              <w:right w:val="single" w:color="CCCCCC" w:sz="1"/>
            </w:tcBorders>
            <w:tcMar>
              <w:top w:type="dxa" w:w="90"/>
              <w:left w:type="dxa" w:w="100"/>
              <w:bottom w:type="dxa" w:w="90"/>
              <w:right w:type="dxa" w:w="100"/>
            </w:tcMar>
          </w:tcPr>
          <w:p>
            <w:r>
              <w:rPr>
                <w:sz w:val="17"/>
                <w:szCs w:val="17"/>
              </w:rPr>
              <w:t xml:space="preserve">Rugged Android phone — spot inspections</w:t>
            </w:r>
          </w:p>
        </w:tc>
        <w:tc>
          <w:tcPr>
            <w:tcW w:type="dxa" w:w="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5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6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r>
      <w:tr>
        <w:tc>
          <w:tcPr>
            <w:tcW w:type="dxa" w:w="3700"/>
            <w:tcBorders>
              <w:top w:val="single" w:color="CCCCCC" w:sz="1"/>
              <w:left w:val="single" w:color="CCCCCC" w:sz="1"/>
              <w:bottom w:val="single" w:color="CCCCCC" w:sz="1"/>
              <w:right w:val="single" w:color="CCCCCC" w:sz="1"/>
            </w:tcBorders>
            <w:tcMar>
              <w:top w:type="dxa" w:w="90"/>
              <w:left w:type="dxa" w:w="100"/>
              <w:bottom w:type="dxa" w:w="90"/>
              <w:right w:type="dxa" w:w="100"/>
            </w:tcMar>
          </w:tcPr>
          <w:p>
            <w:r>
              <w:rPr>
                <w:sz w:val="17"/>
                <w:szCs w:val="17"/>
              </w:rPr>
              <w:t xml:space="preserve">Spare batteries (Tier 1)</w:t>
            </w:r>
          </w:p>
        </w:tc>
        <w:tc>
          <w:tcPr>
            <w:tcW w:type="dxa" w:w="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5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6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r>
      <w:tr>
        <w:tc>
          <w:tcPr>
            <w:tcW w:type="dxa" w:w="3700"/>
            <w:tcBorders>
              <w:top w:val="single" w:color="CCCCCC" w:sz="1"/>
              <w:left w:val="single" w:color="CCCCCC" w:sz="1"/>
              <w:bottom w:val="single" w:color="CCCCCC" w:sz="1"/>
              <w:right w:val="single" w:color="CCCCCC" w:sz="1"/>
            </w:tcBorders>
            <w:tcMar>
              <w:top w:type="dxa" w:w="90"/>
              <w:left w:type="dxa" w:w="100"/>
              <w:bottom w:type="dxa" w:w="90"/>
              <w:right w:type="dxa" w:w="100"/>
            </w:tcMar>
          </w:tcPr>
          <w:p>
            <w:r>
              <w:rPr>
                <w:sz w:val="17"/>
                <w:szCs w:val="17"/>
              </w:rPr>
              <w:t xml:space="preserve">Rugged case + screen protector — Tier 2</w:t>
            </w:r>
          </w:p>
        </w:tc>
        <w:tc>
          <w:tcPr>
            <w:tcW w:type="dxa" w:w="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5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6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r>
      <w:tr>
        <w:tc>
          <w:tcPr>
            <w:tcW w:type="dxa" w:w="3700"/>
            <w:tcBorders>
              <w:top w:val="single" w:color="CCCCCC" w:sz="1"/>
              <w:left w:val="single" w:color="CCCCCC" w:sz="1"/>
              <w:bottom w:val="single" w:color="CCCCCC" w:sz="1"/>
              <w:right w:val="single" w:color="CCCCCC" w:sz="1"/>
            </w:tcBorders>
            <w:tcMar>
              <w:top w:type="dxa" w:w="90"/>
              <w:left w:type="dxa" w:w="100"/>
              <w:bottom w:type="dxa" w:w="90"/>
              <w:right w:type="dxa" w:w="100"/>
            </w:tcMar>
          </w:tcPr>
          <w:p>
            <w:r>
              <w:rPr>
                <w:sz w:val="17"/>
                <w:szCs w:val="17"/>
              </w:rPr>
              <w:t xml:space="preserve">20-bay charging cart</w:t>
            </w:r>
          </w:p>
        </w:tc>
        <w:tc>
          <w:tcPr>
            <w:tcW w:type="dxa" w:w="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5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6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r>
      <w:tr>
        <w:tc>
          <w:tcPr>
            <w:tcW w:type="dxa" w:w="3700"/>
            <w:tcBorders>
              <w:top w:val="single" w:color="CCCCCC" w:sz="1"/>
              <w:left w:val="single" w:color="CCCCCC" w:sz="1"/>
              <w:bottom w:val="single" w:color="CCCCCC" w:sz="1"/>
              <w:right w:val="single" w:color="CCCCCC" w:sz="1"/>
            </w:tcBorders>
            <w:tcMar>
              <w:top w:type="dxa" w:w="90"/>
              <w:left w:type="dxa" w:w="100"/>
              <w:bottom w:type="dxa" w:w="90"/>
              <w:right w:type="dxa" w:w="100"/>
            </w:tcMar>
          </w:tcPr>
          <w:p>
            <w:r>
              <w:rPr>
                <w:sz w:val="17"/>
                <w:szCs w:val="17"/>
              </w:rPr>
              <w:t xml:space="preserve">MDM licence — 1 year per device</w:t>
            </w:r>
          </w:p>
        </w:tc>
        <w:tc>
          <w:tcPr>
            <w:tcW w:type="dxa" w:w="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5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6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r>
      <w:tr>
        <w:tc>
          <w:tcPr>
            <w:tcW w:type="dxa" w:w="3700"/>
            <w:tcBorders>
              <w:top w:val="single" w:color="CCCCCC" w:sz="1"/>
              <w:left w:val="single" w:color="CCCCCC" w:sz="1"/>
              <w:bottom w:val="single" w:color="CCCCCC" w:sz="1"/>
              <w:right w:val="single" w:color="CCCCCC" w:sz="1"/>
            </w:tcBorders>
            <w:tcMar>
              <w:top w:type="dxa" w:w="90"/>
              <w:left w:type="dxa" w:w="100"/>
              <w:bottom w:type="dxa" w:w="90"/>
              <w:right w:type="dxa" w:w="100"/>
            </w:tcMar>
          </w:tcPr>
          <w:p>
            <w:r>
              <w:rPr>
                <w:sz w:val="17"/>
                <w:szCs w:val="17"/>
              </w:rPr>
              <w:t xml:space="preserve">Asset tagging + initial enrolment (one-off)</w:t>
            </w:r>
          </w:p>
        </w:tc>
        <w:tc>
          <w:tcPr>
            <w:tcW w:type="dxa" w:w="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5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6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r>
      <w:tr>
        <w:tc>
          <w:tcPr>
            <w:tcW w:type="dxa" w:w="3700"/>
            <w:tcBorders>
              <w:top w:val="single" w:color="CCCCCC" w:sz="1"/>
              <w:left w:val="single" w:color="CCCCCC" w:sz="1"/>
              <w:bottom w:val="single" w:color="CCCCCC" w:sz="1"/>
              <w:right w:val="single" w:color="CCCCCC" w:sz="1"/>
            </w:tcBorders>
            <w:tcMar>
              <w:top w:type="dxa" w:w="90"/>
              <w:left w:type="dxa" w:w="100"/>
              <w:bottom w:type="dxa" w:w="90"/>
              <w:right w:type="dxa" w:w="100"/>
            </w:tcMar>
          </w:tcPr>
          <w:p>
            <w:r>
              <w:rPr>
                <w:sz w:val="17"/>
                <w:szCs w:val="17"/>
              </w:rPr>
              <w:t xml:space="preserve">Delivery to site (Belfast, Mpumalanga)</w:t>
            </w:r>
          </w:p>
        </w:tc>
        <w:tc>
          <w:tcPr>
            <w:tcW w:type="dxa" w:w="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5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6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r>
      <w:tr>
        <w:tc>
          <w:tcPr>
            <w:tcW w:type="dxa" w:w="3700"/>
            <w:tcBorders>
              <w:top w:val="single" w:color="CCCCCC" w:sz="1"/>
              <w:left w:val="single" w:color="CCCCCC" w:sz="1"/>
              <w:bottom w:val="single" w:color="CCCCCC" w:sz="1"/>
              <w:right w:val="single" w:color="CCCCCC" w:sz="1"/>
            </w:tcBorders>
            <w:tcMar>
              <w:top w:type="dxa" w:w="90"/>
              <w:left w:type="dxa" w:w="100"/>
              <w:bottom w:type="dxa" w:w="90"/>
              <w:right w:type="dxa" w:w="100"/>
            </w:tcMar>
          </w:tcPr>
          <w:p>
            <w:r>
              <w:rPr>
                <w:sz w:val="17"/>
                <w:szCs w:val="17"/>
              </w:rPr>
              <w:t xml:space="preserve">On-site setup + handover training (2 days)</w:t>
            </w:r>
          </w:p>
        </w:tc>
        <w:tc>
          <w:tcPr>
            <w:tcW w:type="dxa" w:w="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5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0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c>
          <w:tcPr>
            <w:tcW w:type="dxa" w:w="1760"/>
            <w:tcBorders>
              <w:top w:val="single" w:color="CCCCCC" w:sz="1"/>
              <w:left w:val="single" w:color="CCCCCC" w:sz="1"/>
              <w:bottom w:val="single" w:color="CCCCCC" w:sz="1"/>
              <w:right w:val="single" w:color="CCCCCC" w:sz="1"/>
            </w:tcBorders>
            <w:shd w:fill="F0F4F8" w:val="clear"/>
            <w:tcMar>
              <w:top w:type="dxa" w:w="90"/>
              <w:left w:type="dxa" w:w="100"/>
              <w:bottom w:type="dxa" w:w="90"/>
              <w:right w:type="dxa" w:w="100"/>
            </w:tcMar>
          </w:tcPr>
          <w:p>
            <w:r>
              <w:t xml:space="preserve"> </w:t>
            </w:r>
          </w:p>
        </w:tc>
      </w:tr>
      <w:tr>
        <w:tc>
          <w:tcPr>
            <w:tcW w:type="dxa" w:w="7600"/>
            <w:gridSpan w:val="4"/>
            <w:tcBorders>
              <w:top w:val="single" w:color="CCCCCC" w:sz="1"/>
              <w:left w:val="single" w:color="CCCCCC" w:sz="1"/>
              <w:bottom w:val="single" w:color="CCCCCC" w:sz="1"/>
              <w:right w:val="single" w:color="CCCCCC" w:sz="1"/>
            </w:tcBorders>
            <w:shd w:fill="0D1729" w:val="clear"/>
            <w:tcMar>
              <w:top w:type="dxa" w:w="80"/>
              <w:left w:type="dxa" w:w="100"/>
              <w:bottom w:type="dxa" w:w="80"/>
              <w:right w:type="dxa" w:w="100"/>
            </w:tcMar>
          </w:tcPr>
          <w:p>
            <w:pPr>
              <w:jc w:val="right"/>
            </w:pPr>
            <w:r>
              <w:rPr>
                <w:b/>
                <w:bCs/>
                <w:color w:val="FFFFFF"/>
                <w:sz w:val="19"/>
                <w:szCs w:val="19"/>
              </w:rPr>
              <w:t xml:space="preserve">TOTAL (ex VAT)</w:t>
            </w:r>
          </w:p>
        </w:tc>
        <w:tc>
          <w:tcPr>
            <w:tcW w:type="dxa" w:w="1760"/>
            <w:tcBorders>
              <w:top w:val="single" w:color="CCCCCC" w:sz="1"/>
              <w:left w:val="single" w:color="CCCCCC" w:sz="1"/>
              <w:bottom w:val="single" w:color="CCCCCC" w:sz="1"/>
              <w:right w:val="single" w:color="CCCCCC" w:sz="1"/>
            </w:tcBorders>
            <w:shd w:fill="F0F4F8" w:val="clear"/>
            <w:tcMar>
              <w:top w:type="dxa" w:w="80"/>
              <w:left w:type="dxa" w:w="100"/>
              <w:bottom w:type="dxa" w:w="80"/>
              <w:right w:type="dxa" w:w="100"/>
            </w:tcMar>
          </w:tcPr>
          <w:p>
            <w:r>
              <w:t xml:space="preserve"> </w:t>
            </w:r>
          </w:p>
        </w:tc>
      </w:tr>
    </w:tbl>
    <w:p>
      <w:pPr>
        <w:pStyle w:val="Heading1"/>
      </w:pPr>
      <w:r>
        <w:rPr>
          <w:b/>
          <w:bCs/>
          <w:color w:val="0D1729"/>
        </w:rPr>
        <w:t xml:space="preserve">7.  Evaluation criteria</w:t>
      </w:r>
    </w:p>
    <w:p>
      <w:pPr>
        <w:spacing w:after="100"/>
      </w:pPr>
      <w:r>
        <w:t xml:space="preserve">Quotes will be scored against the following weighted criteria. The lowest-priced quote will not automatically win; total cost of ownership, lead time, and support responsiveness all materially affect the score.</w:t>
      </w:r>
    </w:p>
    <w:p>
      <w:pPr>
        <w:pStyle w:val="ListParagraph"/>
        <w:numPr>
          <w:ilvl w:val="0"/>
          <w:numId w:val="2"/>
        </w:numPr>
        <w:spacing w:after="40"/>
      </w:pPr>
      <w:r>
        <w:rPr>
          <w:b/>
          <w:bCs/>
        </w:rPr>
        <w:t xml:space="preserve">Compliance with target spec (40 %) — </w:t>
      </w:r>
      <w:r>
        <w:t xml:space="preserve">every mandatory item met, evidence attached for any substitution.</w:t>
      </w:r>
    </w:p>
    <w:p>
      <w:pPr>
        <w:pStyle w:val="ListParagraph"/>
        <w:numPr>
          <w:ilvl w:val="0"/>
          <w:numId w:val="2"/>
        </w:numPr>
        <w:spacing w:after="40"/>
      </w:pPr>
      <w:r>
        <w:rPr>
          <w:b/>
          <w:bCs/>
        </w:rPr>
        <w:t xml:space="preserve">Total landed cost over 3 years (30 %) — </w:t>
      </w:r>
      <w:r>
        <w:t xml:space="preserve">hardware + MDM + warranty + projected replacement.</w:t>
      </w:r>
    </w:p>
    <w:p>
      <w:pPr>
        <w:pStyle w:val="ListParagraph"/>
        <w:numPr>
          <w:ilvl w:val="0"/>
          <w:numId w:val="2"/>
        </w:numPr>
        <w:spacing w:after="40"/>
      </w:pPr>
      <w:r>
        <w:rPr>
          <w:b/>
          <w:bCs/>
        </w:rPr>
        <w:t xml:space="preserve">Lead time and stock availability (15 %) — </w:t>
      </w:r>
      <w:r>
        <w:t xml:space="preserve">shorter is better; backorders disqualify.</w:t>
      </w:r>
    </w:p>
    <w:p>
      <w:pPr>
        <w:pStyle w:val="ListParagraph"/>
        <w:numPr>
          <w:ilvl w:val="0"/>
          <w:numId w:val="2"/>
        </w:numPr>
        <w:spacing w:after="40"/>
      </w:pPr>
      <w:r>
        <w:rPr>
          <w:b/>
          <w:bCs/>
        </w:rPr>
        <w:t xml:space="preserve">Service responsiveness and on-site presence in Mpumalanga (10 %) — </w:t>
      </w:r>
      <w:r>
        <w:t xml:space="preserve">documented SLA.</w:t>
      </w:r>
    </w:p>
    <w:p>
      <w:pPr>
        <w:pStyle w:val="ListParagraph"/>
        <w:numPr>
          <w:ilvl w:val="0"/>
          <w:numId w:val="2"/>
        </w:numPr>
        <w:spacing w:after="40"/>
      </w:pPr>
      <w:r>
        <w:rPr>
          <w:b/>
          <w:bCs/>
        </w:rPr>
        <w:t xml:space="preserve">Local-content and B-BBEE contribution (5 %) — </w:t>
      </w:r>
      <w:r>
        <w:t xml:space="preserve">stated rating with supporting affidavit.</w:t>
      </w:r>
    </w:p>
    <w:p>
      <w:pPr>
        <w:pStyle w:val="Heading1"/>
      </w:pPr>
      <w:r>
        <w:rPr>
          <w:b/>
          <w:bCs/>
          <w:color w:val="0D1729"/>
        </w:rPr>
        <w:t xml:space="preserve">8.  Submission</w:t>
      </w:r>
    </w:p>
    <w:p>
      <w:pPr>
        <w:spacing w:after="100"/>
      </w:pPr>
      <w:r>
        <w:t xml:space="preserve">Submit responses by email to the primary contact named on the cover. Subject line must read "ENA-RFQ-EQ-2026-001 — [Vendor name]". Quotes must include the completed pricing table, a covering letter on letterhead, B-BBEE certificate, and any substitution evidence sheets. Late submissions will not be considered.</w:t>
      </w:r>
    </w:p>
    <w:p>
      <w:pPr>
        <w:spacing w:after="100"/>
      </w:pPr>
      <w:r>
        <w:rPr>
          <w:i/>
          <w:iCs/>
          <w:color w:val="6B7280"/>
        </w:rPr>
        <w:t xml:space="preserve">Enaleni Engineering reserves the right to award the contract in whole or in part to one or multiple vendors, to negotiate further with shortlisted respondents, and to decline all quotes without giving reasons.</w:t>
      </w:r>
    </w:p>
    <w:p>
      <w:pPr>
        <w:spacing w:after="60" w:before="300"/>
      </w:pPr>
      <w:r>
        <w:rPr>
          <w:b/>
          <w:bCs/>
          <w:color w:val="0D1729"/>
        </w:rPr>
        <w:t xml:space="preserve">Issued on behalf of Enaleni Engineering (Pty) Ltd</w:t>
      </w:r>
    </w:p>
    <w:p>
      <w:pPr>
        <w:spacing w:after="0"/>
      </w:pPr>
      <w:r>
        <w:rPr>
          <w:sz w:val="18"/>
          <w:szCs w:val="18"/>
        </w:rPr>
        <w:t xml:space="preserve">TauGM — Technical Lead, Equipment Checklist Programme</w:t>
      </w:r>
    </w:p>
    <w:p>
      <w:pPr>
        <w:spacing w:after="0"/>
      </w:pPr>
      <w:r>
        <w:rPr>
          <w:color w:val="0E9488"/>
          <w:sz w:val="18"/>
          <w:szCs w:val="18"/>
        </w:rPr>
        <w:t xml:space="preserve">tau.maswanganye@gmail.com</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r>
      <w:rPr>
        <w:color w:val="6B7280"/>
        <w:sz w:val="16"/>
        <w:szCs w:val="16"/>
      </w:rPr>
      <w:t xml:space="preserve">  ·  Confidential — for vendor evaluation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100"/>
      </w:tabs>
    </w:pPr>
    <w:r>
      <w:rPr>
        <w:color w:val="6B7280"/>
        <w:sz w:val="16"/>
        <w:szCs w:val="16"/>
      </w:rPr>
      <w:t xml:space="preserve">Enaleni Engineering · Belfast Coal Mine</w:t>
    </w:r>
    <w:r>
      <w:t xml:space="preserve">	</w:t>
    </w:r>
    <w:r>
      <w:rPr>
        <w:color w:val="6B7280"/>
        <w:sz w:val="16"/>
        <w:szCs w:val="16"/>
      </w:rPr>
      <w:t xml:space="preserve">Mine Tablet RFQ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Calibri" w:cs="Calibri" w:eastAsia="Calibri" w:hAnsi="Calibri"/>
      <w:b/>
      <w:bCs/>
      <w:color w:val="0D1729"/>
      <w:sz w:val="28"/>
      <w:szCs w:val="28"/>
    </w:rPr>
  </w:style>
  <w:style w:type="paragraph" w:styleId="Heading2">
    <w:name w:val="Heading 2"/>
    <w:basedOn w:val="Normal"/>
    <w:next w:val="Normal"/>
    <w:qFormat/>
    <w:pPr>
      <w:spacing w:after="80" w:before="180"/>
      <w:outlineLvl w:val="1"/>
    </w:pPr>
    <w:rPr>
      <w:rFonts w:ascii="Calibri" w:cs="Calibri" w:eastAsia="Calibri" w:hAnsi="Calibri"/>
      <w:b/>
      <w:bCs/>
      <w:color w:val="0E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 Tablet Procurement — Request for Quote</dc:title>
  <dc:creator>Enaleni Engineering</dc:creator>
  <cp:lastModifiedBy>Un-named</cp:lastModifiedBy>
  <cp:revision>1</cp:revision>
  <dcterms:created xsi:type="dcterms:W3CDTF">2026-06-18T16:24:48.526Z</dcterms:created>
  <dcterms:modified xsi:type="dcterms:W3CDTF">2026-06-18T16:24:48.533Z</dcterms:modified>
</cp:coreProperties>
</file>

<file path=docProps/custom.xml><?xml version="1.0" encoding="utf-8"?>
<Properties xmlns="http://schemas.openxmlformats.org/officeDocument/2006/custom-properties" xmlns:vt="http://schemas.openxmlformats.org/officeDocument/2006/docPropsVTypes"/>
</file>