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22AE5" w14:textId="77777777" w:rsidR="006A5A9F" w:rsidRDefault="006A5A9F" w:rsidP="00EE5D62">
      <w:pPr>
        <w:spacing w:line="360" w:lineRule="auto"/>
        <w:jc w:val="both"/>
        <w:rPr>
          <w:b/>
          <w:szCs w:val="24"/>
        </w:rPr>
      </w:pPr>
      <w:r>
        <w:rPr>
          <w:b/>
          <w:szCs w:val="24"/>
        </w:rPr>
        <w:t xml:space="preserve">Research </w:t>
      </w:r>
    </w:p>
    <w:p w14:paraId="04246D1C" w14:textId="77777777" w:rsidR="00F51BF9" w:rsidRPr="00EE5D62" w:rsidRDefault="00F51BF9" w:rsidP="00EE5D62">
      <w:pPr>
        <w:spacing w:line="360" w:lineRule="auto"/>
        <w:jc w:val="both"/>
        <w:rPr>
          <w:b/>
          <w:szCs w:val="24"/>
        </w:rPr>
      </w:pPr>
      <w:r w:rsidRPr="00EE5D62">
        <w:rPr>
          <w:b/>
          <w:szCs w:val="24"/>
        </w:rPr>
        <w:t>Introduction</w:t>
      </w:r>
      <w:r w:rsidR="003549B9">
        <w:rPr>
          <w:b/>
          <w:szCs w:val="24"/>
        </w:rPr>
        <w:t xml:space="preserve"> </w:t>
      </w:r>
      <w:r w:rsidRPr="00EE5D62">
        <w:rPr>
          <w:b/>
          <w:szCs w:val="24"/>
        </w:rPr>
        <w:br/>
      </w:r>
    </w:p>
    <w:p w14:paraId="047A7D74" w14:textId="77777777" w:rsidR="00F51BF9" w:rsidRPr="00EE5D62" w:rsidRDefault="00F51BF9" w:rsidP="00EE5D62">
      <w:pPr>
        <w:spacing w:line="360" w:lineRule="auto"/>
        <w:jc w:val="both"/>
        <w:rPr>
          <w:rFonts w:cs="Times New Roman"/>
          <w:bCs/>
          <w:szCs w:val="24"/>
        </w:rPr>
      </w:pPr>
      <w:r w:rsidRPr="00EE5D62">
        <w:rPr>
          <w:rFonts w:cs="Times New Roman"/>
          <w:bCs/>
          <w:szCs w:val="24"/>
        </w:rPr>
        <w:t>Australia is the smallest mainland continent in the world with</w:t>
      </w:r>
      <w:r w:rsidR="00F272C9">
        <w:rPr>
          <w:rFonts w:cs="Times New Roman"/>
          <w:bCs/>
          <w:szCs w:val="24"/>
        </w:rPr>
        <w:t xml:space="preserve"> a</w:t>
      </w:r>
      <w:r w:rsidRPr="00EE5D62">
        <w:rPr>
          <w:rFonts w:cs="Times New Roman"/>
          <w:bCs/>
          <w:szCs w:val="24"/>
        </w:rPr>
        <w:t xml:space="preserve"> population of around twent</w:t>
      </w:r>
      <w:r w:rsidR="00F272C9">
        <w:rPr>
          <w:rFonts w:cs="Times New Roman"/>
          <w:bCs/>
          <w:szCs w:val="24"/>
        </w:rPr>
        <w:t>y-</w:t>
      </w:r>
      <w:r w:rsidR="002004A6">
        <w:rPr>
          <w:rFonts w:cs="Times New Roman"/>
          <w:bCs/>
          <w:szCs w:val="24"/>
        </w:rPr>
        <w:t>one million people which was ruled by British crown from 1788 to 1901.</w:t>
      </w:r>
      <w:r w:rsidRPr="00EE5D62">
        <w:rPr>
          <w:rFonts w:cs="Times New Roman"/>
          <w:bCs/>
          <w:szCs w:val="24"/>
        </w:rPr>
        <w:t xml:space="preserve"> Aboriginal people were regarded as a dying race when </w:t>
      </w:r>
      <w:r w:rsidR="00F272C9">
        <w:rPr>
          <w:rFonts w:cs="Times New Roman"/>
          <w:bCs/>
          <w:szCs w:val="24"/>
        </w:rPr>
        <w:t xml:space="preserve">the </w:t>
      </w:r>
      <w:r w:rsidRPr="00EE5D62">
        <w:rPr>
          <w:rFonts w:cs="Times New Roman"/>
          <w:bCs/>
          <w:szCs w:val="24"/>
        </w:rPr>
        <w:t xml:space="preserve">federation of states occurred in 1901. The Australian constitution that was formed in 1901 had only </w:t>
      </w:r>
      <w:r w:rsidR="00F272C9">
        <w:rPr>
          <w:rFonts w:cs="Times New Roman"/>
          <w:bCs/>
          <w:szCs w:val="24"/>
        </w:rPr>
        <w:t xml:space="preserve">a </w:t>
      </w:r>
      <w:r w:rsidRPr="00EE5D62">
        <w:rPr>
          <w:rFonts w:cs="Times New Roman"/>
          <w:bCs/>
          <w:szCs w:val="24"/>
        </w:rPr>
        <w:t xml:space="preserve">few rights and Aboriginal </w:t>
      </w:r>
      <w:r w:rsidR="00F272C9">
        <w:rPr>
          <w:rFonts w:cs="Times New Roman"/>
          <w:bCs/>
          <w:szCs w:val="24"/>
        </w:rPr>
        <w:t>and Torres Strait I</w:t>
      </w:r>
      <w:r w:rsidR="00611D4D">
        <w:rPr>
          <w:rFonts w:cs="Times New Roman"/>
          <w:bCs/>
          <w:szCs w:val="24"/>
        </w:rPr>
        <w:t xml:space="preserve">slander </w:t>
      </w:r>
      <w:r w:rsidRPr="00EE5D62">
        <w:rPr>
          <w:rFonts w:cs="Times New Roman"/>
          <w:bCs/>
          <w:szCs w:val="24"/>
        </w:rPr>
        <w:t>people’s right</w:t>
      </w:r>
      <w:r w:rsidR="00F272C9">
        <w:rPr>
          <w:rFonts w:cs="Times New Roman"/>
          <w:bCs/>
          <w:szCs w:val="24"/>
        </w:rPr>
        <w:t>s</w:t>
      </w:r>
      <w:r w:rsidRPr="00EE5D62">
        <w:rPr>
          <w:rFonts w:cs="Times New Roman"/>
          <w:bCs/>
          <w:szCs w:val="24"/>
        </w:rPr>
        <w:t xml:space="preserve"> were unrecognized completely in the Constitution. In 1962 Aborigines were given the right to vote in federal elections and through </w:t>
      </w:r>
      <w:r w:rsidR="00F272C9">
        <w:rPr>
          <w:rFonts w:cs="Times New Roman"/>
          <w:bCs/>
          <w:szCs w:val="24"/>
        </w:rPr>
        <w:t xml:space="preserve">the </w:t>
      </w:r>
      <w:r w:rsidRPr="00EE5D62">
        <w:rPr>
          <w:rFonts w:cs="Times New Roman"/>
          <w:bCs/>
          <w:szCs w:val="24"/>
        </w:rPr>
        <w:t xml:space="preserve">1967 referendum Aboriginal people became legal citizens of Australia. The 1967 referendum gave the commonwealth legislative power over Aboriginal affairs. However, even as citizens, Aboriginal people were treated as much less than human beings and continued to remain as </w:t>
      </w:r>
      <w:r w:rsidR="00F272C9">
        <w:rPr>
          <w:rFonts w:cs="Times New Roman"/>
          <w:bCs/>
          <w:szCs w:val="24"/>
        </w:rPr>
        <w:t xml:space="preserve">a </w:t>
      </w:r>
      <w:r w:rsidRPr="00EE5D62">
        <w:rPr>
          <w:rFonts w:cs="Times New Roman"/>
          <w:bCs/>
          <w:szCs w:val="24"/>
        </w:rPr>
        <w:t xml:space="preserve">poorest group of people in Australia. </w:t>
      </w:r>
    </w:p>
    <w:p w14:paraId="6A2B7A0B" w14:textId="77777777" w:rsidR="00F51BF9" w:rsidRPr="00EE5D62" w:rsidRDefault="00F51BF9" w:rsidP="00EE5D62">
      <w:pPr>
        <w:spacing w:line="360" w:lineRule="auto"/>
        <w:jc w:val="both"/>
        <w:rPr>
          <w:rFonts w:cs="Times New Roman"/>
          <w:bCs/>
          <w:szCs w:val="24"/>
        </w:rPr>
      </w:pPr>
      <w:r w:rsidRPr="00EE5D62">
        <w:rPr>
          <w:rFonts w:cs="Times New Roman"/>
          <w:bCs/>
          <w:szCs w:val="24"/>
        </w:rPr>
        <w:t xml:space="preserve">In 1992, the </w:t>
      </w:r>
      <w:r w:rsidRPr="00611D4D">
        <w:rPr>
          <w:rFonts w:cs="Times New Roman"/>
          <w:bCs/>
          <w:i/>
          <w:szCs w:val="24"/>
        </w:rPr>
        <w:t>Mabo</w:t>
      </w:r>
      <w:r w:rsidRPr="00EE5D62">
        <w:rPr>
          <w:rFonts w:cs="Times New Roman"/>
          <w:bCs/>
          <w:szCs w:val="24"/>
        </w:rPr>
        <w:t xml:space="preserve"> case was decided which overturned the </w:t>
      </w:r>
      <w:r w:rsidRPr="00A967C6">
        <w:rPr>
          <w:rFonts w:cs="Times New Roman"/>
          <w:bCs/>
          <w:i/>
          <w:szCs w:val="24"/>
        </w:rPr>
        <w:t>terra nullius</w:t>
      </w:r>
      <w:r w:rsidRPr="00EE5D62">
        <w:rPr>
          <w:rFonts w:cs="Times New Roman"/>
          <w:bCs/>
          <w:szCs w:val="24"/>
        </w:rPr>
        <w:t xml:space="preserve"> doctrine. When the British saw the Aborigines having no fixed territory and recognizable system of law and customs they applied the doctrine of </w:t>
      </w:r>
      <w:r w:rsidRPr="002004A6">
        <w:rPr>
          <w:rFonts w:cs="Times New Roman"/>
          <w:bCs/>
          <w:i/>
          <w:szCs w:val="24"/>
        </w:rPr>
        <w:t>terra nullius</w:t>
      </w:r>
      <w:r w:rsidR="002004A6">
        <w:rPr>
          <w:rFonts w:cs="Times New Roman"/>
          <w:bCs/>
          <w:szCs w:val="24"/>
        </w:rPr>
        <w:t xml:space="preserve"> that denotes</w:t>
      </w:r>
      <w:r w:rsidRPr="00EE5D62">
        <w:rPr>
          <w:rFonts w:cs="Times New Roman"/>
          <w:bCs/>
          <w:szCs w:val="24"/>
        </w:rPr>
        <w:t xml:space="preserve"> land of no one. This </w:t>
      </w:r>
      <w:r w:rsidR="00A967C6">
        <w:rPr>
          <w:rFonts w:cs="Times New Roman"/>
          <w:bCs/>
          <w:szCs w:val="24"/>
        </w:rPr>
        <w:t xml:space="preserve">doctrine </w:t>
      </w:r>
      <w:r w:rsidRPr="00EE5D62">
        <w:rPr>
          <w:rFonts w:cs="Times New Roman"/>
          <w:bCs/>
          <w:szCs w:val="24"/>
        </w:rPr>
        <w:t>was</w:t>
      </w:r>
      <w:r w:rsidR="00611D4D">
        <w:rPr>
          <w:rFonts w:cs="Times New Roman"/>
          <w:bCs/>
          <w:szCs w:val="24"/>
        </w:rPr>
        <w:t xml:space="preserve"> based on</w:t>
      </w:r>
      <w:r w:rsidRPr="00EE5D62">
        <w:rPr>
          <w:rFonts w:cs="Times New Roman"/>
          <w:bCs/>
          <w:szCs w:val="24"/>
        </w:rPr>
        <w:t xml:space="preserve"> John Locke’s notion of property ownership stated that since the natives had no investment in the soil then they had no claim to it.  </w:t>
      </w:r>
    </w:p>
    <w:p w14:paraId="20F5ECF6" w14:textId="77777777" w:rsidR="00F51BF9" w:rsidRPr="00EE5D62" w:rsidRDefault="00F51BF9" w:rsidP="00EE5D62">
      <w:pPr>
        <w:spacing w:line="360" w:lineRule="auto"/>
        <w:jc w:val="both"/>
        <w:rPr>
          <w:rFonts w:cs="Times New Roman"/>
          <w:bCs/>
          <w:szCs w:val="24"/>
        </w:rPr>
      </w:pPr>
      <w:r w:rsidRPr="00EE5D62">
        <w:rPr>
          <w:rFonts w:cs="Times New Roman"/>
          <w:bCs/>
          <w:szCs w:val="24"/>
        </w:rPr>
        <w:t>From 1901 to 197</w:t>
      </w:r>
      <w:r w:rsidR="00F272C9">
        <w:rPr>
          <w:rFonts w:cs="Times New Roman"/>
          <w:bCs/>
          <w:szCs w:val="24"/>
        </w:rPr>
        <w:t>0 there was a legal policy that</w:t>
      </w:r>
      <w:r w:rsidRPr="00EE5D62">
        <w:rPr>
          <w:rFonts w:cs="Times New Roman"/>
          <w:bCs/>
          <w:szCs w:val="24"/>
        </w:rPr>
        <w:t xml:space="preserve"> allowed for the removal o</w:t>
      </w:r>
      <w:r w:rsidR="00F272C9">
        <w:rPr>
          <w:rFonts w:cs="Times New Roman"/>
          <w:bCs/>
          <w:szCs w:val="24"/>
        </w:rPr>
        <w:t>f Aboriginal and Torres Strait I</w:t>
      </w:r>
      <w:r w:rsidRPr="00EE5D62">
        <w:rPr>
          <w:rFonts w:cs="Times New Roman"/>
          <w:bCs/>
          <w:szCs w:val="24"/>
        </w:rPr>
        <w:t xml:space="preserve">slander children </w:t>
      </w:r>
      <w:r w:rsidR="00F272C9">
        <w:rPr>
          <w:rFonts w:cs="Times New Roman"/>
          <w:bCs/>
          <w:szCs w:val="24"/>
        </w:rPr>
        <w:t>from</w:t>
      </w:r>
      <w:r w:rsidRPr="00EE5D62">
        <w:rPr>
          <w:rFonts w:cs="Times New Roman"/>
          <w:bCs/>
          <w:szCs w:val="24"/>
        </w:rPr>
        <w:t xml:space="preserve"> their families so that they could be brought up ‘white’ and taught to reject their aboriginality. The indigenous people were again excluded from the self-governing communities through the formation of the Australian</w:t>
      </w:r>
      <w:r w:rsidR="00F272C9">
        <w:rPr>
          <w:rFonts w:cs="Times New Roman"/>
          <w:bCs/>
          <w:szCs w:val="24"/>
        </w:rPr>
        <w:t xml:space="preserve"> common</w:t>
      </w:r>
      <w:r w:rsidRPr="00EE5D62">
        <w:rPr>
          <w:rFonts w:cs="Times New Roman"/>
          <w:bCs/>
          <w:szCs w:val="24"/>
        </w:rPr>
        <w:t xml:space="preserve">wealth in 1901. </w:t>
      </w:r>
      <w:r w:rsidR="009D0D8E">
        <w:rPr>
          <w:rFonts w:cs="Times New Roman"/>
          <w:bCs/>
          <w:szCs w:val="24"/>
        </w:rPr>
        <w:t xml:space="preserve">The recognition of </w:t>
      </w:r>
      <w:r w:rsidRPr="00EE5D62">
        <w:rPr>
          <w:rFonts w:cs="Times New Roman"/>
          <w:bCs/>
          <w:szCs w:val="24"/>
        </w:rPr>
        <w:t xml:space="preserve"> Indigenous peoples' righ</w:t>
      </w:r>
      <w:r w:rsidR="00F272C9">
        <w:rPr>
          <w:rFonts w:cs="Times New Roman"/>
          <w:bCs/>
          <w:szCs w:val="24"/>
        </w:rPr>
        <w:t xml:space="preserve">ts and interests in with </w:t>
      </w:r>
      <w:r w:rsidRPr="00EE5D62">
        <w:rPr>
          <w:rFonts w:cs="Times New Roman"/>
          <w:bCs/>
          <w:szCs w:val="24"/>
        </w:rPr>
        <w:t xml:space="preserve">land through the Australian common law in </w:t>
      </w:r>
      <w:r w:rsidRPr="00611D4D">
        <w:rPr>
          <w:rFonts w:cs="Times New Roman"/>
          <w:bCs/>
          <w:i/>
          <w:szCs w:val="24"/>
        </w:rPr>
        <w:t xml:space="preserve">Mabo </w:t>
      </w:r>
      <w:r w:rsidRPr="00611D4D">
        <w:rPr>
          <w:rFonts w:cs="Times New Roman"/>
          <w:bCs/>
          <w:szCs w:val="24"/>
        </w:rPr>
        <w:t>1</w:t>
      </w:r>
      <w:r w:rsidRPr="00EE5D62">
        <w:rPr>
          <w:rFonts w:cs="Times New Roman"/>
          <w:bCs/>
          <w:szCs w:val="24"/>
        </w:rPr>
        <w:t>992 and the subsequent processes established under the Native Title Act 1993 (</w:t>
      </w:r>
      <w:proofErr w:type="spellStart"/>
      <w:r w:rsidRPr="00EE5D62">
        <w:rPr>
          <w:rFonts w:cs="Times New Roman"/>
          <w:bCs/>
          <w:szCs w:val="24"/>
        </w:rPr>
        <w:t>Cth</w:t>
      </w:r>
      <w:proofErr w:type="spellEnd"/>
      <w:r w:rsidRPr="00EE5D62">
        <w:rPr>
          <w:rFonts w:cs="Times New Roman"/>
          <w:bCs/>
          <w:szCs w:val="24"/>
        </w:rPr>
        <w:t>) (NTA) have been a key strategy to restore a measure of land justice and to counter the laws and inst</w:t>
      </w:r>
      <w:r w:rsidR="00130388">
        <w:rPr>
          <w:rFonts w:cs="Times New Roman"/>
          <w:bCs/>
          <w:szCs w:val="24"/>
        </w:rPr>
        <w:t xml:space="preserve">itutions earlier used to deprive </w:t>
      </w:r>
      <w:r w:rsidRPr="00EE5D62">
        <w:rPr>
          <w:rFonts w:cs="Times New Roman"/>
          <w:bCs/>
          <w:szCs w:val="24"/>
        </w:rPr>
        <w:t>Australia's Indigenous peoples.</w:t>
      </w:r>
      <w:r w:rsidRPr="00EE5D62">
        <w:rPr>
          <w:rStyle w:val="FootnoteReference"/>
          <w:rFonts w:cs="Times New Roman"/>
          <w:bCs/>
          <w:szCs w:val="24"/>
        </w:rPr>
        <w:footnoteReference w:id="1"/>
      </w:r>
    </w:p>
    <w:p w14:paraId="1590619A" w14:textId="77777777" w:rsidR="00611D4D" w:rsidRDefault="00611D4D">
      <w:pPr>
        <w:rPr>
          <w:b/>
          <w:szCs w:val="24"/>
        </w:rPr>
      </w:pPr>
      <w:r>
        <w:rPr>
          <w:b/>
          <w:szCs w:val="24"/>
        </w:rPr>
        <w:br w:type="page"/>
      </w:r>
    </w:p>
    <w:p w14:paraId="5EFD0851" w14:textId="77777777" w:rsidR="00F51BF9" w:rsidRDefault="00F51BF9" w:rsidP="00EE5D62">
      <w:pPr>
        <w:spacing w:line="360" w:lineRule="auto"/>
        <w:jc w:val="both"/>
        <w:rPr>
          <w:b/>
          <w:szCs w:val="24"/>
        </w:rPr>
      </w:pPr>
      <w:r w:rsidRPr="00EE5D62">
        <w:rPr>
          <w:b/>
          <w:szCs w:val="24"/>
        </w:rPr>
        <w:lastRenderedPageBreak/>
        <w:t>Implications of reception</w:t>
      </w:r>
    </w:p>
    <w:p w14:paraId="2C34EE2F" w14:textId="77777777" w:rsidR="00944C16" w:rsidRPr="00AC2A87" w:rsidRDefault="00944C16" w:rsidP="00944C16">
      <w:pPr>
        <w:spacing w:line="360" w:lineRule="auto"/>
        <w:jc w:val="both"/>
        <w:rPr>
          <w:rFonts w:cs="Times New Roman"/>
          <w:bCs/>
        </w:rPr>
      </w:pPr>
      <w:r w:rsidRPr="00944C16">
        <w:rPr>
          <w:rFonts w:cs="Times New Roman"/>
          <w:bCs/>
        </w:rPr>
        <w:t>The Aboriginal and Torres Strait Islander people have been historically excluded from the Constitution of Austral</w:t>
      </w:r>
      <w:r w:rsidR="00130388">
        <w:rPr>
          <w:rFonts w:cs="Times New Roman"/>
          <w:bCs/>
        </w:rPr>
        <w:t>ia as they have been overlooked as the coerced</w:t>
      </w:r>
      <w:r w:rsidRPr="00944C16">
        <w:rPr>
          <w:rFonts w:cs="Times New Roman"/>
          <w:bCs/>
        </w:rPr>
        <w:t xml:space="preserve"> settlement of Australia in the late 1700 and early 1800s. The indigenous people were again excluded from the self-governing communities through the formation of the Australian</w:t>
      </w:r>
      <w:r w:rsidR="00F272C9">
        <w:rPr>
          <w:rFonts w:cs="Times New Roman"/>
          <w:bCs/>
        </w:rPr>
        <w:t xml:space="preserve"> common</w:t>
      </w:r>
      <w:r w:rsidRPr="00944C16">
        <w:rPr>
          <w:rFonts w:cs="Times New Roman"/>
          <w:bCs/>
        </w:rPr>
        <w:t xml:space="preserve">wealth in 1901. </w:t>
      </w:r>
    </w:p>
    <w:p w14:paraId="05A243FD" w14:textId="77777777" w:rsidR="009D0D8E" w:rsidRDefault="009D0D8E" w:rsidP="00997D80">
      <w:pPr>
        <w:spacing w:line="360" w:lineRule="auto"/>
        <w:jc w:val="both"/>
        <w:rPr>
          <w:rFonts w:cs="Times New Roman"/>
          <w:bCs/>
        </w:rPr>
      </w:pPr>
      <w:r w:rsidRPr="009D0D8E">
        <w:rPr>
          <w:rFonts w:cs="Times New Roman"/>
          <w:bCs/>
        </w:rPr>
        <w:t>Section 51(xxvi) of the Australian Constitution, enables Parliament to make laws with respect to the “people of any race for whom it is deemed necessary to make special laws.</w:t>
      </w:r>
      <w:r w:rsidRPr="009D0D8E">
        <w:rPr>
          <w:rStyle w:val="FootnoteReference"/>
          <w:rFonts w:cs="Times New Roman"/>
          <w:bCs/>
        </w:rPr>
        <w:footnoteReference w:id="2"/>
      </w:r>
      <w:r w:rsidRPr="009D0D8E">
        <w:rPr>
          <w:rFonts w:cs="Times New Roman"/>
          <w:bCs/>
        </w:rPr>
        <w:t xml:space="preserve"> T</w:t>
      </w:r>
      <w:r w:rsidR="00F272C9">
        <w:rPr>
          <w:rFonts w:cs="Times New Roman"/>
          <w:bCs/>
        </w:rPr>
        <w:t>he law which support</w:t>
      </w:r>
      <w:r>
        <w:rPr>
          <w:rFonts w:cs="Times New Roman"/>
          <w:bCs/>
        </w:rPr>
        <w:t xml:space="preserve"> this is </w:t>
      </w:r>
      <w:r w:rsidR="00F272C9">
        <w:rPr>
          <w:rFonts w:cs="Times New Roman"/>
          <w:bCs/>
        </w:rPr>
        <w:t xml:space="preserve">the </w:t>
      </w:r>
      <w:r>
        <w:rPr>
          <w:rFonts w:cs="Times New Roman"/>
          <w:bCs/>
        </w:rPr>
        <w:t>N</w:t>
      </w:r>
      <w:r w:rsidRPr="009D0D8E">
        <w:rPr>
          <w:rFonts w:cs="Times New Roman"/>
          <w:bCs/>
        </w:rPr>
        <w:t xml:space="preserve">ative Title Act 1993 which recognises but qualifies the concept of native title acknowledged by the High Court in </w:t>
      </w:r>
      <w:r w:rsidRPr="009D0D8E">
        <w:rPr>
          <w:rFonts w:cs="Times New Roman"/>
          <w:bCs/>
          <w:i/>
        </w:rPr>
        <w:t>Mabo case</w:t>
      </w:r>
      <w:r w:rsidRPr="009D0D8E">
        <w:rPr>
          <w:rFonts w:cs="Times New Roman"/>
          <w:bCs/>
        </w:rPr>
        <w:t xml:space="preserve">. </w:t>
      </w:r>
    </w:p>
    <w:p w14:paraId="3D16FC41" w14:textId="77777777" w:rsidR="00997D80" w:rsidRDefault="00130388" w:rsidP="00997D80">
      <w:pPr>
        <w:spacing w:line="360" w:lineRule="auto"/>
        <w:jc w:val="both"/>
        <w:rPr>
          <w:rFonts w:cs="Times New Roman"/>
          <w:bCs/>
        </w:rPr>
      </w:pPr>
      <w:r>
        <w:rPr>
          <w:rFonts w:cs="Times New Roman"/>
          <w:bCs/>
        </w:rPr>
        <w:t>Furthermore</w:t>
      </w:r>
      <w:r w:rsidR="00997D80" w:rsidRPr="00997D80">
        <w:rPr>
          <w:rFonts w:cs="Times New Roman"/>
          <w:bCs/>
        </w:rPr>
        <w:t xml:space="preserve">, in </w:t>
      </w:r>
      <w:r w:rsidR="00997D80" w:rsidRPr="009D0D8E">
        <w:rPr>
          <w:rFonts w:cs="Times New Roman"/>
          <w:bCs/>
          <w:i/>
        </w:rPr>
        <w:t>Western Australia vs. Commonwealth (Native Title Act Case</w:t>
      </w:r>
      <w:r w:rsidR="00997D80" w:rsidRPr="003D176E">
        <w:rPr>
          <w:rFonts w:cs="Times New Roman"/>
          <w:bCs/>
          <w:i/>
        </w:rPr>
        <w:t>),</w:t>
      </w:r>
      <w:r>
        <w:rPr>
          <w:rFonts w:cs="Times New Roman"/>
          <w:bCs/>
        </w:rPr>
        <w:t xml:space="preserve"> the High Court disapproved the view that a law safeguarding</w:t>
      </w:r>
      <w:r w:rsidR="00997D80" w:rsidRPr="00997D80">
        <w:rPr>
          <w:rFonts w:cs="Times New Roman"/>
          <w:bCs/>
        </w:rPr>
        <w:t xml:space="preserve"> Indigenous people’s unique rights over land was merely</w:t>
      </w:r>
      <w:r>
        <w:rPr>
          <w:rFonts w:cs="Times New Roman"/>
          <w:bCs/>
        </w:rPr>
        <w:t xml:space="preserve"> a ‘special measure’ to conquer</w:t>
      </w:r>
      <w:r w:rsidR="00997D80" w:rsidRPr="00997D80">
        <w:rPr>
          <w:rFonts w:cs="Times New Roman"/>
          <w:bCs/>
        </w:rPr>
        <w:t xml:space="preserve"> disadvantage</w:t>
      </w:r>
      <w:r w:rsidR="00F272C9">
        <w:rPr>
          <w:rFonts w:cs="Times New Roman"/>
          <w:bCs/>
        </w:rPr>
        <w:t>s</w:t>
      </w:r>
      <w:r w:rsidR="00997D80" w:rsidRPr="00997D80">
        <w:rPr>
          <w:rFonts w:cs="Times New Roman"/>
          <w:bCs/>
        </w:rPr>
        <w:t>.</w:t>
      </w:r>
      <w:r w:rsidR="00997D80" w:rsidRPr="00997D80">
        <w:rPr>
          <w:rStyle w:val="FootnoteReference"/>
          <w:rFonts w:cs="Times New Roman"/>
          <w:bCs/>
        </w:rPr>
        <w:footnoteReference w:id="3"/>
      </w:r>
      <w:r w:rsidR="00997D80" w:rsidRPr="00997D80">
        <w:rPr>
          <w:rFonts w:cs="Times New Roman"/>
          <w:bCs/>
        </w:rPr>
        <w:t xml:space="preserve"> </w:t>
      </w:r>
      <w:r>
        <w:rPr>
          <w:rFonts w:cs="Times New Roman"/>
          <w:bCs/>
        </w:rPr>
        <w:t>The court opined that it</w:t>
      </w:r>
      <w:r w:rsidR="00997D80" w:rsidRPr="00997D80">
        <w:rPr>
          <w:rFonts w:cs="Times New Roman"/>
          <w:bCs/>
        </w:rPr>
        <w:t xml:space="preserve"> was not discriminatory</w:t>
      </w:r>
      <w:r>
        <w:rPr>
          <w:rFonts w:cs="Times New Roman"/>
          <w:bCs/>
        </w:rPr>
        <w:t xml:space="preserve"> as</w:t>
      </w:r>
      <w:r w:rsidR="00997D80" w:rsidRPr="00997D80">
        <w:rPr>
          <w:rFonts w:cs="Times New Roman"/>
          <w:bCs/>
        </w:rPr>
        <w:t xml:space="preserve"> the distinct identity and status of </w:t>
      </w:r>
      <w:r>
        <w:rPr>
          <w:rFonts w:cs="Times New Roman"/>
          <w:bCs/>
        </w:rPr>
        <w:t>Indigenous peoples were pertinent</w:t>
      </w:r>
      <w:r w:rsidR="00997D80" w:rsidRPr="00997D80">
        <w:rPr>
          <w:rFonts w:cs="Times New Roman"/>
          <w:bCs/>
        </w:rPr>
        <w:t xml:space="preserve"> in</w:t>
      </w:r>
      <w:r>
        <w:rPr>
          <w:rFonts w:cs="Times New Roman"/>
          <w:bCs/>
        </w:rPr>
        <w:t xml:space="preserve"> differentiating</w:t>
      </w:r>
      <w:r w:rsidR="00F272C9">
        <w:rPr>
          <w:rFonts w:cs="Times New Roman"/>
          <w:bCs/>
        </w:rPr>
        <w:t xml:space="preserve"> how</w:t>
      </w:r>
      <w:r w:rsidR="00997D80" w:rsidRPr="00997D80">
        <w:rPr>
          <w:rFonts w:cs="Times New Roman"/>
          <w:bCs/>
        </w:rPr>
        <w:t xml:space="preserve"> Indigenous peoples' relationship with </w:t>
      </w:r>
      <w:r w:rsidR="00F272C9">
        <w:rPr>
          <w:rFonts w:cs="Times New Roman"/>
          <w:bCs/>
        </w:rPr>
        <w:t xml:space="preserve">the </w:t>
      </w:r>
      <w:r>
        <w:rPr>
          <w:rFonts w:cs="Times New Roman"/>
          <w:bCs/>
        </w:rPr>
        <w:t>land was acknowledged</w:t>
      </w:r>
      <w:r w:rsidR="00997D80" w:rsidRPr="00997D80">
        <w:rPr>
          <w:rFonts w:cs="Times New Roman"/>
          <w:bCs/>
        </w:rPr>
        <w:t xml:space="preserve"> and protected.</w:t>
      </w:r>
      <w:r w:rsidR="00997D80" w:rsidRPr="00997D80">
        <w:rPr>
          <w:rStyle w:val="FootnoteReference"/>
          <w:rFonts w:cs="Times New Roman"/>
          <w:bCs/>
        </w:rPr>
        <w:footnoteReference w:id="4"/>
      </w:r>
    </w:p>
    <w:p w14:paraId="35D81E0F" w14:textId="77777777" w:rsidR="009D0D8E" w:rsidRPr="00AC2A87" w:rsidRDefault="00997D80" w:rsidP="009D0D8E">
      <w:pPr>
        <w:spacing w:line="360" w:lineRule="auto"/>
        <w:jc w:val="both"/>
        <w:rPr>
          <w:rFonts w:cs="Times New Roman"/>
          <w:bCs/>
        </w:rPr>
      </w:pPr>
      <w:r w:rsidRPr="00944C16">
        <w:rPr>
          <w:rFonts w:cs="Times New Roman"/>
          <w:bCs/>
        </w:rPr>
        <w:t xml:space="preserve">In June 1991, the Queensland Legislative Assembly passed the Aboriginal Land Act 1991 and the Torres Strait Islander </w:t>
      </w:r>
      <w:r w:rsidR="00A70E26">
        <w:rPr>
          <w:rFonts w:cs="Times New Roman"/>
          <w:bCs/>
        </w:rPr>
        <w:t>Land Act 1991 which recognizes</w:t>
      </w:r>
      <w:r w:rsidRPr="00944C16">
        <w:rPr>
          <w:rFonts w:cs="Times New Roman"/>
          <w:bCs/>
        </w:rPr>
        <w:t xml:space="preserve"> that Indigenous people had occupied, used or enjoyed land in Queensland before European settlement. And exactly a year after the court in the case of </w:t>
      </w:r>
      <w:r w:rsidRPr="00944C16">
        <w:rPr>
          <w:rFonts w:cs="Times New Roman"/>
          <w:bCs/>
          <w:i/>
        </w:rPr>
        <w:t>Mabo vs. Queensland</w:t>
      </w:r>
      <w:r w:rsidRPr="00944C16">
        <w:rPr>
          <w:rFonts w:cs="Times New Roman"/>
          <w:bCs/>
        </w:rPr>
        <w:t xml:space="preserve"> held that the commo</w:t>
      </w:r>
      <w:r w:rsidR="00A70E26">
        <w:rPr>
          <w:rFonts w:cs="Times New Roman"/>
          <w:bCs/>
        </w:rPr>
        <w:t>n law of this country acknowledged</w:t>
      </w:r>
      <w:r w:rsidRPr="00944C16">
        <w:rPr>
          <w:rFonts w:cs="Times New Roman"/>
          <w:bCs/>
        </w:rPr>
        <w:t xml:space="preserve"> the entitlements of Indig</w:t>
      </w:r>
      <w:r w:rsidR="00F272C9">
        <w:rPr>
          <w:rFonts w:cs="Times New Roman"/>
          <w:bCs/>
        </w:rPr>
        <w:t>enous inhabitants following</w:t>
      </w:r>
      <w:r w:rsidRPr="00944C16">
        <w:rPr>
          <w:rFonts w:cs="Times New Roman"/>
          <w:bCs/>
        </w:rPr>
        <w:t xml:space="preserve"> their laws or customs, to their traditional lands. The Queensland legislation, the </w:t>
      </w:r>
      <w:r w:rsidRPr="00A967C6">
        <w:rPr>
          <w:rFonts w:cs="Times New Roman"/>
          <w:bCs/>
          <w:i/>
        </w:rPr>
        <w:t>Mabo (No 2)</w:t>
      </w:r>
      <w:r w:rsidRPr="00944C16">
        <w:rPr>
          <w:rFonts w:cs="Times New Roman"/>
          <w:bCs/>
        </w:rPr>
        <w:t xml:space="preserve"> decision and the subsequent Nat</w:t>
      </w:r>
      <w:r w:rsidR="00A70E26">
        <w:rPr>
          <w:rFonts w:cs="Times New Roman"/>
          <w:bCs/>
        </w:rPr>
        <w:t>ive Title Act 1993 (</w:t>
      </w:r>
      <w:proofErr w:type="spellStart"/>
      <w:r w:rsidR="00A70E26">
        <w:rPr>
          <w:rFonts w:cs="Times New Roman"/>
          <w:bCs/>
        </w:rPr>
        <w:t>Cth</w:t>
      </w:r>
      <w:proofErr w:type="spellEnd"/>
      <w:r w:rsidR="00A70E26">
        <w:rPr>
          <w:rFonts w:cs="Times New Roman"/>
          <w:bCs/>
        </w:rPr>
        <w:t>) turned out</w:t>
      </w:r>
      <w:r w:rsidRPr="00944C16">
        <w:rPr>
          <w:rFonts w:cs="Times New Roman"/>
          <w:bCs/>
        </w:rPr>
        <w:t xml:space="preserve"> new ways of thinking about dealing with the rights and interests o</w:t>
      </w:r>
      <w:r w:rsidR="00A70E26">
        <w:rPr>
          <w:rFonts w:cs="Times New Roman"/>
          <w:bCs/>
        </w:rPr>
        <w:t xml:space="preserve">f Indigenous people with </w:t>
      </w:r>
      <w:r w:rsidRPr="00944C16">
        <w:rPr>
          <w:rFonts w:cs="Times New Roman"/>
          <w:bCs/>
        </w:rPr>
        <w:t>to areas o</w:t>
      </w:r>
      <w:r w:rsidR="00944C16">
        <w:rPr>
          <w:rFonts w:cs="Times New Roman"/>
          <w:bCs/>
        </w:rPr>
        <w:t>f land and waters in Queensland.</w:t>
      </w:r>
    </w:p>
    <w:p w14:paraId="3F05F420" w14:textId="77777777" w:rsidR="009D0D8E" w:rsidRPr="00A87460" w:rsidRDefault="00D90B0D" w:rsidP="009D0D8E">
      <w:pPr>
        <w:spacing w:line="360" w:lineRule="auto"/>
        <w:jc w:val="both"/>
        <w:rPr>
          <w:rFonts w:cs="Times New Roman"/>
          <w:bCs/>
        </w:rPr>
      </w:pPr>
      <w:r>
        <w:rPr>
          <w:rFonts w:cs="Times New Roman"/>
          <w:bCs/>
        </w:rPr>
        <w:t xml:space="preserve">In the case of </w:t>
      </w:r>
      <w:r w:rsidR="009D0D8E" w:rsidRPr="00A87460">
        <w:rPr>
          <w:rFonts w:cs="Times New Roman"/>
          <w:bCs/>
          <w:i/>
        </w:rPr>
        <w:t>Delgamuukw v British Columbia in 1997</w:t>
      </w:r>
      <w:r w:rsidR="009D0D8E" w:rsidRPr="00A87460">
        <w:rPr>
          <w:rStyle w:val="FootnoteReference"/>
          <w:rFonts w:cs="Times New Roman"/>
          <w:bCs/>
        </w:rPr>
        <w:footnoteReference w:id="5"/>
      </w:r>
      <w:r w:rsidR="009D0D8E" w:rsidRPr="00A87460">
        <w:rPr>
          <w:rFonts w:cs="Times New Roman"/>
          <w:bCs/>
        </w:rPr>
        <w:t xml:space="preserve"> and </w:t>
      </w:r>
      <w:r>
        <w:rPr>
          <w:rFonts w:cs="Times New Roman"/>
          <w:bCs/>
          <w:i/>
        </w:rPr>
        <w:t xml:space="preserve">Campbell v British Columbia, </w:t>
      </w:r>
      <w:r>
        <w:rPr>
          <w:rFonts w:cs="Times New Roman"/>
          <w:bCs/>
        </w:rPr>
        <w:t xml:space="preserve">courts have recognized the need of </w:t>
      </w:r>
      <w:r w:rsidR="009D0D8E" w:rsidRPr="00A87460">
        <w:rPr>
          <w:rFonts w:cs="Times New Roman"/>
          <w:bCs/>
        </w:rPr>
        <w:t>right of self-government.</w:t>
      </w:r>
      <w:r w:rsidR="009D0D8E" w:rsidRPr="00A87460">
        <w:rPr>
          <w:rStyle w:val="FootnoteReference"/>
          <w:rFonts w:cs="Times New Roman"/>
          <w:bCs/>
        </w:rPr>
        <w:footnoteReference w:id="6"/>
      </w:r>
      <w:r>
        <w:rPr>
          <w:rFonts w:cs="Times New Roman"/>
          <w:bCs/>
        </w:rPr>
        <w:t xml:space="preserve"> Citing the decision </w:t>
      </w:r>
      <w:r w:rsidR="009D0D8E" w:rsidRPr="00A87460">
        <w:rPr>
          <w:rFonts w:cs="Times New Roman"/>
          <w:bCs/>
        </w:rPr>
        <w:t>of Delgamuukw, the Court noted:</w:t>
      </w:r>
    </w:p>
    <w:p w14:paraId="62733ED3" w14:textId="77777777" w:rsidR="00EE5D62" w:rsidRPr="003155A6" w:rsidRDefault="009D0D8E" w:rsidP="003155A6">
      <w:pPr>
        <w:spacing w:line="360" w:lineRule="auto"/>
        <w:ind w:left="567" w:right="567"/>
        <w:jc w:val="both"/>
        <w:rPr>
          <w:rFonts w:cs="Times New Roman"/>
          <w:bCs/>
        </w:rPr>
      </w:pPr>
      <w:r w:rsidRPr="00A87460">
        <w:rPr>
          <w:rFonts w:cs="Times New Roman"/>
          <w:bCs/>
        </w:rPr>
        <w:lastRenderedPageBreak/>
        <w:t>“The right to determine the appropriate use of the land to which an aboriginal nation holds title is inextricably bound up with that titl</w:t>
      </w:r>
      <w:r w:rsidR="00FE464C">
        <w:rPr>
          <w:rFonts w:cs="Times New Roman"/>
          <w:bCs/>
        </w:rPr>
        <w:t>e. First, it is “aboriginal law”</w:t>
      </w:r>
      <w:r w:rsidRPr="00A87460">
        <w:rPr>
          <w:rFonts w:cs="Times New Roman"/>
          <w:bCs/>
        </w:rPr>
        <w:t xml:space="preserve"> which is part of the source of aboriginal title. Second, the right to decide how to use that land is also a part of the right.”</w:t>
      </w:r>
      <w:r w:rsidRPr="00A87460">
        <w:rPr>
          <w:rStyle w:val="FootnoteReference"/>
          <w:rFonts w:cs="Times New Roman"/>
          <w:bCs/>
        </w:rPr>
        <w:footnoteReference w:id="7"/>
      </w:r>
    </w:p>
    <w:p w14:paraId="7A3DFE43" w14:textId="77777777" w:rsidR="00152E8B" w:rsidRPr="00EE5D62" w:rsidRDefault="00EE5D62" w:rsidP="00EE5D62">
      <w:pPr>
        <w:spacing w:line="360" w:lineRule="auto"/>
        <w:jc w:val="both"/>
        <w:rPr>
          <w:b/>
          <w:szCs w:val="24"/>
        </w:rPr>
      </w:pPr>
      <w:r w:rsidRPr="00EE5D62">
        <w:rPr>
          <w:b/>
          <w:szCs w:val="24"/>
        </w:rPr>
        <w:t>Limits on reversal</w:t>
      </w:r>
    </w:p>
    <w:p w14:paraId="375059D6" w14:textId="77777777" w:rsidR="00FE464C" w:rsidRDefault="00152E8B" w:rsidP="00EE5D62">
      <w:pPr>
        <w:spacing w:line="360" w:lineRule="auto"/>
        <w:jc w:val="both"/>
        <w:rPr>
          <w:rFonts w:cs="Times New Roman"/>
          <w:bCs/>
          <w:szCs w:val="24"/>
        </w:rPr>
      </w:pPr>
      <w:r w:rsidRPr="00EE5D62">
        <w:rPr>
          <w:rFonts w:cs="Times New Roman"/>
          <w:bCs/>
          <w:szCs w:val="24"/>
        </w:rPr>
        <w:t>If greater jurisdiction is accorded to aboriginal and Torres Strait</w:t>
      </w:r>
      <w:r w:rsidR="00F272C9">
        <w:rPr>
          <w:rFonts w:cs="Times New Roman"/>
          <w:bCs/>
          <w:szCs w:val="24"/>
        </w:rPr>
        <w:t xml:space="preserve"> I</w:t>
      </w:r>
      <w:r w:rsidRPr="00EE5D62">
        <w:rPr>
          <w:rFonts w:cs="Times New Roman"/>
          <w:bCs/>
          <w:szCs w:val="24"/>
        </w:rPr>
        <w:t>slander people to</w:t>
      </w:r>
      <w:r w:rsidR="00D90B0D">
        <w:rPr>
          <w:rFonts w:cs="Times New Roman"/>
          <w:bCs/>
          <w:szCs w:val="24"/>
        </w:rPr>
        <w:t xml:space="preserve"> govern themselves with respect to </w:t>
      </w:r>
      <w:r w:rsidRPr="00EE5D62">
        <w:rPr>
          <w:rFonts w:cs="Times New Roman"/>
          <w:bCs/>
          <w:szCs w:val="24"/>
        </w:rPr>
        <w:t>their laws a</w:t>
      </w:r>
      <w:r w:rsidR="00944C16">
        <w:rPr>
          <w:rFonts w:cs="Times New Roman"/>
          <w:bCs/>
          <w:szCs w:val="24"/>
        </w:rPr>
        <w:t>n</w:t>
      </w:r>
      <w:r w:rsidRPr="00EE5D62">
        <w:rPr>
          <w:rFonts w:cs="Times New Roman"/>
          <w:bCs/>
          <w:szCs w:val="24"/>
        </w:rPr>
        <w:t>d customs then how far courts and governments</w:t>
      </w:r>
      <w:r w:rsidR="00944C16">
        <w:rPr>
          <w:rFonts w:cs="Times New Roman"/>
          <w:bCs/>
          <w:szCs w:val="24"/>
        </w:rPr>
        <w:t xml:space="preserve"> would </w:t>
      </w:r>
      <w:r w:rsidR="00FE464C">
        <w:rPr>
          <w:rFonts w:cs="Times New Roman"/>
          <w:bCs/>
          <w:szCs w:val="24"/>
        </w:rPr>
        <w:t xml:space="preserve">allow </w:t>
      </w:r>
      <w:r w:rsidR="00FE464C" w:rsidRPr="00EE5D62">
        <w:rPr>
          <w:rFonts w:cs="Times New Roman"/>
          <w:bCs/>
          <w:szCs w:val="24"/>
        </w:rPr>
        <w:t>it</w:t>
      </w:r>
      <w:r w:rsidRPr="00EE5D62">
        <w:rPr>
          <w:rFonts w:cs="Times New Roman"/>
          <w:bCs/>
          <w:szCs w:val="24"/>
        </w:rPr>
        <w:t xml:space="preserve"> </w:t>
      </w:r>
      <w:r w:rsidR="00F272C9">
        <w:rPr>
          <w:rFonts w:cs="Times New Roman"/>
          <w:bCs/>
          <w:szCs w:val="24"/>
        </w:rPr>
        <w:t xml:space="preserve">to </w:t>
      </w:r>
      <w:r w:rsidR="00D90B0D">
        <w:rPr>
          <w:rFonts w:cs="Times New Roman"/>
          <w:bCs/>
          <w:szCs w:val="24"/>
        </w:rPr>
        <w:t>digress</w:t>
      </w:r>
      <w:r w:rsidRPr="00EE5D62">
        <w:rPr>
          <w:rFonts w:cs="Times New Roman"/>
          <w:bCs/>
          <w:szCs w:val="24"/>
        </w:rPr>
        <w:t xml:space="preserve"> from western norms. It will be subjected to the constitutional framework and other political norms of the particular country. There will be conflicts between the liberal principles and aboriginal practise however not always in terms of a zero-sum game. But the Aboriginal law cannot be presume</w:t>
      </w:r>
      <w:r w:rsidR="00F272C9">
        <w:rPr>
          <w:rFonts w:cs="Times New Roman"/>
          <w:bCs/>
          <w:szCs w:val="24"/>
        </w:rPr>
        <w:t xml:space="preserve">d to be necessarily varied </w:t>
      </w:r>
      <w:r w:rsidRPr="00EE5D62">
        <w:rPr>
          <w:rFonts w:cs="Times New Roman"/>
          <w:bCs/>
          <w:szCs w:val="24"/>
        </w:rPr>
        <w:t xml:space="preserve">because </w:t>
      </w:r>
      <w:r w:rsidR="00A87460" w:rsidRPr="00EE5D62">
        <w:rPr>
          <w:rFonts w:cs="Times New Roman"/>
          <w:bCs/>
          <w:szCs w:val="24"/>
        </w:rPr>
        <w:t xml:space="preserve">fundamentally </w:t>
      </w:r>
      <w:r w:rsidR="00A87460">
        <w:rPr>
          <w:rFonts w:cs="Times New Roman"/>
          <w:bCs/>
          <w:szCs w:val="24"/>
        </w:rPr>
        <w:t>opposed</w:t>
      </w:r>
      <w:r w:rsidRPr="00EE5D62">
        <w:rPr>
          <w:rFonts w:cs="Times New Roman"/>
          <w:bCs/>
          <w:szCs w:val="24"/>
        </w:rPr>
        <w:t xml:space="preserve"> to civil, and political rights. Therefore, the defiance is to establish how the customary international law and Australian la</w:t>
      </w:r>
      <w:r w:rsidR="00F272C9">
        <w:rPr>
          <w:rFonts w:cs="Times New Roman"/>
          <w:bCs/>
          <w:szCs w:val="24"/>
        </w:rPr>
        <w:t>w</w:t>
      </w:r>
      <w:r w:rsidR="00D90B0D">
        <w:rPr>
          <w:rFonts w:cs="Times New Roman"/>
          <w:bCs/>
          <w:szCs w:val="24"/>
        </w:rPr>
        <w:t xml:space="preserve"> can best work with </w:t>
      </w:r>
      <w:r w:rsidRPr="00EE5D62">
        <w:rPr>
          <w:rFonts w:cs="Times New Roman"/>
          <w:bCs/>
          <w:szCs w:val="24"/>
        </w:rPr>
        <w:t>each other</w:t>
      </w:r>
      <w:r w:rsidR="00FE464C">
        <w:rPr>
          <w:rFonts w:cs="Times New Roman"/>
          <w:bCs/>
          <w:szCs w:val="24"/>
        </w:rPr>
        <w:t xml:space="preserve"> equally </w:t>
      </w:r>
      <w:r w:rsidRPr="00EE5D62">
        <w:rPr>
          <w:rFonts w:cs="Times New Roman"/>
          <w:bCs/>
          <w:szCs w:val="24"/>
        </w:rPr>
        <w:t xml:space="preserve">given the multiplex situations in which Aboriginal people find themselves in </w:t>
      </w:r>
      <w:r w:rsidR="00F272C9">
        <w:rPr>
          <w:rFonts w:cs="Times New Roman"/>
          <w:bCs/>
          <w:szCs w:val="24"/>
        </w:rPr>
        <w:t xml:space="preserve">a </w:t>
      </w:r>
      <w:r w:rsidRPr="00EE5D62">
        <w:rPr>
          <w:rFonts w:cs="Times New Roman"/>
          <w:bCs/>
          <w:szCs w:val="24"/>
        </w:rPr>
        <w:t xml:space="preserve">liberal constitutional state. </w:t>
      </w:r>
    </w:p>
    <w:p w14:paraId="20932635" w14:textId="77777777" w:rsidR="00152E8B" w:rsidRPr="00EE5D62" w:rsidRDefault="00152E8B" w:rsidP="00EE5D62">
      <w:pPr>
        <w:spacing w:line="360" w:lineRule="auto"/>
        <w:jc w:val="both"/>
        <w:rPr>
          <w:rFonts w:cs="Times New Roman"/>
          <w:bCs/>
          <w:szCs w:val="24"/>
        </w:rPr>
      </w:pPr>
      <w:r w:rsidRPr="00EE5D62">
        <w:rPr>
          <w:rFonts w:cs="Times New Roman"/>
          <w:bCs/>
          <w:szCs w:val="24"/>
        </w:rPr>
        <w:t xml:space="preserve">In the landmark case of </w:t>
      </w:r>
      <w:r w:rsidRPr="00FE464C">
        <w:rPr>
          <w:rFonts w:cs="Times New Roman"/>
          <w:bCs/>
          <w:i/>
          <w:szCs w:val="24"/>
        </w:rPr>
        <w:t>Mabo vs. Queen of Queensland (No. 2)</w:t>
      </w:r>
      <w:r w:rsidRPr="00FE464C">
        <w:rPr>
          <w:rStyle w:val="FootnoteReference"/>
          <w:rFonts w:cs="Times New Roman"/>
          <w:bCs/>
          <w:i/>
          <w:szCs w:val="24"/>
        </w:rPr>
        <w:footnoteReference w:id="8"/>
      </w:r>
      <w:r w:rsidRPr="00FE464C">
        <w:rPr>
          <w:rFonts w:cs="Times New Roman"/>
          <w:bCs/>
          <w:i/>
          <w:szCs w:val="24"/>
        </w:rPr>
        <w:t xml:space="preserve">, </w:t>
      </w:r>
      <w:r w:rsidRPr="00EE5D62">
        <w:rPr>
          <w:rFonts w:cs="Times New Roman"/>
          <w:bCs/>
          <w:szCs w:val="24"/>
        </w:rPr>
        <w:t>the majority held that the people of the Murray Islands retained native title to their land which was not extinguished by the annexation of the Islands to the colony of Queensland in 18</w:t>
      </w:r>
      <w:r w:rsidR="00D90B0D">
        <w:rPr>
          <w:rFonts w:cs="Times New Roman"/>
          <w:bCs/>
          <w:szCs w:val="24"/>
        </w:rPr>
        <w:t xml:space="preserve">97, nor by succeeding </w:t>
      </w:r>
      <w:r w:rsidRPr="00EE5D62">
        <w:rPr>
          <w:rFonts w:cs="Times New Roman"/>
          <w:bCs/>
          <w:szCs w:val="24"/>
        </w:rPr>
        <w:t xml:space="preserve">legislation. The court in this case abandoned the previously regulated doctrine of </w:t>
      </w:r>
      <w:r w:rsidRPr="00FE464C">
        <w:rPr>
          <w:rFonts w:cs="Times New Roman"/>
          <w:bCs/>
          <w:i/>
          <w:szCs w:val="24"/>
        </w:rPr>
        <w:t>terra nullius</w:t>
      </w:r>
      <w:r w:rsidRPr="00EE5D62">
        <w:rPr>
          <w:rFonts w:cs="Times New Roman"/>
          <w:bCs/>
          <w:szCs w:val="24"/>
        </w:rPr>
        <w:t xml:space="preserve"> which enabled English colonisers to apply the laws of England to newly settled areas where there was not a recognizable set of laws already in place. This doctrine assumed that the territory was</w:t>
      </w:r>
      <w:r w:rsidR="00F272C9">
        <w:rPr>
          <w:rFonts w:cs="Times New Roman"/>
          <w:bCs/>
          <w:szCs w:val="24"/>
        </w:rPr>
        <w:t xml:space="preserve"> </w:t>
      </w:r>
      <w:r w:rsidRPr="00EE5D62">
        <w:rPr>
          <w:rFonts w:cs="Times New Roman"/>
          <w:bCs/>
          <w:szCs w:val="24"/>
        </w:rPr>
        <w:t>empty before their arrival which the court rejected the claim that the acquisition of sovereignty by the Crown made it universals and absolute beneficial owner of all land Justice Breen man opined that</w:t>
      </w:r>
      <w:r w:rsidR="00944C16">
        <w:rPr>
          <w:rFonts w:cs="Times New Roman"/>
          <w:bCs/>
          <w:szCs w:val="24"/>
        </w:rPr>
        <w:t xml:space="preserve"> if it was true then Aboriginal</w:t>
      </w:r>
      <w:r w:rsidRPr="00EE5D62">
        <w:rPr>
          <w:rFonts w:cs="Times New Roman"/>
          <w:bCs/>
          <w:szCs w:val="24"/>
        </w:rPr>
        <w:t xml:space="preserve"> people would be made ‘intruders in their own homes’. The court opined that such a law is unjust and its claim to be </w:t>
      </w:r>
      <w:r w:rsidR="00F272C9">
        <w:rPr>
          <w:rFonts w:cs="Times New Roman"/>
          <w:bCs/>
          <w:szCs w:val="24"/>
        </w:rPr>
        <w:t xml:space="preserve">a </w:t>
      </w:r>
      <w:r w:rsidRPr="00EE5D62">
        <w:rPr>
          <w:rFonts w:cs="Times New Roman"/>
          <w:bCs/>
          <w:szCs w:val="24"/>
        </w:rPr>
        <w:t>party of the common law to be applied in contemporary Australia must be questioned.</w:t>
      </w:r>
    </w:p>
    <w:p w14:paraId="482D9353" w14:textId="77777777" w:rsidR="00EE5D62" w:rsidRPr="00EE5D62" w:rsidRDefault="00152E8B" w:rsidP="00EE5D62">
      <w:pPr>
        <w:spacing w:line="360" w:lineRule="auto"/>
        <w:jc w:val="both"/>
        <w:rPr>
          <w:rFonts w:cs="Times New Roman"/>
          <w:bCs/>
          <w:szCs w:val="24"/>
        </w:rPr>
      </w:pPr>
      <w:r w:rsidRPr="00EE5D62">
        <w:rPr>
          <w:rFonts w:cs="Times New Roman"/>
          <w:bCs/>
          <w:szCs w:val="24"/>
        </w:rPr>
        <w:t>Aboriginal rights and interests were not ‘stripped away’ by the common law at the point o</w:t>
      </w:r>
      <w:r w:rsidR="00F272C9">
        <w:rPr>
          <w:rFonts w:cs="Times New Roman"/>
          <w:bCs/>
          <w:szCs w:val="24"/>
        </w:rPr>
        <w:t xml:space="preserve">f settlement </w:t>
      </w:r>
      <w:r w:rsidRPr="00EE5D62">
        <w:rPr>
          <w:rFonts w:cs="Times New Roman"/>
          <w:bCs/>
          <w:szCs w:val="24"/>
        </w:rPr>
        <w:t xml:space="preserve">but through the acts of sovereign governments. </w:t>
      </w:r>
      <w:r w:rsidRPr="00EE5D62">
        <w:rPr>
          <w:rStyle w:val="FootnoteReference"/>
          <w:rFonts w:cs="Times New Roman"/>
          <w:bCs/>
          <w:szCs w:val="24"/>
        </w:rPr>
        <w:footnoteReference w:id="9"/>
      </w:r>
      <w:r w:rsidRPr="00EE5D62">
        <w:rPr>
          <w:rFonts w:cs="Times New Roman"/>
          <w:bCs/>
          <w:szCs w:val="24"/>
        </w:rPr>
        <w:t xml:space="preserve"> Extinguishment also occurs when </w:t>
      </w:r>
      <w:r w:rsidRPr="00EE5D62">
        <w:rPr>
          <w:rFonts w:cs="Times New Roman"/>
          <w:bCs/>
          <w:szCs w:val="24"/>
        </w:rPr>
        <w:lastRenderedPageBreak/>
        <w:t>there has been a loss of connection with and, whether by actual separation or the abandonment of customary laws.</w:t>
      </w:r>
    </w:p>
    <w:p w14:paraId="1779A95A" w14:textId="77777777" w:rsidR="00A87460" w:rsidRDefault="00F51BF9" w:rsidP="009D0D8E">
      <w:pPr>
        <w:spacing w:line="360" w:lineRule="auto"/>
        <w:jc w:val="both"/>
        <w:rPr>
          <w:b/>
          <w:szCs w:val="24"/>
        </w:rPr>
      </w:pPr>
      <w:r w:rsidRPr="00EE5D62">
        <w:rPr>
          <w:b/>
          <w:szCs w:val="24"/>
        </w:rPr>
        <w:t xml:space="preserve">Implications of </w:t>
      </w:r>
      <w:r w:rsidR="00F272C9">
        <w:rPr>
          <w:b/>
          <w:szCs w:val="24"/>
        </w:rPr>
        <w:t xml:space="preserve">the </w:t>
      </w:r>
      <w:r w:rsidRPr="00EE5D62">
        <w:rPr>
          <w:b/>
          <w:szCs w:val="24"/>
        </w:rPr>
        <w:t>Australian government</w:t>
      </w:r>
      <w:r w:rsidR="00A967C6">
        <w:rPr>
          <w:b/>
          <w:szCs w:val="24"/>
        </w:rPr>
        <w:t xml:space="preserve">al system </w:t>
      </w:r>
    </w:p>
    <w:p w14:paraId="31629F23" w14:textId="77777777" w:rsidR="00FE464C" w:rsidRDefault="00A87460" w:rsidP="009D0D8E">
      <w:pPr>
        <w:spacing w:line="360" w:lineRule="auto"/>
        <w:jc w:val="both"/>
        <w:rPr>
          <w:b/>
          <w:szCs w:val="24"/>
        </w:rPr>
      </w:pPr>
      <w:r w:rsidRPr="00A87460">
        <w:rPr>
          <w:rFonts w:cs="Times New Roman"/>
          <w:bCs/>
        </w:rPr>
        <w:t>In the 1980s the Australian Law Reform Commission (ALRC) formally considered the possibility of including Indigenous forms of governance in the recognition of what was then described as Aboriginal customary law.</w:t>
      </w:r>
      <w:r w:rsidRPr="00A87460">
        <w:rPr>
          <w:rStyle w:val="FootnoteReference"/>
          <w:rFonts w:cs="Times New Roman"/>
          <w:bCs/>
        </w:rPr>
        <w:footnoteReference w:id="10"/>
      </w:r>
    </w:p>
    <w:p w14:paraId="2F7FD975" w14:textId="77777777" w:rsidR="009D0D8E" w:rsidRPr="00AC2A87" w:rsidRDefault="009D0D8E" w:rsidP="009D0D8E">
      <w:pPr>
        <w:spacing w:line="360" w:lineRule="auto"/>
        <w:jc w:val="both"/>
        <w:rPr>
          <w:rFonts w:cs="Times New Roman"/>
          <w:bCs/>
        </w:rPr>
      </w:pPr>
      <w:r w:rsidRPr="00A87460">
        <w:rPr>
          <w:rFonts w:cs="Times New Roman"/>
          <w:bCs/>
        </w:rPr>
        <w:t>Treaties and customary</w:t>
      </w:r>
      <w:r w:rsidR="00D90B0D">
        <w:rPr>
          <w:rFonts w:cs="Times New Roman"/>
          <w:bCs/>
        </w:rPr>
        <w:t xml:space="preserve"> international</w:t>
      </w:r>
      <w:r w:rsidRPr="00A87460">
        <w:rPr>
          <w:rFonts w:cs="Times New Roman"/>
          <w:bCs/>
        </w:rPr>
        <w:t xml:space="preserve"> l</w:t>
      </w:r>
      <w:r w:rsidR="00D90B0D">
        <w:rPr>
          <w:rFonts w:cs="Times New Roman"/>
          <w:bCs/>
        </w:rPr>
        <w:t>aw impose legal obligations on S</w:t>
      </w:r>
      <w:r w:rsidRPr="00A87460">
        <w:rPr>
          <w:rFonts w:cs="Times New Roman"/>
          <w:bCs/>
        </w:rPr>
        <w:t>tate parties. The Council for Abori</w:t>
      </w:r>
      <w:r w:rsidR="00D90B0D">
        <w:rPr>
          <w:rFonts w:cs="Times New Roman"/>
          <w:bCs/>
        </w:rPr>
        <w:t xml:space="preserve">ginal Reconciliation advocated that </w:t>
      </w:r>
      <w:r w:rsidRPr="00A87460">
        <w:rPr>
          <w:rFonts w:cs="Times New Roman"/>
          <w:bCs/>
        </w:rPr>
        <w:t>the Commonwealth Parliament enacted legislation to put in place a process that will unite all Australians by way of an agreement, or treaty, through which unresolved issues of reconciliation can be resolved.</w:t>
      </w:r>
      <w:r w:rsidRPr="00A87460">
        <w:rPr>
          <w:rStyle w:val="FootnoteReference"/>
          <w:rFonts w:cs="Times New Roman"/>
          <w:bCs/>
        </w:rPr>
        <w:footnoteReference w:id="11"/>
      </w:r>
    </w:p>
    <w:p w14:paraId="56C62BE1" w14:textId="77777777" w:rsidR="009D0D8E" w:rsidRPr="00A87460" w:rsidRDefault="009D0D8E" w:rsidP="009D0D8E">
      <w:pPr>
        <w:spacing w:line="360" w:lineRule="auto"/>
        <w:jc w:val="both"/>
        <w:rPr>
          <w:rFonts w:cs="Times New Roman"/>
          <w:bCs/>
        </w:rPr>
      </w:pPr>
      <w:r w:rsidRPr="00A87460">
        <w:rPr>
          <w:rFonts w:cs="Times New Roman"/>
          <w:bCs/>
        </w:rPr>
        <w:t xml:space="preserve">In 1991, </w:t>
      </w:r>
      <w:r w:rsidR="00D90B0D">
        <w:rPr>
          <w:rFonts w:cs="Times New Roman"/>
          <w:bCs/>
        </w:rPr>
        <w:t xml:space="preserve">the doctrine of </w:t>
      </w:r>
      <w:r w:rsidRPr="00D90B0D">
        <w:rPr>
          <w:rFonts w:cs="Times New Roman"/>
          <w:bCs/>
          <w:i/>
        </w:rPr>
        <w:t>terra nullius</w:t>
      </w:r>
      <w:r w:rsidRPr="00A87460">
        <w:rPr>
          <w:rFonts w:cs="Times New Roman"/>
          <w:bCs/>
        </w:rPr>
        <w:t xml:space="preserve"> </w:t>
      </w:r>
      <w:r w:rsidR="00D90B0D">
        <w:rPr>
          <w:rFonts w:cs="Times New Roman"/>
          <w:bCs/>
        </w:rPr>
        <w:t xml:space="preserve">was recognized </w:t>
      </w:r>
      <w:r w:rsidRPr="00A87460">
        <w:rPr>
          <w:rFonts w:cs="Times New Roman"/>
          <w:bCs/>
        </w:rPr>
        <w:t xml:space="preserve">when the Crown assumed sovereignty over </w:t>
      </w:r>
      <w:r w:rsidR="00F272C9">
        <w:rPr>
          <w:rFonts w:cs="Times New Roman"/>
          <w:bCs/>
        </w:rPr>
        <w:t xml:space="preserve">the </w:t>
      </w:r>
      <w:r w:rsidRPr="00A87460">
        <w:rPr>
          <w:rFonts w:cs="Times New Roman"/>
          <w:bCs/>
        </w:rPr>
        <w:t>land in Australia. Australia has a fed</w:t>
      </w:r>
      <w:r w:rsidR="00D90B0D">
        <w:rPr>
          <w:rFonts w:cs="Times New Roman"/>
          <w:bCs/>
        </w:rPr>
        <w:t xml:space="preserve">eral system of government having a </w:t>
      </w:r>
      <w:r w:rsidRPr="00A87460">
        <w:rPr>
          <w:rFonts w:cs="Times New Roman"/>
          <w:bCs/>
        </w:rPr>
        <w:t>written Constitution in which the legislative p</w:t>
      </w:r>
      <w:r w:rsidR="00A967C6">
        <w:rPr>
          <w:rFonts w:cs="Times New Roman"/>
          <w:bCs/>
        </w:rPr>
        <w:t xml:space="preserve">owers of the federal parliament </w:t>
      </w:r>
      <w:r w:rsidR="00D90B0D">
        <w:rPr>
          <w:rFonts w:cs="Times New Roman"/>
          <w:bCs/>
        </w:rPr>
        <w:t>are mentioned.</w:t>
      </w:r>
      <w:r w:rsidRPr="00A87460">
        <w:rPr>
          <w:rFonts w:cs="Times New Roman"/>
          <w:bCs/>
        </w:rPr>
        <w:t xml:space="preserve"> In the case of </w:t>
      </w:r>
      <w:proofErr w:type="spellStart"/>
      <w:r w:rsidRPr="00FE464C">
        <w:rPr>
          <w:rFonts w:cs="Times New Roman"/>
          <w:bCs/>
          <w:i/>
        </w:rPr>
        <w:t>Koowarta</w:t>
      </w:r>
      <w:proofErr w:type="spellEnd"/>
      <w:r w:rsidRPr="00FE464C">
        <w:rPr>
          <w:rFonts w:cs="Times New Roman"/>
          <w:bCs/>
          <w:i/>
        </w:rPr>
        <w:t xml:space="preserve"> v </w:t>
      </w:r>
      <w:proofErr w:type="spellStart"/>
      <w:r w:rsidRPr="00FE464C">
        <w:rPr>
          <w:rFonts w:cs="Times New Roman"/>
          <w:bCs/>
          <w:i/>
        </w:rPr>
        <w:t>Bjelke</w:t>
      </w:r>
      <w:proofErr w:type="spellEnd"/>
      <w:r w:rsidRPr="00FE464C">
        <w:rPr>
          <w:rFonts w:cs="Times New Roman"/>
          <w:bCs/>
          <w:i/>
        </w:rPr>
        <w:t>-Peterson</w:t>
      </w:r>
      <w:r w:rsidRPr="00A87460">
        <w:rPr>
          <w:rFonts w:cs="Times New Roman"/>
          <w:bCs/>
        </w:rPr>
        <w:t>,</w:t>
      </w:r>
      <w:r w:rsidRPr="00A87460">
        <w:rPr>
          <w:rStyle w:val="FootnoteReference"/>
          <w:rFonts w:cs="Times New Roman"/>
          <w:bCs/>
        </w:rPr>
        <w:footnoteReference w:id="12"/>
      </w:r>
      <w:r w:rsidRPr="00A87460">
        <w:rPr>
          <w:rFonts w:cs="Times New Roman"/>
          <w:bCs/>
        </w:rPr>
        <w:t xml:space="preserve"> the Racial Discrimination Act 1975 was held to be a valid exercise of the external affairs power. </w:t>
      </w:r>
    </w:p>
    <w:p w14:paraId="0B8E306E" w14:textId="77777777" w:rsidR="009D0D8E" w:rsidRPr="00A87460" w:rsidRDefault="009D0D8E" w:rsidP="009D0D8E">
      <w:pPr>
        <w:spacing w:line="360" w:lineRule="auto"/>
        <w:jc w:val="both"/>
        <w:rPr>
          <w:rFonts w:cs="Times New Roman"/>
          <w:bCs/>
        </w:rPr>
      </w:pPr>
      <w:r w:rsidRPr="00A87460">
        <w:rPr>
          <w:rFonts w:cs="Times New Roman"/>
          <w:bCs/>
        </w:rPr>
        <w:t>If the people of Aboriginal and Torres Islands held sovereign title to their traditional lands, then their territory could be validly acquired only after obtaining the consent of the people or their sovereign. However, no treaties were concluded between the acquiring imperial or colonial</w:t>
      </w:r>
      <w:r w:rsidR="00F272C9">
        <w:rPr>
          <w:rFonts w:cs="Times New Roman"/>
          <w:bCs/>
        </w:rPr>
        <w:t xml:space="preserve"> powers and many of the subjects </w:t>
      </w:r>
      <w:r w:rsidRPr="00A87460">
        <w:rPr>
          <w:rFonts w:cs="Times New Roman"/>
          <w:bCs/>
        </w:rPr>
        <w:t>disposed</w:t>
      </w:r>
      <w:r w:rsidR="00F272C9">
        <w:rPr>
          <w:rFonts w:cs="Times New Roman"/>
          <w:bCs/>
        </w:rPr>
        <w:t xml:space="preserve"> of</w:t>
      </w:r>
      <w:r w:rsidRPr="00A87460">
        <w:rPr>
          <w:rFonts w:cs="Times New Roman"/>
          <w:bCs/>
        </w:rPr>
        <w:t xml:space="preserve"> Aboriginal and Torres Island people. If the treaty was not concluded between the legitimate representatives of the relevant Aboriginal Nation, the agreement would not be more than a private contract and therefore, could not effectively cede sovereign rights.</w:t>
      </w:r>
      <w:r w:rsidRPr="00A87460">
        <w:rPr>
          <w:rStyle w:val="FootnoteReference"/>
          <w:rFonts w:cs="Times New Roman"/>
          <w:bCs/>
        </w:rPr>
        <w:footnoteReference w:id="13"/>
      </w:r>
      <w:r w:rsidRPr="00A87460">
        <w:rPr>
          <w:rFonts w:cs="Times New Roman"/>
          <w:bCs/>
        </w:rPr>
        <w:t xml:space="preserve"> However, if the Aboriginal Nation’s sovereign status was legally recognized and the agreement concluded with the appropriate sovereign representative the agreement could be regarded as an international treaty</w:t>
      </w:r>
      <w:r w:rsidRPr="00A87460">
        <w:rPr>
          <w:rStyle w:val="FootnoteReference"/>
          <w:rFonts w:cs="Times New Roman"/>
          <w:bCs/>
        </w:rPr>
        <w:footnoteReference w:id="14"/>
      </w:r>
      <w:r w:rsidRPr="00A87460">
        <w:rPr>
          <w:rFonts w:cs="Times New Roman"/>
          <w:bCs/>
        </w:rPr>
        <w:t xml:space="preserve"> evidencing the transfer of sovereign title to the subject lands.  </w:t>
      </w:r>
    </w:p>
    <w:p w14:paraId="68E4AFB2" w14:textId="77777777" w:rsidR="009D0D8E" w:rsidRPr="00A87460" w:rsidRDefault="009D0D8E" w:rsidP="009D0D8E">
      <w:pPr>
        <w:spacing w:line="360" w:lineRule="auto"/>
        <w:jc w:val="both"/>
        <w:rPr>
          <w:rFonts w:cs="Times New Roman"/>
          <w:bCs/>
        </w:rPr>
      </w:pPr>
      <w:r w:rsidRPr="00A87460">
        <w:rPr>
          <w:rFonts w:cs="Times New Roman"/>
          <w:bCs/>
        </w:rPr>
        <w:lastRenderedPageBreak/>
        <w:t>The purpose of most of the treaties between the Crown and North American Aboriginal Peoples was to preserve Aboriginal self-government instead of ceding the sovereignty</w:t>
      </w:r>
      <w:r w:rsidR="00F272C9">
        <w:rPr>
          <w:rFonts w:cs="Times New Roman"/>
          <w:bCs/>
        </w:rPr>
        <w:t>. The United N</w:t>
      </w:r>
      <w:r w:rsidRPr="00A87460">
        <w:rPr>
          <w:rFonts w:cs="Times New Roman"/>
          <w:bCs/>
        </w:rPr>
        <w:t>ations Working Group on Indigenous Populations views that these treaties between the states and Aboriginal and Torres island peoples r</w:t>
      </w:r>
      <w:r w:rsidR="003F342E">
        <w:rPr>
          <w:rFonts w:cs="Times New Roman"/>
          <w:bCs/>
        </w:rPr>
        <w:t>ecognize and effectively protect</w:t>
      </w:r>
      <w:r w:rsidRPr="00A87460">
        <w:rPr>
          <w:rFonts w:cs="Times New Roman"/>
          <w:bCs/>
        </w:rPr>
        <w:t xml:space="preserve"> Aboriginal rights of self-government and self-determination and even if these treaties do not in</w:t>
      </w:r>
      <w:r w:rsidR="003F342E">
        <w:rPr>
          <w:rFonts w:cs="Times New Roman"/>
          <w:bCs/>
        </w:rPr>
        <w:t xml:space="preserve"> themselves effectively protect</w:t>
      </w:r>
      <w:r w:rsidRPr="00A87460">
        <w:rPr>
          <w:rFonts w:cs="Times New Roman"/>
          <w:bCs/>
        </w:rPr>
        <w:t xml:space="preserve"> aboriginal sovereignty, in the truancy of a formal cessio</w:t>
      </w:r>
      <w:r w:rsidR="003F342E">
        <w:rPr>
          <w:rFonts w:cs="Times New Roman"/>
          <w:bCs/>
        </w:rPr>
        <w:t>n, again, they would not furnish</w:t>
      </w:r>
      <w:r w:rsidRPr="00A87460">
        <w:rPr>
          <w:rFonts w:cs="Times New Roman"/>
          <w:bCs/>
        </w:rPr>
        <w:t xml:space="preserve"> a source of a derivative sovereign title. </w:t>
      </w:r>
    </w:p>
    <w:p w14:paraId="2835214C" w14:textId="77777777" w:rsidR="00F51BF9" w:rsidRPr="00EE5D62" w:rsidRDefault="00F51BF9" w:rsidP="00EE5D62">
      <w:pPr>
        <w:spacing w:line="360" w:lineRule="auto"/>
        <w:jc w:val="both"/>
        <w:rPr>
          <w:rFonts w:cs="Times New Roman"/>
          <w:b/>
          <w:bCs/>
          <w:szCs w:val="24"/>
        </w:rPr>
      </w:pPr>
    </w:p>
    <w:p w14:paraId="194B2E17" w14:textId="77777777" w:rsidR="00F51BF9" w:rsidRPr="00EE5D62" w:rsidRDefault="00F51BF9" w:rsidP="00EE5D62">
      <w:pPr>
        <w:spacing w:line="360" w:lineRule="auto"/>
        <w:jc w:val="both"/>
        <w:rPr>
          <w:b/>
          <w:szCs w:val="24"/>
        </w:rPr>
      </w:pPr>
      <w:r w:rsidRPr="00EE5D62">
        <w:rPr>
          <w:b/>
          <w:szCs w:val="24"/>
        </w:rPr>
        <w:t>Rule of law</w:t>
      </w:r>
    </w:p>
    <w:p w14:paraId="7433D4C9" w14:textId="77777777" w:rsidR="00152E8B" w:rsidRPr="00EE5D62" w:rsidRDefault="00152E8B" w:rsidP="00EE5D62">
      <w:pPr>
        <w:spacing w:line="360" w:lineRule="auto"/>
        <w:jc w:val="both"/>
        <w:rPr>
          <w:rFonts w:cs="Times New Roman"/>
          <w:bCs/>
          <w:szCs w:val="24"/>
        </w:rPr>
      </w:pPr>
      <w:r w:rsidRPr="00EE5D62">
        <w:rPr>
          <w:rFonts w:cs="Times New Roman"/>
          <w:bCs/>
          <w:szCs w:val="24"/>
        </w:rPr>
        <w:t xml:space="preserve">The rule of law entails that governments and citizens are governed by laws </w:t>
      </w:r>
      <w:r w:rsidR="00F272C9">
        <w:rPr>
          <w:rFonts w:cs="Times New Roman"/>
          <w:bCs/>
          <w:szCs w:val="24"/>
        </w:rPr>
        <w:t>that are</w:t>
      </w:r>
      <w:r w:rsidRPr="00EE5D62">
        <w:rPr>
          <w:rFonts w:cs="Times New Roman"/>
          <w:bCs/>
          <w:szCs w:val="24"/>
        </w:rPr>
        <w:t xml:space="preserve"> general and it excludes arbitrary exercise </w:t>
      </w:r>
      <w:r w:rsidR="00F272C9">
        <w:rPr>
          <w:rFonts w:cs="Times New Roman"/>
          <w:bCs/>
          <w:szCs w:val="24"/>
        </w:rPr>
        <w:t xml:space="preserve">of </w:t>
      </w:r>
      <w:r w:rsidRPr="00EE5D62">
        <w:rPr>
          <w:rFonts w:cs="Times New Roman"/>
          <w:bCs/>
          <w:szCs w:val="24"/>
        </w:rPr>
        <w:t>power and discretionary privileges over rights. Aborigi</w:t>
      </w:r>
      <w:r w:rsidR="00944C16">
        <w:rPr>
          <w:rFonts w:cs="Times New Roman"/>
          <w:bCs/>
          <w:szCs w:val="24"/>
        </w:rPr>
        <w:t>nal communities and Torres Strait</w:t>
      </w:r>
      <w:r w:rsidRPr="00EE5D62">
        <w:rPr>
          <w:rFonts w:cs="Times New Roman"/>
          <w:bCs/>
          <w:szCs w:val="24"/>
        </w:rPr>
        <w:t xml:space="preserve"> islanders people reserves rights to land as </w:t>
      </w:r>
      <w:r w:rsidR="0085097B">
        <w:rPr>
          <w:rFonts w:cs="Times New Roman"/>
          <w:bCs/>
          <w:szCs w:val="24"/>
        </w:rPr>
        <w:t xml:space="preserve">well as a degree of autonomy with </w:t>
      </w:r>
      <w:r w:rsidRPr="00EE5D62">
        <w:rPr>
          <w:rFonts w:cs="Times New Roman"/>
          <w:bCs/>
          <w:szCs w:val="24"/>
        </w:rPr>
        <w:t xml:space="preserve">the Crown in consonance with the introduced common law as conditioned by the imperial constitutional norms. An averment of sovereignty over a territory does not automatically </w:t>
      </w:r>
      <w:r w:rsidR="00944C16">
        <w:rPr>
          <w:rFonts w:cs="Times New Roman"/>
          <w:bCs/>
          <w:szCs w:val="24"/>
        </w:rPr>
        <w:t>extinguish Aboriginal and Torres Strait</w:t>
      </w:r>
      <w:r w:rsidRPr="00EE5D62">
        <w:rPr>
          <w:rFonts w:cs="Times New Roman"/>
          <w:bCs/>
          <w:szCs w:val="24"/>
        </w:rPr>
        <w:t xml:space="preserve"> </w:t>
      </w:r>
      <w:r w:rsidR="0085097B">
        <w:rPr>
          <w:rFonts w:cs="Times New Roman"/>
          <w:bCs/>
          <w:szCs w:val="24"/>
        </w:rPr>
        <w:t>I</w:t>
      </w:r>
      <w:r w:rsidRPr="00EE5D62">
        <w:rPr>
          <w:rFonts w:cs="Times New Roman"/>
          <w:bCs/>
          <w:szCs w:val="24"/>
        </w:rPr>
        <w:t>slander people’s rights. Specifically</w:t>
      </w:r>
      <w:r w:rsidR="0085097B">
        <w:rPr>
          <w:rFonts w:cs="Times New Roman"/>
          <w:bCs/>
          <w:szCs w:val="24"/>
        </w:rPr>
        <w:t xml:space="preserve">, </w:t>
      </w:r>
      <w:r w:rsidRPr="00EE5D62">
        <w:rPr>
          <w:rFonts w:cs="Times New Roman"/>
          <w:bCs/>
          <w:szCs w:val="24"/>
        </w:rPr>
        <w:t xml:space="preserve">common law recognizes Aboriginal practices and law and also recognizes the alternative source of law. </w:t>
      </w:r>
    </w:p>
    <w:p w14:paraId="03771836" w14:textId="77777777" w:rsidR="00FE464C" w:rsidRDefault="00152E8B" w:rsidP="00EE5D62">
      <w:pPr>
        <w:spacing w:line="360" w:lineRule="auto"/>
        <w:jc w:val="both"/>
        <w:rPr>
          <w:rFonts w:cs="Times New Roman"/>
          <w:bCs/>
          <w:szCs w:val="24"/>
        </w:rPr>
      </w:pPr>
      <w:r w:rsidRPr="00EE5D62">
        <w:rPr>
          <w:rFonts w:cs="Times New Roman"/>
          <w:bCs/>
          <w:szCs w:val="24"/>
        </w:rPr>
        <w:t xml:space="preserve">In the case of </w:t>
      </w:r>
      <w:r w:rsidRPr="00944C16">
        <w:rPr>
          <w:rFonts w:cs="Times New Roman"/>
          <w:bCs/>
          <w:i/>
          <w:szCs w:val="24"/>
        </w:rPr>
        <w:t>Denis Walker vs. State of NSW (1994),</w:t>
      </w:r>
      <w:r w:rsidR="00FE464C">
        <w:rPr>
          <w:rFonts w:cs="Times New Roman"/>
          <w:bCs/>
          <w:szCs w:val="24"/>
        </w:rPr>
        <w:t xml:space="preserve"> Mason CJ opined that:</w:t>
      </w:r>
      <w:r w:rsidRPr="00EE5D62">
        <w:rPr>
          <w:rFonts w:cs="Times New Roman"/>
          <w:bCs/>
          <w:szCs w:val="24"/>
        </w:rPr>
        <w:t xml:space="preserve"> </w:t>
      </w:r>
    </w:p>
    <w:p w14:paraId="0AE88665" w14:textId="77777777" w:rsidR="00152E8B" w:rsidRPr="00EE5D62" w:rsidRDefault="00152E8B" w:rsidP="00FE464C">
      <w:pPr>
        <w:spacing w:line="360" w:lineRule="auto"/>
        <w:ind w:left="567" w:right="567"/>
        <w:jc w:val="both"/>
        <w:rPr>
          <w:rFonts w:cs="Times New Roman"/>
          <w:bCs/>
          <w:szCs w:val="24"/>
        </w:rPr>
      </w:pPr>
      <w:r w:rsidRPr="00EE5D62">
        <w:rPr>
          <w:rFonts w:cs="Times New Roman"/>
          <w:bCs/>
          <w:szCs w:val="24"/>
        </w:rPr>
        <w:t>“There could be no alternative body of law operating alongside Australian law. The recognition of Aboriginal law and thus of some form of prior Aboriginal jurisdiction in matters ot</w:t>
      </w:r>
      <w:r w:rsidR="0085097B">
        <w:rPr>
          <w:rFonts w:cs="Times New Roman"/>
          <w:bCs/>
          <w:szCs w:val="24"/>
        </w:rPr>
        <w:t>her than land law</w:t>
      </w:r>
      <w:r w:rsidRPr="00EE5D62">
        <w:rPr>
          <w:rFonts w:cs="Times New Roman"/>
          <w:bCs/>
          <w:szCs w:val="24"/>
        </w:rPr>
        <w:t xml:space="preserve"> risked offending basic principles of equality before</w:t>
      </w:r>
      <w:r w:rsidR="0085097B">
        <w:rPr>
          <w:rFonts w:cs="Times New Roman"/>
          <w:bCs/>
          <w:szCs w:val="24"/>
        </w:rPr>
        <w:t xml:space="preserve"> the</w:t>
      </w:r>
      <w:r w:rsidRPr="00EE5D62">
        <w:rPr>
          <w:rFonts w:cs="Times New Roman"/>
          <w:bCs/>
          <w:szCs w:val="24"/>
        </w:rPr>
        <w:t xml:space="preserve"> law. The rule of law would be vitiate</w:t>
      </w:r>
      <w:r w:rsidR="0085097B">
        <w:rPr>
          <w:rFonts w:cs="Times New Roman"/>
          <w:bCs/>
          <w:szCs w:val="24"/>
        </w:rPr>
        <w:t>d</w:t>
      </w:r>
      <w:r w:rsidRPr="00EE5D62">
        <w:rPr>
          <w:rFonts w:cs="Times New Roman"/>
          <w:bCs/>
          <w:szCs w:val="24"/>
        </w:rPr>
        <w:t xml:space="preserve"> of Aboriginal jurisdiction was admitted.” </w:t>
      </w:r>
      <w:r w:rsidR="003549B9">
        <w:rPr>
          <w:rStyle w:val="FootnoteReference"/>
          <w:rFonts w:cs="Times New Roman"/>
          <w:bCs/>
          <w:szCs w:val="24"/>
        </w:rPr>
        <w:footnoteReference w:id="15"/>
      </w:r>
    </w:p>
    <w:p w14:paraId="15787BB4" w14:textId="77777777" w:rsidR="00EE5D62" w:rsidRDefault="00152E8B" w:rsidP="00EE5D62">
      <w:pPr>
        <w:spacing w:line="360" w:lineRule="auto"/>
        <w:jc w:val="both"/>
        <w:rPr>
          <w:rFonts w:cs="Times New Roman"/>
          <w:bCs/>
          <w:szCs w:val="24"/>
        </w:rPr>
      </w:pPr>
      <w:r w:rsidRPr="00EE5D62">
        <w:rPr>
          <w:rFonts w:cs="Times New Roman"/>
          <w:bCs/>
          <w:szCs w:val="24"/>
        </w:rPr>
        <w:t xml:space="preserve">Therefore, the protection of the rule of law encompasses the </w:t>
      </w:r>
      <w:proofErr w:type="spellStart"/>
      <w:r w:rsidRPr="00EE5D62">
        <w:rPr>
          <w:rFonts w:cs="Times New Roman"/>
          <w:bCs/>
          <w:szCs w:val="24"/>
        </w:rPr>
        <w:t>prepotency</w:t>
      </w:r>
      <w:proofErr w:type="spellEnd"/>
      <w:r w:rsidRPr="00EE5D62">
        <w:rPr>
          <w:rFonts w:cs="Times New Roman"/>
          <w:bCs/>
          <w:szCs w:val="24"/>
        </w:rPr>
        <w:t xml:space="preserve"> of Parliament to regulate and affect Aboriginal interests without their consent. </w:t>
      </w:r>
    </w:p>
    <w:p w14:paraId="4A2E65E8" w14:textId="77777777" w:rsidR="003549B9" w:rsidRPr="00EE5D62" w:rsidRDefault="003549B9" w:rsidP="00EE5D62">
      <w:pPr>
        <w:spacing w:line="360" w:lineRule="auto"/>
        <w:jc w:val="both"/>
        <w:rPr>
          <w:rFonts w:cs="Times New Roman"/>
          <w:bCs/>
          <w:szCs w:val="24"/>
        </w:rPr>
      </w:pPr>
    </w:p>
    <w:p w14:paraId="19FA92A5" w14:textId="77777777" w:rsidR="0003763E" w:rsidRDefault="0003763E" w:rsidP="00EE5D62">
      <w:pPr>
        <w:spacing w:line="360" w:lineRule="auto"/>
        <w:jc w:val="both"/>
        <w:rPr>
          <w:b/>
          <w:szCs w:val="24"/>
        </w:rPr>
      </w:pPr>
    </w:p>
    <w:p w14:paraId="5980BD7D" w14:textId="77777777" w:rsidR="0003763E" w:rsidRDefault="0003763E" w:rsidP="00EE5D62">
      <w:pPr>
        <w:spacing w:line="360" w:lineRule="auto"/>
        <w:jc w:val="both"/>
        <w:rPr>
          <w:b/>
          <w:szCs w:val="24"/>
        </w:rPr>
      </w:pPr>
    </w:p>
    <w:p w14:paraId="710853FD" w14:textId="3CD8855B" w:rsidR="00F51BF9" w:rsidRPr="00EE5D62" w:rsidRDefault="00F51BF9" w:rsidP="00EE5D62">
      <w:pPr>
        <w:spacing w:line="360" w:lineRule="auto"/>
        <w:jc w:val="both"/>
        <w:rPr>
          <w:rFonts w:cs="Times New Roman"/>
          <w:b/>
          <w:bCs/>
          <w:szCs w:val="24"/>
        </w:rPr>
      </w:pPr>
      <w:r w:rsidRPr="00EE5D62">
        <w:rPr>
          <w:b/>
          <w:szCs w:val="24"/>
        </w:rPr>
        <w:lastRenderedPageBreak/>
        <w:t xml:space="preserve">Conclusion </w:t>
      </w:r>
    </w:p>
    <w:p w14:paraId="678B0186" w14:textId="77777777" w:rsidR="00152E8B" w:rsidRPr="00EE5D62" w:rsidRDefault="00152E8B" w:rsidP="00EE5D62">
      <w:pPr>
        <w:spacing w:line="360" w:lineRule="auto"/>
        <w:jc w:val="both"/>
        <w:rPr>
          <w:rFonts w:cs="Times New Roman"/>
          <w:bCs/>
          <w:szCs w:val="24"/>
        </w:rPr>
      </w:pPr>
      <w:r w:rsidRPr="00EE5D62">
        <w:rPr>
          <w:rFonts w:cs="Times New Roman"/>
          <w:bCs/>
          <w:szCs w:val="24"/>
        </w:rPr>
        <w:t>Since the late 1980s</w:t>
      </w:r>
      <w:r w:rsidR="0085097B">
        <w:rPr>
          <w:rFonts w:cs="Times New Roman"/>
          <w:bCs/>
          <w:szCs w:val="24"/>
        </w:rPr>
        <w:t>,</w:t>
      </w:r>
      <w:r w:rsidRPr="00EE5D62">
        <w:rPr>
          <w:rFonts w:cs="Times New Roman"/>
          <w:bCs/>
          <w:szCs w:val="24"/>
        </w:rPr>
        <w:t xml:space="preserve"> there have many radical changes and much progress has taken place in the battle to overcome discrimination of the Aboriginal people. In Australia, Aboriginal</w:t>
      </w:r>
      <w:r w:rsidR="0085097B">
        <w:rPr>
          <w:rFonts w:cs="Times New Roman"/>
          <w:bCs/>
          <w:szCs w:val="24"/>
        </w:rPr>
        <w:t xml:space="preserve"> and Torres Strait I</w:t>
      </w:r>
      <w:r w:rsidRPr="00EE5D62">
        <w:rPr>
          <w:rFonts w:cs="Times New Roman"/>
          <w:bCs/>
          <w:szCs w:val="24"/>
        </w:rPr>
        <w:t>slander people historically have been depicted as the passive recipients of the largesse or the charity of the European majority which was demeaning for the Aboriginal people and finally</w:t>
      </w:r>
      <w:r w:rsidR="0085097B">
        <w:rPr>
          <w:rFonts w:cs="Times New Roman"/>
          <w:bCs/>
          <w:szCs w:val="24"/>
        </w:rPr>
        <w:t>,</w:t>
      </w:r>
      <w:r w:rsidRPr="00EE5D62">
        <w:rPr>
          <w:rFonts w:cs="Times New Roman"/>
          <w:bCs/>
          <w:szCs w:val="24"/>
        </w:rPr>
        <w:t xml:space="preserve"> major steps have been taken to speak out a</w:t>
      </w:r>
      <w:r w:rsidR="003F342E">
        <w:rPr>
          <w:rFonts w:cs="Times New Roman"/>
          <w:bCs/>
          <w:szCs w:val="24"/>
        </w:rPr>
        <w:t>nd to move forward in evolving</w:t>
      </w:r>
      <w:r w:rsidRPr="00EE5D62">
        <w:rPr>
          <w:rFonts w:cs="Times New Roman"/>
          <w:bCs/>
          <w:szCs w:val="24"/>
        </w:rPr>
        <w:t xml:space="preserve"> the relationship betwe</w:t>
      </w:r>
      <w:r w:rsidR="003F342E">
        <w:rPr>
          <w:rFonts w:cs="Times New Roman"/>
          <w:bCs/>
          <w:szCs w:val="24"/>
        </w:rPr>
        <w:t xml:space="preserve">en Aborigines and </w:t>
      </w:r>
      <w:r w:rsidRPr="00EE5D62">
        <w:rPr>
          <w:rFonts w:cs="Times New Roman"/>
          <w:bCs/>
          <w:szCs w:val="24"/>
        </w:rPr>
        <w:t>Australia. Since 1992, major steps were taken from</w:t>
      </w:r>
      <w:r w:rsidR="0085097B">
        <w:rPr>
          <w:rFonts w:cs="Times New Roman"/>
          <w:bCs/>
          <w:szCs w:val="24"/>
        </w:rPr>
        <w:t xml:space="preserve"> the legal stand</w:t>
      </w:r>
      <w:r w:rsidRPr="00EE5D62">
        <w:rPr>
          <w:rFonts w:cs="Times New Roman"/>
          <w:bCs/>
          <w:szCs w:val="24"/>
        </w:rPr>
        <w:t>point. However</w:t>
      </w:r>
      <w:r w:rsidR="0085097B">
        <w:rPr>
          <w:rFonts w:cs="Times New Roman"/>
          <w:bCs/>
          <w:szCs w:val="24"/>
        </w:rPr>
        <w:t>,</w:t>
      </w:r>
      <w:r w:rsidRPr="00EE5D62">
        <w:rPr>
          <w:rFonts w:cs="Times New Roman"/>
          <w:bCs/>
          <w:szCs w:val="24"/>
        </w:rPr>
        <w:t xml:space="preserve"> the most important step that must </w:t>
      </w:r>
      <w:r w:rsidR="00944C16">
        <w:rPr>
          <w:rFonts w:cs="Times New Roman"/>
          <w:bCs/>
          <w:szCs w:val="24"/>
        </w:rPr>
        <w:t>b</w:t>
      </w:r>
      <w:r w:rsidRPr="00EE5D62">
        <w:rPr>
          <w:rFonts w:cs="Times New Roman"/>
          <w:bCs/>
          <w:szCs w:val="24"/>
        </w:rPr>
        <w:t>e taken</w:t>
      </w:r>
      <w:r w:rsidR="0085097B">
        <w:rPr>
          <w:rFonts w:cs="Times New Roman"/>
          <w:bCs/>
          <w:szCs w:val="24"/>
        </w:rPr>
        <w:t xml:space="preserve"> by</w:t>
      </w:r>
      <w:r w:rsidRPr="00EE5D62">
        <w:rPr>
          <w:rFonts w:cs="Times New Roman"/>
          <w:bCs/>
          <w:szCs w:val="24"/>
        </w:rPr>
        <w:t xml:space="preserve"> Australia is to recognize the Aboriginal people‘s ties to their lands which is going to remain an important aspect of life and that the history should be preserved. </w:t>
      </w:r>
    </w:p>
    <w:p w14:paraId="5AC6722E" w14:textId="77777777" w:rsidR="00152E8B" w:rsidRPr="00EE5D62" w:rsidRDefault="00152E8B" w:rsidP="00EE5D62">
      <w:pPr>
        <w:spacing w:line="360" w:lineRule="auto"/>
        <w:jc w:val="both"/>
        <w:rPr>
          <w:szCs w:val="24"/>
        </w:rPr>
      </w:pPr>
    </w:p>
    <w:sectPr w:rsidR="00152E8B" w:rsidRPr="00EE5D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8B4484" w14:textId="77777777" w:rsidR="00AA74B5" w:rsidRDefault="00AA74B5" w:rsidP="00F51BF9">
      <w:pPr>
        <w:spacing w:after="0" w:line="240" w:lineRule="auto"/>
      </w:pPr>
      <w:r>
        <w:separator/>
      </w:r>
    </w:p>
  </w:endnote>
  <w:endnote w:type="continuationSeparator" w:id="0">
    <w:p w14:paraId="1E0B0ED8" w14:textId="77777777" w:rsidR="00AA74B5" w:rsidRDefault="00AA74B5" w:rsidP="00F51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EE6D52" w14:textId="77777777" w:rsidR="00AA74B5" w:rsidRDefault="00AA74B5" w:rsidP="00F51BF9">
      <w:pPr>
        <w:spacing w:after="0" w:line="240" w:lineRule="auto"/>
      </w:pPr>
      <w:r>
        <w:separator/>
      </w:r>
    </w:p>
  </w:footnote>
  <w:footnote w:type="continuationSeparator" w:id="0">
    <w:p w14:paraId="73098483" w14:textId="77777777" w:rsidR="00AA74B5" w:rsidRDefault="00AA74B5" w:rsidP="00F51BF9">
      <w:pPr>
        <w:spacing w:after="0" w:line="240" w:lineRule="auto"/>
      </w:pPr>
      <w:r>
        <w:continuationSeparator/>
      </w:r>
    </w:p>
  </w:footnote>
  <w:footnote w:id="1">
    <w:p w14:paraId="3F1EEA8F" w14:textId="77777777" w:rsidR="00F51BF9" w:rsidRPr="00A87460" w:rsidRDefault="00F51BF9" w:rsidP="00A87460">
      <w:pPr>
        <w:pStyle w:val="FootnoteText"/>
        <w:jc w:val="both"/>
        <w:rPr>
          <w:rFonts w:ascii="Times New Roman" w:hAnsi="Times New Roman" w:cs="Times New Roman"/>
        </w:rPr>
      </w:pPr>
      <w:r>
        <w:rPr>
          <w:rStyle w:val="FootnoteReference"/>
        </w:rPr>
        <w:footnoteRef/>
      </w:r>
      <w:r>
        <w:t xml:space="preserve"> </w:t>
      </w:r>
      <w:r w:rsidRPr="00A87460">
        <w:rPr>
          <w:rFonts w:ascii="Times New Roman" w:hAnsi="Times New Roman" w:cs="Times New Roman"/>
        </w:rPr>
        <w:t xml:space="preserve">Lisa </w:t>
      </w:r>
      <w:proofErr w:type="spellStart"/>
      <w:r w:rsidRPr="00A87460">
        <w:rPr>
          <w:rFonts w:ascii="Times New Roman" w:hAnsi="Times New Roman" w:cs="Times New Roman"/>
        </w:rPr>
        <w:t>Strelein</w:t>
      </w:r>
      <w:proofErr w:type="spellEnd"/>
      <w:r w:rsidRPr="00A87460">
        <w:rPr>
          <w:rFonts w:ascii="Times New Roman" w:hAnsi="Times New Roman" w:cs="Times New Roman"/>
        </w:rPr>
        <w:t xml:space="preserve"> and Tran </w:t>
      </w:r>
      <w:proofErr w:type="spellStart"/>
      <w:r w:rsidRPr="00A87460">
        <w:rPr>
          <w:rFonts w:ascii="Times New Roman" w:hAnsi="Times New Roman" w:cs="Times New Roman"/>
        </w:rPr>
        <w:t>Tran</w:t>
      </w:r>
      <w:proofErr w:type="spellEnd"/>
      <w:r w:rsidRPr="00A87460">
        <w:rPr>
          <w:rFonts w:ascii="Times New Roman" w:hAnsi="Times New Roman" w:cs="Times New Roman"/>
        </w:rPr>
        <w:t xml:space="preserve">, 'Building Indigenous Governance from Native Title: Moving away from Fitting in to Creating a Decolonized Space' (2013) 18(1) Review of Constitutional Studies 19. </w:t>
      </w:r>
      <w:r w:rsidRPr="00A87460">
        <w:rPr>
          <w:rFonts w:ascii="Times New Roman" w:hAnsi="Times New Roman" w:cs="Times New Roman"/>
        </w:rPr>
        <w:cr/>
      </w:r>
    </w:p>
  </w:footnote>
  <w:footnote w:id="2">
    <w:p w14:paraId="20193449" w14:textId="1EF54EE1" w:rsidR="009D0D8E" w:rsidRPr="00A87460" w:rsidRDefault="009D0D8E" w:rsidP="00A87460">
      <w:pPr>
        <w:pStyle w:val="FootnoteText"/>
        <w:jc w:val="both"/>
        <w:rPr>
          <w:rFonts w:ascii="Times New Roman" w:hAnsi="Times New Roman" w:cs="Times New Roman"/>
          <w:lang w:val="en-IN"/>
        </w:rPr>
      </w:pPr>
      <w:r w:rsidRPr="00A87460">
        <w:rPr>
          <w:rStyle w:val="FootnoteReference"/>
          <w:rFonts w:ascii="Times New Roman" w:hAnsi="Times New Roman" w:cs="Times New Roman"/>
        </w:rPr>
        <w:footnoteRef/>
      </w:r>
      <w:r w:rsidRPr="00A87460">
        <w:rPr>
          <w:rFonts w:ascii="Times New Roman" w:hAnsi="Times New Roman" w:cs="Times New Roman"/>
        </w:rPr>
        <w:t xml:space="preserve"> </w:t>
      </w:r>
      <w:r w:rsidR="003155A6">
        <w:rPr>
          <w:rFonts w:ascii="Times New Roman" w:hAnsi="Times New Roman" w:cs="Times New Roman"/>
        </w:rPr>
        <w:t>Australian Constitution, S</w:t>
      </w:r>
      <w:r w:rsidRPr="00A87460">
        <w:rPr>
          <w:rFonts w:ascii="Times New Roman" w:hAnsi="Times New Roman" w:cs="Times New Roman"/>
        </w:rPr>
        <w:t>ection 51(xxvi).</w:t>
      </w:r>
    </w:p>
  </w:footnote>
  <w:footnote w:id="3">
    <w:p w14:paraId="01F7A12D" w14:textId="13221E69" w:rsidR="00997D80" w:rsidRPr="00A87460" w:rsidRDefault="00997D80" w:rsidP="00A87460">
      <w:pPr>
        <w:pStyle w:val="FootnoteText"/>
        <w:jc w:val="both"/>
        <w:rPr>
          <w:rFonts w:ascii="Times New Roman" w:hAnsi="Times New Roman" w:cs="Times New Roman"/>
          <w:lang w:val="en-IN"/>
        </w:rPr>
      </w:pPr>
      <w:r w:rsidRPr="00A87460">
        <w:rPr>
          <w:rStyle w:val="FootnoteReference"/>
          <w:rFonts w:ascii="Times New Roman" w:hAnsi="Times New Roman" w:cs="Times New Roman"/>
        </w:rPr>
        <w:footnoteRef/>
      </w:r>
      <w:r w:rsidRPr="00A87460">
        <w:rPr>
          <w:rFonts w:ascii="Times New Roman" w:hAnsi="Times New Roman" w:cs="Times New Roman"/>
        </w:rPr>
        <w:t xml:space="preserve"> </w:t>
      </w:r>
      <w:r w:rsidR="003155A6" w:rsidRPr="009D0D8E">
        <w:rPr>
          <w:rFonts w:ascii="Times New Roman" w:hAnsi="Times New Roman" w:cs="Times New Roman"/>
          <w:bCs/>
          <w:i/>
        </w:rPr>
        <w:t>Western Australia vs. Commonwealth (Native Title Act Case</w:t>
      </w:r>
      <w:r w:rsidR="003155A6" w:rsidRPr="003D176E">
        <w:rPr>
          <w:rFonts w:ascii="Times New Roman" w:hAnsi="Times New Roman" w:cs="Times New Roman"/>
          <w:bCs/>
          <w:i/>
        </w:rPr>
        <w:t>),</w:t>
      </w:r>
      <w:r w:rsidR="003155A6" w:rsidRPr="00997D80">
        <w:rPr>
          <w:rFonts w:ascii="Times New Roman" w:hAnsi="Times New Roman" w:cs="Times New Roman"/>
          <w:bCs/>
        </w:rPr>
        <w:t xml:space="preserve"> </w:t>
      </w:r>
      <w:r w:rsidRPr="00A87460">
        <w:rPr>
          <w:rFonts w:ascii="Times New Roman" w:hAnsi="Times New Roman" w:cs="Times New Roman"/>
        </w:rPr>
        <w:t>(1995) 183 CLR 373.</w:t>
      </w:r>
    </w:p>
  </w:footnote>
  <w:footnote w:id="4">
    <w:p w14:paraId="13EEE7DC" w14:textId="77777777" w:rsidR="00997D80" w:rsidRPr="00A87460" w:rsidRDefault="00997D80" w:rsidP="00A87460">
      <w:pPr>
        <w:pStyle w:val="FootnoteText"/>
        <w:jc w:val="both"/>
        <w:rPr>
          <w:rFonts w:ascii="Times New Roman" w:hAnsi="Times New Roman" w:cs="Times New Roman"/>
          <w:lang w:val="en-IN"/>
        </w:rPr>
      </w:pPr>
      <w:r w:rsidRPr="00A87460">
        <w:rPr>
          <w:rStyle w:val="FootnoteReference"/>
          <w:rFonts w:ascii="Times New Roman" w:hAnsi="Times New Roman" w:cs="Times New Roman"/>
        </w:rPr>
        <w:footnoteRef/>
      </w:r>
      <w:r w:rsidRPr="00A87460">
        <w:rPr>
          <w:rFonts w:ascii="Times New Roman" w:hAnsi="Times New Roman" w:cs="Times New Roman"/>
        </w:rPr>
        <w:t xml:space="preserve">  </w:t>
      </w:r>
      <w:proofErr w:type="spellStart"/>
      <w:r w:rsidRPr="003155A6">
        <w:rPr>
          <w:rFonts w:ascii="Times New Roman" w:hAnsi="Times New Roman" w:cs="Times New Roman"/>
          <w:i/>
        </w:rPr>
        <w:t>Gerhardy</w:t>
      </w:r>
      <w:proofErr w:type="spellEnd"/>
      <w:r w:rsidRPr="003155A6">
        <w:rPr>
          <w:rFonts w:ascii="Times New Roman" w:hAnsi="Times New Roman" w:cs="Times New Roman"/>
          <w:i/>
        </w:rPr>
        <w:t xml:space="preserve"> v Brown</w:t>
      </w:r>
      <w:r w:rsidRPr="00A87460">
        <w:rPr>
          <w:rFonts w:ascii="Times New Roman" w:hAnsi="Times New Roman" w:cs="Times New Roman"/>
        </w:rPr>
        <w:t xml:space="preserve"> (1985) 59 ALJR 311, 339</w:t>
      </w:r>
    </w:p>
  </w:footnote>
  <w:footnote w:id="5">
    <w:p w14:paraId="4F41925A" w14:textId="77777777" w:rsidR="009D0D8E" w:rsidRPr="00A87460" w:rsidRDefault="009D0D8E" w:rsidP="00A87460">
      <w:pPr>
        <w:pStyle w:val="FootnoteText"/>
        <w:jc w:val="both"/>
        <w:rPr>
          <w:rFonts w:ascii="Times New Roman" w:hAnsi="Times New Roman" w:cs="Times New Roman"/>
          <w:lang w:val="en-IN"/>
        </w:rPr>
      </w:pPr>
      <w:r w:rsidRPr="00A87460">
        <w:rPr>
          <w:rStyle w:val="FootnoteReference"/>
          <w:rFonts w:ascii="Times New Roman" w:hAnsi="Times New Roman" w:cs="Times New Roman"/>
        </w:rPr>
        <w:footnoteRef/>
      </w:r>
      <w:r w:rsidRPr="00A87460">
        <w:rPr>
          <w:rFonts w:ascii="Times New Roman" w:hAnsi="Times New Roman" w:cs="Times New Roman"/>
        </w:rPr>
        <w:t xml:space="preserve"> </w:t>
      </w:r>
      <w:r w:rsidRPr="003155A6">
        <w:rPr>
          <w:rFonts w:ascii="Times New Roman" w:hAnsi="Times New Roman" w:cs="Times New Roman"/>
          <w:i/>
        </w:rPr>
        <w:t>Delgamuukw v British Columbia</w:t>
      </w:r>
      <w:r w:rsidR="003155A6">
        <w:rPr>
          <w:rFonts w:ascii="Times New Roman" w:hAnsi="Times New Roman" w:cs="Times New Roman"/>
        </w:rPr>
        <w:t>, (1997)</w:t>
      </w:r>
      <w:r w:rsidRPr="00A87460">
        <w:rPr>
          <w:rFonts w:ascii="Times New Roman" w:hAnsi="Times New Roman" w:cs="Times New Roman"/>
        </w:rPr>
        <w:t xml:space="preserve"> 3 SCR 1010, 153 DLR (4th) 193.</w:t>
      </w:r>
    </w:p>
  </w:footnote>
  <w:footnote w:id="6">
    <w:p w14:paraId="219876B7" w14:textId="77777777" w:rsidR="009D0D8E" w:rsidRPr="003155A6" w:rsidRDefault="009D0D8E" w:rsidP="00A87460">
      <w:pPr>
        <w:pStyle w:val="FootnoteText"/>
        <w:jc w:val="both"/>
        <w:rPr>
          <w:rFonts w:ascii="Times New Roman" w:hAnsi="Times New Roman" w:cs="Times New Roman"/>
        </w:rPr>
      </w:pPr>
      <w:r w:rsidRPr="00A87460">
        <w:rPr>
          <w:rStyle w:val="FootnoteReference"/>
          <w:rFonts w:ascii="Times New Roman" w:hAnsi="Times New Roman" w:cs="Times New Roman"/>
        </w:rPr>
        <w:footnoteRef/>
      </w:r>
      <w:r w:rsidRPr="00A87460">
        <w:rPr>
          <w:rFonts w:ascii="Times New Roman" w:hAnsi="Times New Roman" w:cs="Times New Roman"/>
        </w:rPr>
        <w:t xml:space="preserve"> </w:t>
      </w:r>
      <w:r w:rsidRPr="003155A6">
        <w:rPr>
          <w:rFonts w:ascii="Times New Roman" w:hAnsi="Times New Roman" w:cs="Times New Roman"/>
          <w:i/>
        </w:rPr>
        <w:t>Campbell v British Columbia (Attorney-General),</w:t>
      </w:r>
      <w:r w:rsidRPr="00A87460">
        <w:rPr>
          <w:rFonts w:ascii="Times New Roman" w:hAnsi="Times New Roman" w:cs="Times New Roman"/>
        </w:rPr>
        <w:t xml:space="preserve"> </w:t>
      </w:r>
      <w:r w:rsidR="003155A6">
        <w:rPr>
          <w:rFonts w:ascii="Times New Roman" w:hAnsi="Times New Roman" w:cs="Times New Roman"/>
        </w:rPr>
        <w:t>(</w:t>
      </w:r>
      <w:r w:rsidRPr="00A87460">
        <w:rPr>
          <w:rFonts w:ascii="Times New Roman" w:hAnsi="Times New Roman" w:cs="Times New Roman"/>
        </w:rPr>
        <w:t>2000</w:t>
      </w:r>
      <w:r w:rsidR="003155A6">
        <w:rPr>
          <w:rFonts w:ascii="Times New Roman" w:hAnsi="Times New Roman" w:cs="Times New Roman"/>
        </w:rPr>
        <w:t>)</w:t>
      </w:r>
      <w:r w:rsidRPr="00A87460">
        <w:rPr>
          <w:rFonts w:ascii="Times New Roman" w:hAnsi="Times New Roman" w:cs="Times New Roman"/>
        </w:rPr>
        <w:t xml:space="preserve"> BCSC 1123, 189 DLR </w:t>
      </w:r>
      <w:r w:rsidR="003155A6">
        <w:rPr>
          <w:rFonts w:ascii="Times New Roman" w:hAnsi="Times New Roman" w:cs="Times New Roman"/>
        </w:rPr>
        <w:t xml:space="preserve">(4th) 333. </w:t>
      </w:r>
    </w:p>
  </w:footnote>
  <w:footnote w:id="7">
    <w:p w14:paraId="710F1329" w14:textId="77777777" w:rsidR="009D0D8E" w:rsidRPr="00A87460" w:rsidRDefault="009D0D8E" w:rsidP="00A87460">
      <w:pPr>
        <w:pStyle w:val="FootnoteText"/>
        <w:jc w:val="both"/>
        <w:rPr>
          <w:rFonts w:ascii="Times New Roman" w:hAnsi="Times New Roman" w:cs="Times New Roman"/>
          <w:lang w:val="en-IN"/>
        </w:rPr>
      </w:pPr>
      <w:r w:rsidRPr="00A87460">
        <w:rPr>
          <w:rStyle w:val="FootnoteReference"/>
          <w:rFonts w:ascii="Times New Roman" w:hAnsi="Times New Roman" w:cs="Times New Roman"/>
        </w:rPr>
        <w:footnoteRef/>
      </w:r>
      <w:r w:rsidRPr="00A87460">
        <w:rPr>
          <w:rFonts w:ascii="Times New Roman" w:hAnsi="Times New Roman" w:cs="Times New Roman"/>
        </w:rPr>
        <w:t xml:space="preserve"> </w:t>
      </w:r>
      <w:r w:rsidRPr="003155A6">
        <w:rPr>
          <w:rFonts w:ascii="Times New Roman" w:hAnsi="Times New Roman" w:cs="Times New Roman"/>
          <w:i/>
        </w:rPr>
        <w:t>Campbell v British Columbia (Attorney-General)</w:t>
      </w:r>
      <w:r w:rsidRPr="00A87460">
        <w:rPr>
          <w:rFonts w:ascii="Times New Roman" w:hAnsi="Times New Roman" w:cs="Times New Roman"/>
        </w:rPr>
        <w:t xml:space="preserve">, </w:t>
      </w:r>
      <w:r w:rsidR="003155A6">
        <w:rPr>
          <w:rFonts w:ascii="Times New Roman" w:hAnsi="Times New Roman" w:cs="Times New Roman"/>
        </w:rPr>
        <w:t>(</w:t>
      </w:r>
      <w:r w:rsidRPr="00A87460">
        <w:rPr>
          <w:rFonts w:ascii="Times New Roman" w:hAnsi="Times New Roman" w:cs="Times New Roman"/>
        </w:rPr>
        <w:t>2000</w:t>
      </w:r>
      <w:r w:rsidR="003155A6">
        <w:rPr>
          <w:rFonts w:ascii="Times New Roman" w:hAnsi="Times New Roman" w:cs="Times New Roman"/>
        </w:rPr>
        <w:t>)</w:t>
      </w:r>
      <w:r w:rsidRPr="00A87460">
        <w:rPr>
          <w:rFonts w:ascii="Times New Roman" w:hAnsi="Times New Roman" w:cs="Times New Roman"/>
        </w:rPr>
        <w:t xml:space="preserve"> BCSC 1123, 189 DLR (4th) 333.</w:t>
      </w:r>
    </w:p>
  </w:footnote>
  <w:footnote w:id="8">
    <w:p w14:paraId="6A5EED13" w14:textId="77777777" w:rsidR="00152E8B" w:rsidRPr="00A87460" w:rsidRDefault="00152E8B" w:rsidP="00A87460">
      <w:pPr>
        <w:pStyle w:val="FootnoteText"/>
        <w:jc w:val="both"/>
        <w:rPr>
          <w:rFonts w:ascii="Times New Roman" w:hAnsi="Times New Roman" w:cs="Times New Roman"/>
          <w:lang w:val="en-IN"/>
        </w:rPr>
      </w:pPr>
      <w:r w:rsidRPr="00A87460">
        <w:rPr>
          <w:rStyle w:val="FootnoteReference"/>
          <w:rFonts w:ascii="Times New Roman" w:hAnsi="Times New Roman" w:cs="Times New Roman"/>
        </w:rPr>
        <w:footnoteRef/>
      </w:r>
      <w:r w:rsidRPr="00A87460">
        <w:rPr>
          <w:rFonts w:ascii="Times New Roman" w:hAnsi="Times New Roman" w:cs="Times New Roman"/>
        </w:rPr>
        <w:t xml:space="preserve"> Mabo v State of Queensland [No. 2] (1992) 66 ALJR at 408. </w:t>
      </w:r>
    </w:p>
  </w:footnote>
  <w:footnote w:id="9">
    <w:p w14:paraId="56B9E25E" w14:textId="77777777" w:rsidR="00152E8B" w:rsidRPr="00A87460" w:rsidRDefault="00152E8B" w:rsidP="00A87460">
      <w:pPr>
        <w:pStyle w:val="FootnoteText"/>
        <w:jc w:val="both"/>
        <w:rPr>
          <w:rFonts w:ascii="Times New Roman" w:hAnsi="Times New Roman" w:cs="Times New Roman"/>
          <w:lang w:val="en-IN"/>
        </w:rPr>
      </w:pPr>
      <w:r w:rsidRPr="00A87460">
        <w:rPr>
          <w:rStyle w:val="FootnoteReference"/>
          <w:rFonts w:ascii="Times New Roman" w:hAnsi="Times New Roman" w:cs="Times New Roman"/>
        </w:rPr>
        <w:footnoteRef/>
      </w:r>
      <w:r w:rsidRPr="00A87460">
        <w:rPr>
          <w:rFonts w:ascii="Times New Roman" w:hAnsi="Times New Roman" w:cs="Times New Roman"/>
        </w:rPr>
        <w:t xml:space="preserve"> </w:t>
      </w:r>
      <w:r w:rsidRPr="00A87460">
        <w:rPr>
          <w:rFonts w:ascii="Times New Roman" w:hAnsi="Times New Roman" w:cs="Times New Roman"/>
          <w:lang w:val="en-IN"/>
        </w:rPr>
        <w:t xml:space="preserve">Duncan </w:t>
      </w:r>
      <w:proofErr w:type="spellStart"/>
      <w:r w:rsidRPr="00A87460">
        <w:rPr>
          <w:rFonts w:ascii="Times New Roman" w:hAnsi="Times New Roman" w:cs="Times New Roman"/>
          <w:lang w:val="en-IN"/>
        </w:rPr>
        <w:t>Ivison</w:t>
      </w:r>
      <w:proofErr w:type="spellEnd"/>
      <w:r w:rsidRPr="00A87460">
        <w:rPr>
          <w:rFonts w:ascii="Times New Roman" w:hAnsi="Times New Roman" w:cs="Times New Roman"/>
          <w:lang w:val="en-IN"/>
        </w:rPr>
        <w:t xml:space="preserve">, Decolonising the Rule of Law: Mabo’s case of </w:t>
      </w:r>
      <w:proofErr w:type="spellStart"/>
      <w:r w:rsidRPr="00A87460">
        <w:rPr>
          <w:rFonts w:ascii="Times New Roman" w:hAnsi="Times New Roman" w:cs="Times New Roman"/>
          <w:lang w:val="en-IN"/>
        </w:rPr>
        <w:t>Postcolononial</w:t>
      </w:r>
      <w:proofErr w:type="spellEnd"/>
      <w:r w:rsidRPr="00A87460">
        <w:rPr>
          <w:rFonts w:ascii="Times New Roman" w:hAnsi="Times New Roman" w:cs="Times New Roman"/>
          <w:lang w:val="en-IN"/>
        </w:rPr>
        <w:t xml:space="preserve"> and Constitutionalism, Oxford Journal of Legal Studies, Vol. 17, No.2 (Summer, 1997), pp. 253-279</w:t>
      </w:r>
      <w:r w:rsidR="003155A6">
        <w:rPr>
          <w:rFonts w:ascii="Times New Roman" w:hAnsi="Times New Roman" w:cs="Times New Roman"/>
          <w:lang w:val="en-IN"/>
        </w:rPr>
        <w:t>.</w:t>
      </w:r>
    </w:p>
  </w:footnote>
  <w:footnote w:id="10">
    <w:p w14:paraId="342E22A4" w14:textId="77777777" w:rsidR="00A87460" w:rsidRPr="00A87460" w:rsidRDefault="00A87460" w:rsidP="00A87460">
      <w:pPr>
        <w:pStyle w:val="FootnoteText"/>
        <w:jc w:val="both"/>
        <w:rPr>
          <w:rFonts w:ascii="Times New Roman" w:hAnsi="Times New Roman" w:cs="Times New Roman"/>
        </w:rPr>
      </w:pPr>
      <w:r w:rsidRPr="00A87460">
        <w:rPr>
          <w:rStyle w:val="FootnoteReference"/>
          <w:rFonts w:ascii="Times New Roman" w:hAnsi="Times New Roman" w:cs="Times New Roman"/>
        </w:rPr>
        <w:footnoteRef/>
      </w:r>
      <w:r w:rsidRPr="00A87460">
        <w:rPr>
          <w:rFonts w:ascii="Times New Roman" w:hAnsi="Times New Roman" w:cs="Times New Roman"/>
        </w:rPr>
        <w:t xml:space="preserve"> </w:t>
      </w:r>
      <w:proofErr w:type="spellStart"/>
      <w:r w:rsidRPr="00A87460">
        <w:rPr>
          <w:rFonts w:ascii="Times New Roman" w:hAnsi="Times New Roman" w:cs="Times New Roman"/>
        </w:rPr>
        <w:t>Austl</w:t>
      </w:r>
      <w:proofErr w:type="spellEnd"/>
      <w:r w:rsidRPr="00A87460">
        <w:rPr>
          <w:rFonts w:ascii="Times New Roman" w:hAnsi="Times New Roman" w:cs="Times New Roman"/>
        </w:rPr>
        <w:t>, Commonwealth, Australian Law Reform Commission, Recognition of</w:t>
      </w:r>
      <w:r w:rsidR="003155A6">
        <w:rPr>
          <w:rFonts w:ascii="Times New Roman" w:hAnsi="Times New Roman" w:cs="Times New Roman"/>
        </w:rPr>
        <w:t xml:space="preserve"> </w:t>
      </w:r>
      <w:r w:rsidRPr="00A87460">
        <w:rPr>
          <w:rFonts w:ascii="Times New Roman" w:hAnsi="Times New Roman" w:cs="Times New Roman"/>
        </w:rPr>
        <w:t>Aboriginal Customary</w:t>
      </w:r>
    </w:p>
    <w:p w14:paraId="68F3B608" w14:textId="77777777" w:rsidR="00A87460" w:rsidRPr="003549B9" w:rsidRDefault="00A87460" w:rsidP="00A87460">
      <w:pPr>
        <w:pStyle w:val="FootnoteText"/>
        <w:jc w:val="both"/>
        <w:rPr>
          <w:rFonts w:ascii="Times New Roman" w:hAnsi="Times New Roman" w:cs="Times New Roman"/>
        </w:rPr>
      </w:pPr>
      <w:r w:rsidRPr="00A87460">
        <w:rPr>
          <w:rFonts w:ascii="Times New Roman" w:hAnsi="Times New Roman" w:cs="Times New Roman"/>
        </w:rPr>
        <w:t xml:space="preserve">Laws (ALRC Report No 31) (Sydney: Australian Government Publishing Service, 1986). </w:t>
      </w:r>
    </w:p>
  </w:footnote>
  <w:footnote w:id="11">
    <w:p w14:paraId="689B438B" w14:textId="77777777" w:rsidR="009D0D8E" w:rsidRPr="003155A6" w:rsidRDefault="009D0D8E" w:rsidP="00A87460">
      <w:pPr>
        <w:pStyle w:val="FootnoteText"/>
        <w:jc w:val="both"/>
        <w:rPr>
          <w:rFonts w:ascii="Times New Roman" w:hAnsi="Times New Roman" w:cs="Times New Roman"/>
        </w:rPr>
      </w:pPr>
      <w:r w:rsidRPr="00A87460">
        <w:rPr>
          <w:rStyle w:val="FootnoteReference"/>
          <w:rFonts w:ascii="Times New Roman" w:hAnsi="Times New Roman" w:cs="Times New Roman"/>
        </w:rPr>
        <w:footnoteRef/>
      </w:r>
      <w:r w:rsidRPr="00A87460">
        <w:rPr>
          <w:rFonts w:ascii="Times New Roman" w:hAnsi="Times New Roman" w:cs="Times New Roman"/>
        </w:rPr>
        <w:t xml:space="preserve"> Australia, Council for Aboriginal Reconciliation, Final Report of the Council</w:t>
      </w:r>
      <w:r w:rsidR="003155A6">
        <w:rPr>
          <w:rFonts w:ascii="Times New Roman" w:hAnsi="Times New Roman" w:cs="Times New Roman"/>
        </w:rPr>
        <w:t xml:space="preserve"> </w:t>
      </w:r>
      <w:r w:rsidRPr="00A87460">
        <w:rPr>
          <w:rFonts w:ascii="Times New Roman" w:hAnsi="Times New Roman" w:cs="Times New Roman"/>
        </w:rPr>
        <w:t>for Aboriginal</w:t>
      </w:r>
      <w:r w:rsidR="003155A6">
        <w:rPr>
          <w:rFonts w:ascii="Times New Roman" w:hAnsi="Times New Roman" w:cs="Times New Roman"/>
        </w:rPr>
        <w:t xml:space="preserve"> </w:t>
      </w:r>
      <w:r w:rsidRPr="00A87460">
        <w:rPr>
          <w:rFonts w:ascii="Times New Roman" w:hAnsi="Times New Roman" w:cs="Times New Roman"/>
        </w:rPr>
        <w:t>Reconciliation to the Prime Minister and the Commonwealth Parliament (Commonwealth of</w:t>
      </w:r>
      <w:r w:rsidR="003155A6">
        <w:rPr>
          <w:rFonts w:ascii="Times New Roman" w:hAnsi="Times New Roman" w:cs="Times New Roman"/>
        </w:rPr>
        <w:t xml:space="preserve"> </w:t>
      </w:r>
      <w:r w:rsidRPr="00A87460">
        <w:rPr>
          <w:rFonts w:ascii="Times New Roman" w:hAnsi="Times New Roman" w:cs="Times New Roman"/>
        </w:rPr>
        <w:t>Australia: Canberra, 2000) at x</w:t>
      </w:r>
      <w:r w:rsidR="003549B9">
        <w:rPr>
          <w:rFonts w:ascii="Times New Roman" w:hAnsi="Times New Roman" w:cs="Times New Roman"/>
        </w:rPr>
        <w:t>iii [hereinafter Final Report].</w:t>
      </w:r>
    </w:p>
  </w:footnote>
  <w:footnote w:id="12">
    <w:p w14:paraId="277B2841" w14:textId="77777777" w:rsidR="009D0D8E" w:rsidRPr="00A87460" w:rsidRDefault="009D0D8E" w:rsidP="00A87460">
      <w:pPr>
        <w:pStyle w:val="FootnoteText"/>
        <w:jc w:val="both"/>
        <w:rPr>
          <w:rFonts w:ascii="Times New Roman" w:hAnsi="Times New Roman" w:cs="Times New Roman"/>
          <w:lang w:val="en-IN"/>
        </w:rPr>
      </w:pPr>
      <w:r w:rsidRPr="00A87460">
        <w:rPr>
          <w:rStyle w:val="FootnoteReference"/>
          <w:rFonts w:ascii="Times New Roman" w:hAnsi="Times New Roman" w:cs="Times New Roman"/>
        </w:rPr>
        <w:footnoteRef/>
      </w:r>
      <w:proofErr w:type="spellStart"/>
      <w:r w:rsidR="003155A6" w:rsidRPr="00FE464C">
        <w:rPr>
          <w:rFonts w:ascii="Times New Roman" w:hAnsi="Times New Roman" w:cs="Times New Roman"/>
          <w:bCs/>
          <w:i/>
        </w:rPr>
        <w:t>Koowarta</w:t>
      </w:r>
      <w:proofErr w:type="spellEnd"/>
      <w:r w:rsidR="003155A6" w:rsidRPr="00FE464C">
        <w:rPr>
          <w:rFonts w:ascii="Times New Roman" w:hAnsi="Times New Roman" w:cs="Times New Roman"/>
          <w:bCs/>
          <w:i/>
        </w:rPr>
        <w:t xml:space="preserve"> v </w:t>
      </w:r>
      <w:proofErr w:type="spellStart"/>
      <w:r w:rsidR="003155A6" w:rsidRPr="00FE464C">
        <w:rPr>
          <w:rFonts w:ascii="Times New Roman" w:hAnsi="Times New Roman" w:cs="Times New Roman"/>
          <w:bCs/>
          <w:i/>
        </w:rPr>
        <w:t>Bjelke</w:t>
      </w:r>
      <w:proofErr w:type="spellEnd"/>
      <w:r w:rsidR="003155A6" w:rsidRPr="00FE464C">
        <w:rPr>
          <w:rFonts w:ascii="Times New Roman" w:hAnsi="Times New Roman" w:cs="Times New Roman"/>
          <w:bCs/>
          <w:i/>
        </w:rPr>
        <w:t>-Peterson</w:t>
      </w:r>
      <w:r w:rsidRPr="00A87460">
        <w:rPr>
          <w:rFonts w:ascii="Times New Roman" w:hAnsi="Times New Roman" w:cs="Times New Roman"/>
        </w:rPr>
        <w:t xml:space="preserve"> </w:t>
      </w:r>
      <w:r w:rsidR="003549B9">
        <w:rPr>
          <w:rFonts w:ascii="Times New Roman" w:hAnsi="Times New Roman" w:cs="Times New Roman"/>
        </w:rPr>
        <w:t>(1982) 153 CLR 168.</w:t>
      </w:r>
    </w:p>
  </w:footnote>
  <w:footnote w:id="13">
    <w:p w14:paraId="3AC409A6" w14:textId="77777777" w:rsidR="009D0D8E" w:rsidRPr="00A87460" w:rsidRDefault="009D0D8E" w:rsidP="00A87460">
      <w:pPr>
        <w:pStyle w:val="FootnoteText"/>
        <w:jc w:val="both"/>
        <w:rPr>
          <w:rFonts w:ascii="Times New Roman" w:hAnsi="Times New Roman" w:cs="Times New Roman"/>
        </w:rPr>
      </w:pPr>
      <w:r w:rsidRPr="00A87460">
        <w:rPr>
          <w:rStyle w:val="FootnoteReference"/>
          <w:rFonts w:ascii="Times New Roman" w:hAnsi="Times New Roman" w:cs="Times New Roman"/>
        </w:rPr>
        <w:footnoteRef/>
      </w:r>
      <w:r w:rsidRPr="00A87460">
        <w:rPr>
          <w:rFonts w:ascii="Times New Roman" w:hAnsi="Times New Roman" w:cs="Times New Roman"/>
        </w:rPr>
        <w:t xml:space="preserve"> </w:t>
      </w:r>
      <w:r w:rsidR="003155A6">
        <w:rPr>
          <w:rFonts w:ascii="Times New Roman" w:hAnsi="Times New Roman" w:cs="Times New Roman"/>
        </w:rPr>
        <w:t xml:space="preserve">Julie Cassidy, </w:t>
      </w:r>
      <w:r w:rsidR="003549B9">
        <w:rPr>
          <w:rFonts w:ascii="Times New Roman" w:hAnsi="Times New Roman" w:cs="Times New Roman"/>
        </w:rPr>
        <w:t>Sovereignty of Aboriginal P</w:t>
      </w:r>
      <w:r w:rsidR="003549B9" w:rsidRPr="00A87460">
        <w:rPr>
          <w:rFonts w:ascii="Times New Roman" w:hAnsi="Times New Roman" w:cs="Times New Roman"/>
        </w:rPr>
        <w:t>eoples</w:t>
      </w:r>
      <w:r w:rsidR="003549B9">
        <w:rPr>
          <w:rFonts w:ascii="Times New Roman" w:hAnsi="Times New Roman" w:cs="Times New Roman"/>
        </w:rPr>
        <w:t xml:space="preserve">, Indiana International &amp; Comparative Law Review, Vol. 9 No.1 (1988). </w:t>
      </w:r>
    </w:p>
    <w:p w14:paraId="0DB2FC73" w14:textId="77777777" w:rsidR="009D0D8E" w:rsidRPr="00A87460" w:rsidRDefault="009D0D8E" w:rsidP="00A87460">
      <w:pPr>
        <w:pStyle w:val="FootnoteText"/>
        <w:jc w:val="both"/>
        <w:rPr>
          <w:rFonts w:ascii="Times New Roman" w:hAnsi="Times New Roman" w:cs="Times New Roman"/>
          <w:lang w:val="en-IN"/>
        </w:rPr>
      </w:pPr>
    </w:p>
  </w:footnote>
  <w:footnote w:id="14">
    <w:p w14:paraId="268B84C5" w14:textId="77777777" w:rsidR="009D0D8E" w:rsidRPr="003549B9" w:rsidRDefault="009D0D8E" w:rsidP="00A87460">
      <w:pPr>
        <w:pStyle w:val="FootnoteText"/>
        <w:jc w:val="both"/>
        <w:rPr>
          <w:rFonts w:ascii="Times New Roman" w:hAnsi="Times New Roman" w:cs="Times New Roman"/>
        </w:rPr>
      </w:pPr>
      <w:r w:rsidRPr="00A87460">
        <w:rPr>
          <w:rStyle w:val="FootnoteReference"/>
          <w:rFonts w:ascii="Times New Roman" w:hAnsi="Times New Roman" w:cs="Times New Roman"/>
        </w:rPr>
        <w:footnoteRef/>
      </w:r>
      <w:r w:rsidRPr="00A87460">
        <w:rPr>
          <w:rFonts w:ascii="Times New Roman" w:hAnsi="Times New Roman" w:cs="Times New Roman"/>
        </w:rPr>
        <w:t xml:space="preserve"> </w:t>
      </w:r>
      <w:r w:rsidRPr="003549B9">
        <w:rPr>
          <w:rFonts w:ascii="Times New Roman" w:hAnsi="Times New Roman" w:cs="Times New Roman"/>
          <w:i/>
        </w:rPr>
        <w:t>Concerning Right of Passage Over Indian Territory (Port. v. India),</w:t>
      </w:r>
      <w:r w:rsidRPr="00A87460">
        <w:rPr>
          <w:rFonts w:ascii="Times New Roman" w:hAnsi="Times New Roman" w:cs="Times New Roman"/>
        </w:rPr>
        <w:t xml:space="preserve"> 1960 I.C.J.</w:t>
      </w:r>
      <w:r w:rsidR="003549B9">
        <w:rPr>
          <w:rFonts w:ascii="Times New Roman" w:hAnsi="Times New Roman" w:cs="Times New Roman"/>
        </w:rPr>
        <w:t xml:space="preserve"> 6, 91-92. </w:t>
      </w:r>
    </w:p>
  </w:footnote>
  <w:footnote w:id="15">
    <w:p w14:paraId="51714DDC" w14:textId="77777777" w:rsidR="003549B9" w:rsidRPr="003549B9" w:rsidRDefault="003549B9">
      <w:pPr>
        <w:pStyle w:val="FootnoteText"/>
        <w:rPr>
          <w:rFonts w:ascii="Times New Roman" w:hAnsi="Times New Roman" w:cs="Times New Roman"/>
          <w:lang w:val="en-IN"/>
        </w:rPr>
      </w:pPr>
      <w:r>
        <w:rPr>
          <w:rStyle w:val="FootnoteReference"/>
        </w:rPr>
        <w:footnoteRef/>
      </w:r>
      <w:r>
        <w:t xml:space="preserve"> </w:t>
      </w:r>
      <w:r w:rsidRPr="003549B9">
        <w:rPr>
          <w:rFonts w:ascii="Times New Roman" w:hAnsi="Times New Roman" w:cs="Times New Roman"/>
          <w:bCs/>
          <w:i/>
          <w:lang w:val="en-IN"/>
        </w:rPr>
        <w:t xml:space="preserve">Denis Walker vs. </w:t>
      </w:r>
      <w:r w:rsidRPr="003549B9">
        <w:rPr>
          <w:rFonts w:ascii="Times New Roman" w:hAnsi="Times New Roman" w:cs="Times New Roman"/>
          <w:bCs/>
          <w:i/>
          <w:lang w:val="en-IN"/>
        </w:rPr>
        <w:t xml:space="preserve">State of NSW </w:t>
      </w:r>
      <w:r w:rsidRPr="003549B9">
        <w:rPr>
          <w:rFonts w:ascii="Times New Roman" w:hAnsi="Times New Roman" w:cs="Times New Roman"/>
          <w:bCs/>
          <w:lang w:val="en-IN"/>
        </w:rPr>
        <w:t>(1994),HCA 64.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662"/>
    <w:rsid w:val="0003763E"/>
    <w:rsid w:val="00130388"/>
    <w:rsid w:val="00152E8B"/>
    <w:rsid w:val="002004A6"/>
    <w:rsid w:val="002D3944"/>
    <w:rsid w:val="003155A6"/>
    <w:rsid w:val="003549B9"/>
    <w:rsid w:val="003D176E"/>
    <w:rsid w:val="003F342E"/>
    <w:rsid w:val="005400F9"/>
    <w:rsid w:val="005C4F35"/>
    <w:rsid w:val="00611D4D"/>
    <w:rsid w:val="006A5A9F"/>
    <w:rsid w:val="00845BA6"/>
    <w:rsid w:val="0085097B"/>
    <w:rsid w:val="00944C16"/>
    <w:rsid w:val="00986782"/>
    <w:rsid w:val="00997D80"/>
    <w:rsid w:val="009D0D8E"/>
    <w:rsid w:val="00A70E26"/>
    <w:rsid w:val="00A87460"/>
    <w:rsid w:val="00A967C6"/>
    <w:rsid w:val="00AA74B5"/>
    <w:rsid w:val="00AB7662"/>
    <w:rsid w:val="00B8429A"/>
    <w:rsid w:val="00BA5FA8"/>
    <w:rsid w:val="00D90B0D"/>
    <w:rsid w:val="00EC72F3"/>
    <w:rsid w:val="00EE5D62"/>
    <w:rsid w:val="00F272C9"/>
    <w:rsid w:val="00F51BF9"/>
    <w:rsid w:val="00FE46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5EDA2"/>
  <w15:chartTrackingRefBased/>
  <w15:docId w15:val="{55DC7FA1-DF29-4EEE-A0E4-552DDFBC2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51BF9"/>
    <w:pPr>
      <w:spacing w:after="0" w:line="240" w:lineRule="auto"/>
    </w:pPr>
    <w:rPr>
      <w:rFonts w:asciiTheme="minorHAnsi" w:hAnsiTheme="minorHAnsi"/>
      <w:sz w:val="20"/>
      <w:szCs w:val="20"/>
      <w:lang w:val="en-AU"/>
    </w:rPr>
  </w:style>
  <w:style w:type="character" w:customStyle="1" w:styleId="FootnoteTextChar">
    <w:name w:val="Footnote Text Char"/>
    <w:basedOn w:val="DefaultParagraphFont"/>
    <w:link w:val="FootnoteText"/>
    <w:uiPriority w:val="99"/>
    <w:rsid w:val="00F51BF9"/>
    <w:rPr>
      <w:rFonts w:asciiTheme="minorHAnsi" w:hAnsiTheme="minorHAnsi"/>
      <w:sz w:val="20"/>
      <w:szCs w:val="20"/>
      <w:lang w:val="en-AU"/>
    </w:rPr>
  </w:style>
  <w:style w:type="character" w:styleId="FootnoteReference">
    <w:name w:val="footnote reference"/>
    <w:basedOn w:val="DefaultParagraphFont"/>
    <w:uiPriority w:val="99"/>
    <w:semiHidden/>
    <w:unhideWhenUsed/>
    <w:rsid w:val="00F51BF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1658</Words>
  <Characters>9455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ARUSHI AGARWAL</dc:creator>
  <cp:keywords/>
  <dc:description/>
  <cp:lastModifiedBy>Rohit Pacheriwal</cp:lastModifiedBy>
  <cp:revision>24</cp:revision>
  <dcterms:created xsi:type="dcterms:W3CDTF">2021-09-30T09:01:00Z</dcterms:created>
  <dcterms:modified xsi:type="dcterms:W3CDTF">2021-09-30T19:42:00Z</dcterms:modified>
</cp:coreProperties>
</file>