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9F6" w:rsidRDefault="00763407">
      <w:pPr>
        <w:pStyle w:val="normal0"/>
        <w:numPr>
          <w:ilvl w:val="0"/>
          <w:numId w:val="1"/>
        </w:numPr>
        <w:jc w:val="both"/>
        <w:rPr>
          <w:sz w:val="24"/>
          <w:szCs w:val="24"/>
        </w:rPr>
      </w:pPr>
      <w:r>
        <w:rPr>
          <w:rFonts w:ascii="Times New Roman" w:eastAsia="Times New Roman" w:hAnsi="Times New Roman" w:cs="Times New Roman"/>
          <w:sz w:val="24"/>
          <w:szCs w:val="24"/>
        </w:rPr>
        <w:t xml:space="preserve">Referring to the question mentioned above we can easily seek the help from the Doctrine of </w:t>
      </w:r>
      <w:proofErr w:type="spellStart"/>
      <w:r>
        <w:rPr>
          <w:rFonts w:ascii="Times New Roman" w:eastAsia="Times New Roman" w:hAnsi="Times New Roman" w:cs="Times New Roman"/>
          <w:sz w:val="24"/>
          <w:szCs w:val="24"/>
        </w:rPr>
        <w:t>Unconscionability</w:t>
      </w:r>
      <w:proofErr w:type="spellEnd"/>
      <w:r>
        <w:rPr>
          <w:rFonts w:ascii="Times New Roman" w:eastAsia="Times New Roman" w:hAnsi="Times New Roman" w:cs="Times New Roman"/>
          <w:sz w:val="24"/>
          <w:szCs w:val="24"/>
        </w:rPr>
        <w:t xml:space="preserve"> in our argument. As we can observe, Thomas, nephew of Lauren, is in a stronger position thereby resulting in unjust agreements. This brings us to the concept of “</w:t>
      </w:r>
      <w:proofErr w:type="spellStart"/>
      <w:r>
        <w:rPr>
          <w:rFonts w:ascii="Times New Roman" w:eastAsia="Times New Roman" w:hAnsi="Times New Roman" w:cs="Times New Roman"/>
          <w:sz w:val="24"/>
          <w:szCs w:val="24"/>
        </w:rPr>
        <w:t>Unconscionability</w:t>
      </w:r>
      <w:proofErr w:type="spellEnd"/>
      <w:r>
        <w:rPr>
          <w:rFonts w:ascii="Times New Roman" w:eastAsia="Times New Roman" w:hAnsi="Times New Roman" w:cs="Times New Roman"/>
          <w:sz w:val="24"/>
          <w:szCs w:val="24"/>
        </w:rPr>
        <w:t xml:space="preserve">”, which can be attributed as a defence against enforcement of a contract based on the terms unfair to one party. Judicial Intervention is the only mode to decide whether </w:t>
      </w:r>
      <w:proofErr w:type="spellStart"/>
      <w:r>
        <w:rPr>
          <w:rFonts w:ascii="Times New Roman" w:eastAsia="Times New Roman" w:hAnsi="Times New Roman" w:cs="Times New Roman"/>
          <w:sz w:val="24"/>
          <w:szCs w:val="24"/>
        </w:rPr>
        <w:t>unconscientious</w:t>
      </w:r>
      <w:proofErr w:type="spellEnd"/>
      <w:r>
        <w:rPr>
          <w:rFonts w:ascii="Times New Roman" w:eastAsia="Times New Roman" w:hAnsi="Times New Roman" w:cs="Times New Roman"/>
          <w:sz w:val="24"/>
          <w:szCs w:val="24"/>
        </w:rPr>
        <w:t xml:space="preserve"> dealings have taken place in any particular case.</w:t>
      </w:r>
    </w:p>
    <w:p w:rsidR="004929F6" w:rsidRDefault="004929F6">
      <w:pPr>
        <w:pStyle w:val="normal0"/>
        <w:ind w:left="720"/>
        <w:jc w:val="both"/>
        <w:rPr>
          <w:rFonts w:ascii="Times New Roman" w:eastAsia="Times New Roman" w:hAnsi="Times New Roman" w:cs="Times New Roman"/>
          <w:sz w:val="24"/>
          <w:szCs w:val="24"/>
        </w:rPr>
      </w:pPr>
    </w:p>
    <w:p w:rsidR="004929F6" w:rsidRDefault="00763407">
      <w:pPr>
        <w:pStyle w:val="normal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Section 20 (1)</w:t>
      </w:r>
      <w:sdt>
        <w:sdtPr>
          <w:rPr>
            <w:rFonts w:ascii="Times New Roman" w:eastAsia="Times New Roman" w:hAnsi="Times New Roman" w:cs="Times New Roman"/>
            <w:sz w:val="24"/>
            <w:szCs w:val="24"/>
          </w:rPr>
          <w:id w:val="281915033"/>
          <w:citation/>
        </w:sdtPr>
        <w:sdtContent>
          <w:r w:rsidR="00033CB8">
            <w:rPr>
              <w:rFonts w:ascii="Times New Roman" w:eastAsia="Times New Roman" w:hAnsi="Times New Roman" w:cs="Times New Roman"/>
              <w:sz w:val="24"/>
              <w:szCs w:val="24"/>
            </w:rPr>
            <w:fldChar w:fldCharType="begin"/>
          </w:r>
          <w:r w:rsidR="00F039BD">
            <w:rPr>
              <w:rFonts w:ascii="Times New Roman" w:eastAsia="Times New Roman" w:hAnsi="Times New Roman" w:cs="Times New Roman"/>
              <w:sz w:val="24"/>
              <w:szCs w:val="24"/>
            </w:rPr>
            <w:instrText xml:space="preserve"> CITATION Aus21 \l 1033 </w:instrText>
          </w:r>
          <w:r w:rsidR="00033CB8">
            <w:rPr>
              <w:rFonts w:ascii="Times New Roman" w:eastAsia="Times New Roman" w:hAnsi="Times New Roman" w:cs="Times New Roman"/>
              <w:sz w:val="24"/>
              <w:szCs w:val="24"/>
            </w:rPr>
            <w:fldChar w:fldCharType="separate"/>
          </w:r>
          <w:r w:rsidR="00F039BD">
            <w:rPr>
              <w:rFonts w:ascii="Times New Roman" w:eastAsia="Times New Roman" w:hAnsi="Times New Roman" w:cs="Times New Roman"/>
              <w:noProof/>
              <w:sz w:val="24"/>
              <w:szCs w:val="24"/>
            </w:rPr>
            <w:t xml:space="preserve"> </w:t>
          </w:r>
          <w:r w:rsidR="00F039BD" w:rsidRPr="00F039BD">
            <w:rPr>
              <w:rFonts w:ascii="Times New Roman" w:eastAsia="Times New Roman" w:hAnsi="Times New Roman" w:cs="Times New Roman"/>
              <w:noProof/>
              <w:sz w:val="24"/>
              <w:szCs w:val="24"/>
            </w:rPr>
            <w:t>(Law, n.d.)</w:t>
          </w:r>
          <w:proofErr w:type="gramEnd"/>
          <w:r w:rsidR="00033CB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deals</w:t>
      </w:r>
      <w:proofErr w:type="gramEnd"/>
      <w:r>
        <w:rPr>
          <w:rFonts w:ascii="Times New Roman" w:eastAsia="Times New Roman" w:hAnsi="Times New Roman" w:cs="Times New Roman"/>
          <w:sz w:val="24"/>
          <w:szCs w:val="24"/>
        </w:rPr>
        <w:t xml:space="preserve"> with the Doctrine of </w:t>
      </w:r>
      <w:proofErr w:type="spellStart"/>
      <w:r>
        <w:rPr>
          <w:rFonts w:ascii="Times New Roman" w:eastAsia="Times New Roman" w:hAnsi="Times New Roman" w:cs="Times New Roman"/>
          <w:sz w:val="24"/>
          <w:szCs w:val="24"/>
        </w:rPr>
        <w:t>Unconscionability</w:t>
      </w:r>
      <w:proofErr w:type="spellEnd"/>
      <w:r>
        <w:rPr>
          <w:rFonts w:ascii="Times New Roman" w:eastAsia="Times New Roman" w:hAnsi="Times New Roman" w:cs="Times New Roman"/>
          <w:sz w:val="24"/>
          <w:szCs w:val="24"/>
        </w:rPr>
        <w:t xml:space="preserve">, and it also holds penal provision under the same section. As held in the landmark case of </w:t>
      </w:r>
      <w:r>
        <w:rPr>
          <w:rFonts w:ascii="Times New Roman" w:eastAsia="Times New Roman" w:hAnsi="Times New Roman" w:cs="Times New Roman"/>
          <w:i/>
          <w:sz w:val="24"/>
          <w:szCs w:val="24"/>
        </w:rPr>
        <w:t xml:space="preserve">Commercial Bank of Australia Ltd v. </w:t>
      </w:r>
      <w:proofErr w:type="spellStart"/>
      <w:r>
        <w:rPr>
          <w:rFonts w:ascii="Times New Roman" w:eastAsia="Times New Roman" w:hAnsi="Times New Roman" w:cs="Times New Roman"/>
          <w:i/>
          <w:sz w:val="24"/>
          <w:szCs w:val="24"/>
        </w:rPr>
        <w:t>Amadio</w:t>
      </w:r>
      <w:proofErr w:type="spellEnd"/>
      <w:sdt>
        <w:sdtPr>
          <w:rPr>
            <w:rFonts w:ascii="Times New Roman" w:eastAsia="Times New Roman" w:hAnsi="Times New Roman" w:cs="Times New Roman"/>
            <w:i/>
            <w:sz w:val="24"/>
            <w:szCs w:val="24"/>
          </w:rPr>
          <w:id w:val="281915034"/>
          <w:citation/>
        </w:sdtPr>
        <w:sdtContent>
          <w:r w:rsidR="00033CB8">
            <w:rPr>
              <w:rFonts w:ascii="Times New Roman" w:eastAsia="Times New Roman" w:hAnsi="Times New Roman" w:cs="Times New Roman"/>
              <w:i/>
              <w:sz w:val="24"/>
              <w:szCs w:val="24"/>
            </w:rPr>
            <w:fldChar w:fldCharType="begin"/>
          </w:r>
          <w:r w:rsidR="001B3FDF">
            <w:rPr>
              <w:rFonts w:ascii="Times New Roman" w:eastAsia="Times New Roman" w:hAnsi="Times New Roman" w:cs="Times New Roman"/>
              <w:i/>
              <w:sz w:val="24"/>
              <w:szCs w:val="24"/>
            </w:rPr>
            <w:instrText xml:space="preserve"> CITATION Com83 \l 1033 </w:instrText>
          </w:r>
          <w:r w:rsidR="00033CB8">
            <w:rPr>
              <w:rFonts w:ascii="Times New Roman" w:eastAsia="Times New Roman" w:hAnsi="Times New Roman" w:cs="Times New Roman"/>
              <w:i/>
              <w:sz w:val="24"/>
              <w:szCs w:val="24"/>
            </w:rPr>
            <w:fldChar w:fldCharType="separate"/>
          </w:r>
          <w:r w:rsidR="001B3FDF">
            <w:rPr>
              <w:rFonts w:ascii="Times New Roman" w:eastAsia="Times New Roman" w:hAnsi="Times New Roman" w:cs="Times New Roman"/>
              <w:i/>
              <w:noProof/>
              <w:sz w:val="24"/>
              <w:szCs w:val="24"/>
            </w:rPr>
            <w:t xml:space="preserve"> </w:t>
          </w:r>
          <w:r w:rsidR="001B3FDF" w:rsidRPr="001B3FDF">
            <w:rPr>
              <w:rFonts w:ascii="Times New Roman" w:eastAsia="Times New Roman" w:hAnsi="Times New Roman" w:cs="Times New Roman"/>
              <w:noProof/>
              <w:sz w:val="24"/>
              <w:szCs w:val="24"/>
            </w:rPr>
            <w:t>(Commercial Bank of Australia Ltd v. Amadio, 1983)</w:t>
          </w:r>
          <w:r w:rsidR="00033CB8">
            <w:rPr>
              <w:rFonts w:ascii="Times New Roman" w:eastAsia="Times New Roman" w:hAnsi="Times New Roman" w:cs="Times New Roman"/>
              <w:i/>
              <w:sz w:val="24"/>
              <w:szCs w:val="24"/>
            </w:rPr>
            <w:fldChar w:fldCharType="end"/>
          </w:r>
        </w:sdtContent>
      </w:sdt>
      <w:r>
        <w:rPr>
          <w:rFonts w:ascii="Times New Roman" w:eastAsia="Times New Roman" w:hAnsi="Times New Roman" w:cs="Times New Roman"/>
          <w:sz w:val="24"/>
          <w:szCs w:val="24"/>
        </w:rPr>
        <w:t xml:space="preserve">, Deane J. reformulated the early test in </w:t>
      </w:r>
      <w:proofErr w:type="spellStart"/>
      <w:r>
        <w:rPr>
          <w:rFonts w:ascii="Times New Roman" w:eastAsia="Times New Roman" w:hAnsi="Times New Roman" w:cs="Times New Roman"/>
          <w:sz w:val="24"/>
          <w:szCs w:val="24"/>
        </w:rPr>
        <w:t>Blomley</w:t>
      </w:r>
      <w:proofErr w:type="spellEnd"/>
      <w:r>
        <w:rPr>
          <w:rFonts w:ascii="Times New Roman" w:eastAsia="Times New Roman" w:hAnsi="Times New Roman" w:cs="Times New Roman"/>
          <w:sz w:val="24"/>
          <w:szCs w:val="24"/>
        </w:rPr>
        <w:t xml:space="preserve"> v Ryan</w:t>
      </w:r>
      <w:sdt>
        <w:sdtPr>
          <w:rPr>
            <w:rFonts w:ascii="Times New Roman" w:eastAsia="Times New Roman" w:hAnsi="Times New Roman" w:cs="Times New Roman"/>
            <w:sz w:val="24"/>
            <w:szCs w:val="24"/>
          </w:rPr>
          <w:id w:val="281915035"/>
          <w:citation/>
        </w:sdtPr>
        <w:sdtContent>
          <w:r w:rsidR="00033CB8">
            <w:rPr>
              <w:rFonts w:ascii="Times New Roman" w:eastAsia="Times New Roman" w:hAnsi="Times New Roman" w:cs="Times New Roman"/>
              <w:sz w:val="24"/>
              <w:szCs w:val="24"/>
            </w:rPr>
            <w:fldChar w:fldCharType="begin"/>
          </w:r>
          <w:r w:rsidR="001B3FDF">
            <w:rPr>
              <w:rFonts w:ascii="Times New Roman" w:eastAsia="Times New Roman" w:hAnsi="Times New Roman" w:cs="Times New Roman"/>
              <w:sz w:val="24"/>
              <w:szCs w:val="24"/>
            </w:rPr>
            <w:instrText xml:space="preserve"> CITATION Blo54 \l 1033 </w:instrText>
          </w:r>
          <w:r w:rsidR="00033CB8">
            <w:rPr>
              <w:rFonts w:ascii="Times New Roman" w:eastAsia="Times New Roman" w:hAnsi="Times New Roman" w:cs="Times New Roman"/>
              <w:sz w:val="24"/>
              <w:szCs w:val="24"/>
            </w:rPr>
            <w:fldChar w:fldCharType="separate"/>
          </w:r>
          <w:r w:rsidR="001B3FDF">
            <w:rPr>
              <w:rFonts w:ascii="Times New Roman" w:eastAsia="Times New Roman" w:hAnsi="Times New Roman" w:cs="Times New Roman"/>
              <w:noProof/>
              <w:sz w:val="24"/>
              <w:szCs w:val="24"/>
            </w:rPr>
            <w:t xml:space="preserve"> </w:t>
          </w:r>
          <w:r w:rsidR="001B3FDF" w:rsidRPr="001B3FDF">
            <w:rPr>
              <w:rFonts w:ascii="Times New Roman" w:eastAsia="Times New Roman" w:hAnsi="Times New Roman" w:cs="Times New Roman"/>
              <w:noProof/>
              <w:sz w:val="24"/>
              <w:szCs w:val="24"/>
            </w:rPr>
            <w:t>(Blomley v Ryan, 1954)</w:t>
          </w:r>
          <w:r w:rsidR="00033CB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judgement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Fullagar</w:t>
      </w:r>
      <w:proofErr w:type="spellEnd"/>
      <w:r>
        <w:rPr>
          <w:rFonts w:ascii="Times New Roman" w:eastAsia="Times New Roman" w:hAnsi="Times New Roman" w:cs="Times New Roman"/>
          <w:sz w:val="24"/>
          <w:szCs w:val="24"/>
        </w:rPr>
        <w:t xml:space="preserve"> J. where poverty or need of any sort, illness, mentally or physical disability, intoxication, or lack of education, and a lack of aid or explanations when support or clarification is required. They all seem to have the effect of putting one side at a significant loss when it comes to another.) </w:t>
      </w:r>
      <w:proofErr w:type="gramStart"/>
      <w:r>
        <w:rPr>
          <w:rFonts w:ascii="Times New Roman" w:eastAsia="Times New Roman" w:hAnsi="Times New Roman" w:cs="Times New Roman"/>
          <w:sz w:val="24"/>
          <w:szCs w:val="24"/>
        </w:rPr>
        <w:t>making</w:t>
      </w:r>
      <w:proofErr w:type="gramEnd"/>
      <w:r>
        <w:rPr>
          <w:rFonts w:ascii="Times New Roman" w:eastAsia="Times New Roman" w:hAnsi="Times New Roman" w:cs="Times New Roman"/>
          <w:sz w:val="24"/>
          <w:szCs w:val="24"/>
        </w:rPr>
        <w:t xml:space="preserve"> it easier for the plaintiffs as they do not have to prove actual exploitation. The key elements laid down by Deane J. are that the weaker party has certain special disadvantages in dealing with other parties without any reasonable degree of equity between them. And the disability was sufficient for the stronger party to make it prima facie unfair that they accept the weaker party’s assent to the transaction.</w:t>
      </w:r>
    </w:p>
    <w:p w:rsidR="004929F6" w:rsidRDefault="004929F6">
      <w:pPr>
        <w:pStyle w:val="normal0"/>
        <w:ind w:left="720"/>
        <w:jc w:val="both"/>
        <w:rPr>
          <w:rFonts w:ascii="Times New Roman" w:eastAsia="Times New Roman" w:hAnsi="Times New Roman" w:cs="Times New Roman"/>
          <w:sz w:val="24"/>
          <w:szCs w:val="24"/>
        </w:rPr>
      </w:pPr>
    </w:p>
    <w:p w:rsidR="004929F6" w:rsidRDefault="00763407">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in the landmark case of </w:t>
      </w:r>
      <w:proofErr w:type="spellStart"/>
      <w:r>
        <w:rPr>
          <w:rFonts w:ascii="Times New Roman" w:eastAsia="Times New Roman" w:hAnsi="Times New Roman" w:cs="Times New Roman"/>
          <w:i/>
          <w:sz w:val="24"/>
          <w:szCs w:val="24"/>
        </w:rPr>
        <w:t>Diprose</w:t>
      </w:r>
      <w:proofErr w:type="spellEnd"/>
      <w:r>
        <w:rPr>
          <w:rFonts w:ascii="Times New Roman" w:eastAsia="Times New Roman" w:hAnsi="Times New Roman" w:cs="Times New Roman"/>
          <w:i/>
          <w:sz w:val="24"/>
          <w:szCs w:val="24"/>
        </w:rPr>
        <w:t xml:space="preserve"> v. </w:t>
      </w:r>
      <w:proofErr w:type="spellStart"/>
      <w:r>
        <w:rPr>
          <w:rFonts w:ascii="Times New Roman" w:eastAsia="Times New Roman" w:hAnsi="Times New Roman" w:cs="Times New Roman"/>
          <w:i/>
          <w:sz w:val="24"/>
          <w:szCs w:val="24"/>
        </w:rPr>
        <w:t>Louth</w:t>
      </w:r>
      <w:proofErr w:type="spellEnd"/>
      <w:sdt>
        <w:sdtPr>
          <w:rPr>
            <w:rFonts w:ascii="Times New Roman" w:eastAsia="Times New Roman" w:hAnsi="Times New Roman" w:cs="Times New Roman"/>
            <w:i/>
            <w:sz w:val="24"/>
            <w:szCs w:val="24"/>
          </w:rPr>
          <w:id w:val="281915036"/>
          <w:citation/>
        </w:sdtPr>
        <w:sdtContent>
          <w:r w:rsidR="00033CB8">
            <w:rPr>
              <w:rFonts w:ascii="Times New Roman" w:eastAsia="Times New Roman" w:hAnsi="Times New Roman" w:cs="Times New Roman"/>
              <w:i/>
              <w:sz w:val="24"/>
              <w:szCs w:val="24"/>
            </w:rPr>
            <w:fldChar w:fldCharType="begin"/>
          </w:r>
          <w:r w:rsidR="001B3FDF">
            <w:rPr>
              <w:rFonts w:ascii="Times New Roman" w:eastAsia="Times New Roman" w:hAnsi="Times New Roman" w:cs="Times New Roman"/>
              <w:i/>
              <w:sz w:val="24"/>
              <w:szCs w:val="24"/>
            </w:rPr>
            <w:instrText xml:space="preserve"> CITATION Dip90 \l 1033 </w:instrText>
          </w:r>
          <w:r w:rsidR="00033CB8">
            <w:rPr>
              <w:rFonts w:ascii="Times New Roman" w:eastAsia="Times New Roman" w:hAnsi="Times New Roman" w:cs="Times New Roman"/>
              <w:i/>
              <w:sz w:val="24"/>
              <w:szCs w:val="24"/>
            </w:rPr>
            <w:fldChar w:fldCharType="separate"/>
          </w:r>
          <w:r w:rsidR="001B3FDF">
            <w:rPr>
              <w:rFonts w:ascii="Times New Roman" w:eastAsia="Times New Roman" w:hAnsi="Times New Roman" w:cs="Times New Roman"/>
              <w:i/>
              <w:noProof/>
              <w:sz w:val="24"/>
              <w:szCs w:val="24"/>
            </w:rPr>
            <w:t xml:space="preserve"> </w:t>
          </w:r>
          <w:r w:rsidR="001B3FDF" w:rsidRPr="001B3FDF">
            <w:rPr>
              <w:rFonts w:ascii="Times New Roman" w:eastAsia="Times New Roman" w:hAnsi="Times New Roman" w:cs="Times New Roman"/>
              <w:noProof/>
              <w:sz w:val="24"/>
              <w:szCs w:val="24"/>
            </w:rPr>
            <w:t>(Diprose v. Louth, 190)</w:t>
          </w:r>
          <w:r w:rsidR="00033CB8">
            <w:rPr>
              <w:rFonts w:ascii="Times New Roman" w:eastAsia="Times New Roman" w:hAnsi="Times New Roman" w:cs="Times New Roman"/>
              <w:i/>
              <w:sz w:val="24"/>
              <w:szCs w:val="24"/>
            </w:rPr>
            <w:fldChar w:fldCharType="end"/>
          </w:r>
        </w:sdtContent>
      </w:sd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Justice King quoted that, the plaintiff and the defendant had a connection that put the plaintiff in a situation of psychological dependency on the defendant and provided her a lot of power over his actions and decisions. He was completely </w:t>
      </w:r>
      <w:proofErr w:type="spellStart"/>
      <w:r>
        <w:rPr>
          <w:rFonts w:ascii="Times New Roman" w:eastAsia="Times New Roman" w:hAnsi="Times New Roman" w:cs="Times New Roman"/>
          <w:sz w:val="24"/>
          <w:szCs w:val="24"/>
        </w:rPr>
        <w:t>enamoured</w:t>
      </w:r>
      <w:proofErr w:type="spellEnd"/>
      <w:r>
        <w:rPr>
          <w:rFonts w:ascii="Times New Roman" w:eastAsia="Times New Roman" w:hAnsi="Times New Roman" w:cs="Times New Roman"/>
          <w:sz w:val="24"/>
          <w:szCs w:val="24"/>
        </w:rPr>
        <w:t xml:space="preserve"> with her from the moment they met. He'd had bad household encounters and was eager to shower a woman with love and devotion. </w:t>
      </w:r>
    </w:p>
    <w:p w:rsidR="004929F6" w:rsidRDefault="004929F6">
      <w:pPr>
        <w:pStyle w:val="normal0"/>
        <w:ind w:left="720"/>
        <w:jc w:val="both"/>
        <w:rPr>
          <w:rFonts w:ascii="Times New Roman" w:eastAsia="Times New Roman" w:hAnsi="Times New Roman" w:cs="Times New Roman"/>
          <w:sz w:val="24"/>
          <w:szCs w:val="24"/>
        </w:rPr>
      </w:pPr>
    </w:p>
    <w:p w:rsidR="004929F6" w:rsidRDefault="00763407">
      <w:pPr>
        <w:pStyle w:val="normal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In a similar </w:t>
      </w:r>
      <w:proofErr w:type="spellStart"/>
      <w:r>
        <w:rPr>
          <w:rFonts w:ascii="Times New Roman" w:eastAsia="Times New Roman" w:hAnsi="Times New Roman" w:cs="Times New Roman"/>
          <w:sz w:val="24"/>
          <w:szCs w:val="24"/>
        </w:rPr>
        <w:t>judgement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Kakavas</w:t>
      </w:r>
      <w:proofErr w:type="spellEnd"/>
      <w:r>
        <w:rPr>
          <w:rFonts w:ascii="Times New Roman" w:eastAsia="Times New Roman" w:hAnsi="Times New Roman" w:cs="Times New Roman"/>
          <w:sz w:val="24"/>
          <w:szCs w:val="24"/>
        </w:rPr>
        <w:t xml:space="preserve"> v Crown Melbourne Ltd,</w:t>
      </w:r>
      <w:sdt>
        <w:sdtPr>
          <w:rPr>
            <w:rFonts w:ascii="Times New Roman" w:eastAsia="Times New Roman" w:hAnsi="Times New Roman" w:cs="Times New Roman"/>
            <w:sz w:val="24"/>
            <w:szCs w:val="24"/>
          </w:rPr>
          <w:id w:val="281915037"/>
          <w:citation/>
        </w:sdtPr>
        <w:sdtContent>
          <w:r w:rsidR="00033CB8">
            <w:rPr>
              <w:rFonts w:ascii="Times New Roman" w:eastAsia="Times New Roman" w:hAnsi="Times New Roman" w:cs="Times New Roman"/>
              <w:sz w:val="24"/>
              <w:szCs w:val="24"/>
            </w:rPr>
            <w:fldChar w:fldCharType="begin"/>
          </w:r>
          <w:r w:rsidR="001B3FDF">
            <w:rPr>
              <w:rFonts w:ascii="Times New Roman" w:eastAsia="Times New Roman" w:hAnsi="Times New Roman" w:cs="Times New Roman"/>
              <w:sz w:val="24"/>
              <w:szCs w:val="24"/>
            </w:rPr>
            <w:instrText xml:space="preserve"> CITATION Kak13 \l 1033 </w:instrText>
          </w:r>
          <w:r w:rsidR="00033CB8">
            <w:rPr>
              <w:rFonts w:ascii="Times New Roman" w:eastAsia="Times New Roman" w:hAnsi="Times New Roman" w:cs="Times New Roman"/>
              <w:sz w:val="24"/>
              <w:szCs w:val="24"/>
            </w:rPr>
            <w:fldChar w:fldCharType="separate"/>
          </w:r>
          <w:r w:rsidR="001B3FDF">
            <w:rPr>
              <w:rFonts w:ascii="Times New Roman" w:eastAsia="Times New Roman" w:hAnsi="Times New Roman" w:cs="Times New Roman"/>
              <w:noProof/>
              <w:sz w:val="24"/>
              <w:szCs w:val="24"/>
            </w:rPr>
            <w:t xml:space="preserve"> </w:t>
          </w:r>
          <w:r w:rsidR="001B3FDF" w:rsidRPr="001B3FDF">
            <w:rPr>
              <w:rFonts w:ascii="Times New Roman" w:eastAsia="Times New Roman" w:hAnsi="Times New Roman" w:cs="Times New Roman"/>
              <w:noProof/>
              <w:sz w:val="24"/>
              <w:szCs w:val="24"/>
            </w:rPr>
            <w:t>(Kakavas v Crown Melbourne Ltd, 2013)</w:t>
          </w:r>
          <w:r w:rsidR="00033CB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Mandie</w:t>
      </w:r>
      <w:proofErr w:type="spellEnd"/>
      <w:r>
        <w:rPr>
          <w:rFonts w:ascii="Times New Roman" w:eastAsia="Times New Roman" w:hAnsi="Times New Roman" w:cs="Times New Roman"/>
          <w:sz w:val="24"/>
          <w:szCs w:val="24"/>
        </w:rPr>
        <w:t xml:space="preserve"> JA.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reformulated</w:t>
      </w:r>
      <w:proofErr w:type="gramEnd"/>
      <w:r>
        <w:rPr>
          <w:rFonts w:ascii="Times New Roman" w:eastAsia="Times New Roman" w:hAnsi="Times New Roman" w:cs="Times New Roman"/>
          <w:sz w:val="24"/>
          <w:szCs w:val="24"/>
        </w:rPr>
        <w:t xml:space="preserve"> that the appellant argued that he was in a particular impairment or disadvantage because he possessed the capacity to regulate the regularity with which he wagered and the sum of funds he lost, as well as the capacity to make logical judgments in those areas. The court dismissed that claim, and I believe he had every right to do so </w:t>
      </w:r>
      <w:proofErr w:type="gramStart"/>
      <w:r>
        <w:rPr>
          <w:rFonts w:ascii="Times New Roman" w:eastAsia="Times New Roman" w:hAnsi="Times New Roman" w:cs="Times New Roman"/>
          <w:sz w:val="24"/>
          <w:szCs w:val="24"/>
        </w:rPr>
        <w:t>based</w:t>
      </w:r>
      <w:proofErr w:type="gramEnd"/>
      <w:r>
        <w:rPr>
          <w:rFonts w:ascii="Times New Roman" w:eastAsia="Times New Roman" w:hAnsi="Times New Roman" w:cs="Times New Roman"/>
          <w:sz w:val="24"/>
          <w:szCs w:val="24"/>
        </w:rPr>
        <w:t xml:space="preserve"> on the facts.</w:t>
      </w:r>
    </w:p>
    <w:p w:rsidR="004929F6" w:rsidRDefault="004929F6">
      <w:pPr>
        <w:pStyle w:val="normal0"/>
        <w:ind w:left="720"/>
        <w:jc w:val="both"/>
        <w:rPr>
          <w:rFonts w:ascii="Times New Roman" w:eastAsia="Times New Roman" w:hAnsi="Times New Roman" w:cs="Times New Roman"/>
          <w:sz w:val="24"/>
          <w:szCs w:val="24"/>
        </w:rPr>
      </w:pPr>
    </w:p>
    <w:p w:rsidR="004929F6" w:rsidRDefault="004929F6">
      <w:pPr>
        <w:pStyle w:val="normal0"/>
        <w:ind w:left="720"/>
        <w:jc w:val="both"/>
        <w:rPr>
          <w:rFonts w:ascii="Times New Roman" w:eastAsia="Times New Roman" w:hAnsi="Times New Roman" w:cs="Times New Roman"/>
          <w:sz w:val="24"/>
          <w:szCs w:val="24"/>
        </w:rPr>
      </w:pPr>
    </w:p>
    <w:p w:rsidR="004929F6" w:rsidRDefault="00763407">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argument which backs Jennifer will be in three folds. Firstly, it will fall under the Breach of Contract to be specific under ‘Mistake’. As held in the landmark case of Bell v Lever Bros,</w:t>
      </w:r>
      <w:sdt>
        <w:sdtPr>
          <w:rPr>
            <w:rFonts w:ascii="Times New Roman" w:eastAsia="Times New Roman" w:hAnsi="Times New Roman" w:cs="Times New Roman"/>
            <w:sz w:val="24"/>
            <w:szCs w:val="24"/>
          </w:rPr>
          <w:id w:val="281915038"/>
          <w:citation/>
        </w:sdtPr>
        <w:sdtContent>
          <w:r w:rsidR="00033CB8">
            <w:rPr>
              <w:rFonts w:ascii="Times New Roman" w:eastAsia="Times New Roman" w:hAnsi="Times New Roman" w:cs="Times New Roman"/>
              <w:sz w:val="24"/>
              <w:szCs w:val="24"/>
            </w:rPr>
            <w:fldChar w:fldCharType="begin"/>
          </w:r>
          <w:r w:rsidR="00706E44">
            <w:rPr>
              <w:rFonts w:ascii="Times New Roman" w:eastAsia="Times New Roman" w:hAnsi="Times New Roman" w:cs="Times New Roman"/>
              <w:sz w:val="24"/>
              <w:szCs w:val="24"/>
            </w:rPr>
            <w:instrText xml:space="preserve"> CITATION Bel32 \l 1033 </w:instrText>
          </w:r>
          <w:r w:rsidR="00033CB8">
            <w:rPr>
              <w:rFonts w:ascii="Times New Roman" w:eastAsia="Times New Roman" w:hAnsi="Times New Roman" w:cs="Times New Roman"/>
              <w:sz w:val="24"/>
              <w:szCs w:val="24"/>
            </w:rPr>
            <w:fldChar w:fldCharType="separate"/>
          </w:r>
          <w:r w:rsidR="00706E44">
            <w:rPr>
              <w:rFonts w:ascii="Times New Roman" w:eastAsia="Times New Roman" w:hAnsi="Times New Roman" w:cs="Times New Roman"/>
              <w:noProof/>
              <w:sz w:val="24"/>
              <w:szCs w:val="24"/>
            </w:rPr>
            <w:t xml:space="preserve"> </w:t>
          </w:r>
          <w:r w:rsidR="00706E44" w:rsidRPr="00706E44">
            <w:rPr>
              <w:rFonts w:ascii="Times New Roman" w:eastAsia="Times New Roman" w:hAnsi="Times New Roman" w:cs="Times New Roman"/>
              <w:noProof/>
              <w:sz w:val="24"/>
              <w:szCs w:val="24"/>
            </w:rPr>
            <w:t>(Bell v Lever Bros, 1932)</w:t>
          </w:r>
          <w:r w:rsidR="00033CB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Lord Warrington of </w:t>
      </w:r>
      <w:proofErr w:type="spellStart"/>
      <w:r>
        <w:rPr>
          <w:rFonts w:ascii="Times New Roman" w:eastAsia="Times New Roman" w:hAnsi="Times New Roman" w:cs="Times New Roman"/>
          <w:sz w:val="24"/>
          <w:szCs w:val="24"/>
        </w:rPr>
        <w:t>Clyffe</w:t>
      </w:r>
      <w:proofErr w:type="spellEnd"/>
      <w:r>
        <w:rPr>
          <w:rFonts w:ascii="Times New Roman" w:eastAsia="Times New Roman" w:hAnsi="Times New Roman" w:cs="Times New Roman"/>
          <w:sz w:val="24"/>
          <w:szCs w:val="24"/>
        </w:rPr>
        <w:t xml:space="preserve"> said; the true issue would be that the stakeholders' incorrect assertion that warranties were undefined unless </w:t>
      </w:r>
      <w:r>
        <w:rPr>
          <w:rFonts w:ascii="Times New Roman" w:eastAsia="Times New Roman" w:hAnsi="Times New Roman" w:cs="Times New Roman"/>
          <w:sz w:val="24"/>
          <w:szCs w:val="24"/>
        </w:rPr>
        <w:lastRenderedPageBreak/>
        <w:t xml:space="preserve">by accord was of this inherent structure that it constituted an implicit principle otherwise the sides never would have decided to make the deal they did, or not a basic implication. Therefore after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argument we can say that it further bifurcated as a unilateral mistake, which means the error is done either through misrepresentation or fraud. Generally, the unilateral mistake leads to a contract voidable. </w:t>
      </w:r>
    </w:p>
    <w:p w:rsidR="004929F6" w:rsidRDefault="004929F6">
      <w:pPr>
        <w:pStyle w:val="normal0"/>
        <w:ind w:left="720"/>
        <w:jc w:val="both"/>
        <w:rPr>
          <w:rFonts w:ascii="Times New Roman" w:eastAsia="Times New Roman" w:hAnsi="Times New Roman" w:cs="Times New Roman"/>
          <w:sz w:val="24"/>
          <w:szCs w:val="24"/>
        </w:rPr>
      </w:pPr>
    </w:p>
    <w:p w:rsidR="004929F6" w:rsidRDefault="00763407">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principle which is Variation of Contract is totally a most competent argument in this case. Referring to the </w:t>
      </w:r>
      <w:proofErr w:type="spellStart"/>
      <w:r>
        <w:rPr>
          <w:rFonts w:ascii="Times New Roman" w:eastAsia="Times New Roman" w:hAnsi="Times New Roman" w:cs="Times New Roman"/>
          <w:sz w:val="24"/>
          <w:szCs w:val="24"/>
        </w:rPr>
        <w:t>judgement</w:t>
      </w:r>
      <w:proofErr w:type="spellEnd"/>
      <w:r>
        <w:rPr>
          <w:rFonts w:ascii="Times New Roman" w:eastAsia="Times New Roman" w:hAnsi="Times New Roman" w:cs="Times New Roman"/>
          <w:sz w:val="24"/>
          <w:szCs w:val="24"/>
        </w:rPr>
        <w:t xml:space="preserve"> of Lucas Earthmovers Pty Limited v </w:t>
      </w:r>
      <w:proofErr w:type="spellStart"/>
      <w:r>
        <w:rPr>
          <w:rFonts w:ascii="Times New Roman" w:eastAsia="Times New Roman" w:hAnsi="Times New Roman" w:cs="Times New Roman"/>
          <w:sz w:val="24"/>
          <w:szCs w:val="24"/>
        </w:rPr>
        <w:t>Anglogold</w:t>
      </w:r>
      <w:proofErr w:type="spellEnd"/>
      <w:r>
        <w:rPr>
          <w:rFonts w:ascii="Times New Roman" w:eastAsia="Times New Roman" w:hAnsi="Times New Roman" w:cs="Times New Roman"/>
          <w:sz w:val="24"/>
          <w:szCs w:val="24"/>
        </w:rPr>
        <w:t xml:space="preserve"> Ashanti Australia Limited,</w:t>
      </w:r>
      <w:sdt>
        <w:sdtPr>
          <w:rPr>
            <w:rFonts w:ascii="Times New Roman" w:eastAsia="Times New Roman" w:hAnsi="Times New Roman" w:cs="Times New Roman"/>
            <w:sz w:val="24"/>
            <w:szCs w:val="24"/>
          </w:rPr>
          <w:id w:val="281915039"/>
          <w:citation/>
        </w:sdtPr>
        <w:sdtContent>
          <w:r w:rsidR="00033CB8">
            <w:rPr>
              <w:rFonts w:ascii="Times New Roman" w:eastAsia="Times New Roman" w:hAnsi="Times New Roman" w:cs="Times New Roman"/>
              <w:sz w:val="24"/>
              <w:szCs w:val="24"/>
            </w:rPr>
            <w:fldChar w:fldCharType="begin"/>
          </w:r>
          <w:r w:rsidR="00706E44">
            <w:rPr>
              <w:rFonts w:ascii="Times New Roman" w:eastAsia="Times New Roman" w:hAnsi="Times New Roman" w:cs="Times New Roman"/>
              <w:sz w:val="24"/>
              <w:szCs w:val="24"/>
            </w:rPr>
            <w:instrText xml:space="preserve"> CITATION Luc19 \l 1033 </w:instrText>
          </w:r>
          <w:r w:rsidR="00033CB8">
            <w:rPr>
              <w:rFonts w:ascii="Times New Roman" w:eastAsia="Times New Roman" w:hAnsi="Times New Roman" w:cs="Times New Roman"/>
              <w:sz w:val="24"/>
              <w:szCs w:val="24"/>
            </w:rPr>
            <w:fldChar w:fldCharType="separate"/>
          </w:r>
          <w:r w:rsidR="00706E44">
            <w:rPr>
              <w:rFonts w:ascii="Times New Roman" w:eastAsia="Times New Roman" w:hAnsi="Times New Roman" w:cs="Times New Roman"/>
              <w:noProof/>
              <w:sz w:val="24"/>
              <w:szCs w:val="24"/>
            </w:rPr>
            <w:t xml:space="preserve"> </w:t>
          </w:r>
          <w:r w:rsidR="00706E44" w:rsidRPr="00706E44">
            <w:rPr>
              <w:rFonts w:ascii="Times New Roman" w:eastAsia="Times New Roman" w:hAnsi="Times New Roman" w:cs="Times New Roman"/>
              <w:noProof/>
              <w:sz w:val="24"/>
              <w:szCs w:val="24"/>
            </w:rPr>
            <w:t>(Lucas Earthmovers Pty Limited v Anglogold Ashanti Australia Limited, 2019)</w:t>
          </w:r>
          <w:r w:rsidR="00033CB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where White J. quotes the communication should be there on the single commodity, if not then it should be communicated to each party and the consent should be there on another product. Similarly, we can also see the judgment of Griffiths v Martinez</w:t>
      </w:r>
      <w:sdt>
        <w:sdtPr>
          <w:rPr>
            <w:rFonts w:ascii="Times New Roman" w:eastAsia="Times New Roman" w:hAnsi="Times New Roman" w:cs="Times New Roman"/>
            <w:sz w:val="24"/>
            <w:szCs w:val="24"/>
          </w:rPr>
          <w:id w:val="281915040"/>
          <w:citation/>
        </w:sdtPr>
        <w:sdtContent>
          <w:r w:rsidR="00033CB8">
            <w:rPr>
              <w:rFonts w:ascii="Times New Roman" w:eastAsia="Times New Roman" w:hAnsi="Times New Roman" w:cs="Times New Roman"/>
              <w:sz w:val="24"/>
              <w:szCs w:val="24"/>
            </w:rPr>
            <w:fldChar w:fldCharType="begin"/>
          </w:r>
          <w:r w:rsidR="00706E44">
            <w:rPr>
              <w:rFonts w:ascii="Times New Roman" w:eastAsia="Times New Roman" w:hAnsi="Times New Roman" w:cs="Times New Roman"/>
              <w:sz w:val="24"/>
              <w:szCs w:val="24"/>
            </w:rPr>
            <w:instrText xml:space="preserve"> CITATION Gri19 \l 1033 </w:instrText>
          </w:r>
          <w:r w:rsidR="00033CB8">
            <w:rPr>
              <w:rFonts w:ascii="Times New Roman" w:eastAsia="Times New Roman" w:hAnsi="Times New Roman" w:cs="Times New Roman"/>
              <w:sz w:val="24"/>
              <w:szCs w:val="24"/>
            </w:rPr>
            <w:fldChar w:fldCharType="separate"/>
          </w:r>
          <w:r w:rsidR="00706E44">
            <w:rPr>
              <w:rFonts w:ascii="Times New Roman" w:eastAsia="Times New Roman" w:hAnsi="Times New Roman" w:cs="Times New Roman"/>
              <w:noProof/>
              <w:sz w:val="24"/>
              <w:szCs w:val="24"/>
            </w:rPr>
            <w:t xml:space="preserve"> </w:t>
          </w:r>
          <w:r w:rsidR="00706E44" w:rsidRPr="00706E44">
            <w:rPr>
              <w:rFonts w:ascii="Times New Roman" w:eastAsia="Times New Roman" w:hAnsi="Times New Roman" w:cs="Times New Roman"/>
              <w:noProof/>
              <w:sz w:val="24"/>
              <w:szCs w:val="24"/>
            </w:rPr>
            <w:t>(Griffiths as trustee for the Griffiths HWL Practice Trust v Martinez as trustee for the Martinez HWL Practice Trust as representative of the partners trading as HWL Ebsworth Lawyers, 2019)</w:t>
          </w:r>
          <w:r w:rsidR="00033CB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Togher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Anor</w:t>
      </w:r>
      <w:proofErr w:type="spellEnd"/>
      <w:r>
        <w:rPr>
          <w:rFonts w:ascii="Times New Roman" w:eastAsia="Times New Roman" w:hAnsi="Times New Roman" w:cs="Times New Roman"/>
          <w:sz w:val="24"/>
          <w:szCs w:val="24"/>
        </w:rPr>
        <w:t xml:space="preserve"> v Alexander &amp; Ors</w:t>
      </w:r>
      <w:sdt>
        <w:sdtPr>
          <w:rPr>
            <w:rFonts w:ascii="Times New Roman" w:eastAsia="Times New Roman" w:hAnsi="Times New Roman" w:cs="Times New Roman"/>
            <w:sz w:val="24"/>
            <w:szCs w:val="24"/>
          </w:rPr>
          <w:id w:val="281915041"/>
          <w:citation/>
        </w:sdtPr>
        <w:sdtContent>
          <w:r w:rsidR="00033CB8">
            <w:rPr>
              <w:rFonts w:ascii="Times New Roman" w:eastAsia="Times New Roman" w:hAnsi="Times New Roman" w:cs="Times New Roman"/>
              <w:sz w:val="24"/>
              <w:szCs w:val="24"/>
            </w:rPr>
            <w:fldChar w:fldCharType="begin"/>
          </w:r>
          <w:r w:rsidR="00706E44">
            <w:rPr>
              <w:rFonts w:ascii="Times New Roman" w:eastAsia="Times New Roman" w:hAnsi="Times New Roman" w:cs="Times New Roman"/>
              <w:sz w:val="24"/>
              <w:szCs w:val="24"/>
            </w:rPr>
            <w:instrText xml:space="preserve"> CITATION Tog19 \l 1033 </w:instrText>
          </w:r>
          <w:r w:rsidR="00033CB8">
            <w:rPr>
              <w:rFonts w:ascii="Times New Roman" w:eastAsia="Times New Roman" w:hAnsi="Times New Roman" w:cs="Times New Roman"/>
              <w:sz w:val="24"/>
              <w:szCs w:val="24"/>
            </w:rPr>
            <w:fldChar w:fldCharType="separate"/>
          </w:r>
          <w:r w:rsidR="00706E44">
            <w:rPr>
              <w:rFonts w:ascii="Times New Roman" w:eastAsia="Times New Roman" w:hAnsi="Times New Roman" w:cs="Times New Roman"/>
              <w:noProof/>
              <w:sz w:val="24"/>
              <w:szCs w:val="24"/>
            </w:rPr>
            <w:t xml:space="preserve"> </w:t>
          </w:r>
          <w:r w:rsidR="00706E44" w:rsidRPr="00706E44">
            <w:rPr>
              <w:rFonts w:ascii="Times New Roman" w:eastAsia="Times New Roman" w:hAnsi="Times New Roman" w:cs="Times New Roman"/>
              <w:noProof/>
              <w:sz w:val="24"/>
              <w:szCs w:val="24"/>
            </w:rPr>
            <w:t>(Togher &amp; Anor v Alexander &amp; Ors (No.2), 2019)</w:t>
          </w:r>
          <w:r w:rsidR="00033CB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and Civil Mining &amp; Construction Pty Ltd v Wiggins Island Coal Export Terminal Pty Limited</w:t>
      </w:r>
      <w:sdt>
        <w:sdtPr>
          <w:rPr>
            <w:rFonts w:ascii="Times New Roman" w:eastAsia="Times New Roman" w:hAnsi="Times New Roman" w:cs="Times New Roman"/>
            <w:sz w:val="24"/>
            <w:szCs w:val="24"/>
          </w:rPr>
          <w:id w:val="281915042"/>
          <w:citation/>
        </w:sdtPr>
        <w:sdtContent>
          <w:r w:rsidR="00912BFD">
            <w:rPr>
              <w:rFonts w:ascii="Times New Roman" w:eastAsia="Times New Roman" w:hAnsi="Times New Roman" w:cs="Times New Roman"/>
              <w:sz w:val="24"/>
              <w:szCs w:val="24"/>
            </w:rPr>
            <w:fldChar w:fldCharType="begin"/>
          </w:r>
          <w:r w:rsidR="00912BFD">
            <w:rPr>
              <w:rFonts w:ascii="Times New Roman" w:eastAsia="Times New Roman" w:hAnsi="Times New Roman" w:cs="Times New Roman"/>
              <w:sz w:val="24"/>
              <w:szCs w:val="24"/>
            </w:rPr>
            <w:instrText xml:space="preserve"> CITATION Civ19 \l 1033  </w:instrText>
          </w:r>
          <w:r w:rsidR="00912BFD">
            <w:rPr>
              <w:rFonts w:ascii="Times New Roman" w:eastAsia="Times New Roman" w:hAnsi="Times New Roman" w:cs="Times New Roman"/>
              <w:sz w:val="24"/>
              <w:szCs w:val="24"/>
            </w:rPr>
            <w:fldChar w:fldCharType="separate"/>
          </w:r>
          <w:r w:rsidR="00912BFD">
            <w:rPr>
              <w:rFonts w:ascii="Times New Roman" w:eastAsia="Times New Roman" w:hAnsi="Times New Roman" w:cs="Times New Roman"/>
              <w:noProof/>
              <w:sz w:val="24"/>
              <w:szCs w:val="24"/>
            </w:rPr>
            <w:t xml:space="preserve"> </w:t>
          </w:r>
          <w:r w:rsidR="00912BFD" w:rsidRPr="00912BFD">
            <w:rPr>
              <w:rFonts w:ascii="Times New Roman" w:eastAsia="Times New Roman" w:hAnsi="Times New Roman" w:cs="Times New Roman"/>
              <w:noProof/>
              <w:sz w:val="24"/>
              <w:szCs w:val="24"/>
            </w:rPr>
            <w:t>(Civil Mining &amp; Construction Pty Ltd v Wiggins Island Coal Export Terminal Pty Limited, 2019)</w:t>
          </w:r>
          <w:r w:rsidR="00912BFD">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4929F6" w:rsidRDefault="004929F6">
      <w:pPr>
        <w:pStyle w:val="normal0"/>
        <w:ind w:left="720"/>
        <w:jc w:val="both"/>
        <w:rPr>
          <w:rFonts w:ascii="Times New Roman" w:eastAsia="Times New Roman" w:hAnsi="Times New Roman" w:cs="Times New Roman"/>
          <w:sz w:val="24"/>
          <w:szCs w:val="24"/>
        </w:rPr>
      </w:pPr>
    </w:p>
    <w:p w:rsidR="004929F6" w:rsidRDefault="00763407">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Schedule 2, Competition &amp; Consumer Act (ACL) (2010)</w:t>
      </w:r>
      <w:sdt>
        <w:sdtPr>
          <w:rPr>
            <w:rFonts w:ascii="Times New Roman" w:eastAsia="Times New Roman" w:hAnsi="Times New Roman" w:cs="Times New Roman"/>
            <w:sz w:val="24"/>
            <w:szCs w:val="24"/>
          </w:rPr>
          <w:id w:val="281915043"/>
          <w:citation/>
        </w:sdtPr>
        <w:sdtContent>
          <w:r w:rsidR="00033CB8">
            <w:rPr>
              <w:rFonts w:ascii="Times New Roman" w:eastAsia="Times New Roman" w:hAnsi="Times New Roman" w:cs="Times New Roman"/>
              <w:sz w:val="24"/>
              <w:szCs w:val="24"/>
            </w:rPr>
            <w:fldChar w:fldCharType="begin"/>
          </w:r>
          <w:r w:rsidR="00706E44">
            <w:rPr>
              <w:rFonts w:ascii="Times New Roman" w:eastAsia="Times New Roman" w:hAnsi="Times New Roman" w:cs="Times New Roman"/>
              <w:sz w:val="24"/>
              <w:szCs w:val="24"/>
            </w:rPr>
            <w:instrText xml:space="preserve"> CITATION Aus10 \l 1033 </w:instrText>
          </w:r>
          <w:r w:rsidR="00033CB8">
            <w:rPr>
              <w:rFonts w:ascii="Times New Roman" w:eastAsia="Times New Roman" w:hAnsi="Times New Roman" w:cs="Times New Roman"/>
              <w:sz w:val="24"/>
              <w:szCs w:val="24"/>
            </w:rPr>
            <w:fldChar w:fldCharType="separate"/>
          </w:r>
          <w:r w:rsidR="00706E44">
            <w:rPr>
              <w:rFonts w:ascii="Times New Roman" w:eastAsia="Times New Roman" w:hAnsi="Times New Roman" w:cs="Times New Roman"/>
              <w:noProof/>
              <w:sz w:val="24"/>
              <w:szCs w:val="24"/>
            </w:rPr>
            <w:t xml:space="preserve"> </w:t>
          </w:r>
          <w:r w:rsidR="00706E44" w:rsidRPr="00706E44">
            <w:rPr>
              <w:rFonts w:ascii="Times New Roman" w:eastAsia="Times New Roman" w:hAnsi="Times New Roman" w:cs="Times New Roman"/>
              <w:noProof/>
              <w:sz w:val="24"/>
              <w:szCs w:val="24"/>
            </w:rPr>
            <w:t>(AustLII, 2010)</w:t>
          </w:r>
          <w:r w:rsidR="00033CB8">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elaborates upon the aforementioned grounds, saying that one should not participate in a dishonest or fraudulent transaction. It also defines abominable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declares that no one should participate in immoral contracts for the sale. Provision indicates that unless the deal's conditions are unjust, the deal will be void. Furthermore, lure ads are </w:t>
      </w:r>
      <w:proofErr w:type="spellStart"/>
      <w:r>
        <w:rPr>
          <w:rFonts w:ascii="Times New Roman" w:eastAsia="Times New Roman" w:hAnsi="Times New Roman" w:cs="Times New Roman"/>
          <w:sz w:val="24"/>
          <w:szCs w:val="24"/>
        </w:rPr>
        <w:t>categorised</w:t>
      </w:r>
      <w:proofErr w:type="spellEnd"/>
      <w:r>
        <w:rPr>
          <w:rFonts w:ascii="Times New Roman" w:eastAsia="Times New Roman" w:hAnsi="Times New Roman" w:cs="Times New Roman"/>
          <w:sz w:val="24"/>
          <w:szCs w:val="24"/>
        </w:rPr>
        <w:t xml:space="preserve"> as predatory pricing in Part 3-1 of Chapter 3. </w:t>
      </w:r>
    </w:p>
    <w:p w:rsidR="004929F6" w:rsidRDefault="004929F6">
      <w:pPr>
        <w:pStyle w:val="normal0"/>
        <w:ind w:left="720"/>
        <w:jc w:val="both"/>
        <w:rPr>
          <w:rFonts w:ascii="Times New Roman" w:eastAsia="Times New Roman" w:hAnsi="Times New Roman" w:cs="Times New Roman"/>
          <w:sz w:val="24"/>
          <w:szCs w:val="24"/>
        </w:rPr>
      </w:pPr>
    </w:p>
    <w:p w:rsidR="00912BFD" w:rsidRDefault="00763407">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the conclusion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basic principles of contracts which are mistake in breach of contract and variation of contract including Competition &amp; Consumer Act have been violated by Whale Constructions Pty Ltd. </w:t>
      </w:r>
    </w:p>
    <w:p w:rsidR="00912BFD" w:rsidRDefault="00912B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id w:val="286297657"/>
        <w:docPartObj>
          <w:docPartGallery w:val="Bibliographies"/>
          <w:docPartUnique/>
        </w:docPartObj>
      </w:sdtPr>
      <w:sdtEndPr>
        <w:rPr>
          <w:sz w:val="22"/>
          <w:szCs w:val="22"/>
        </w:rPr>
      </w:sdtEndPr>
      <w:sdtContent>
        <w:p w:rsidR="00912BFD" w:rsidRDefault="00912BFD">
          <w:pPr>
            <w:pStyle w:val="Heading1"/>
          </w:pPr>
          <w:r>
            <w:t>Bibliography</w:t>
          </w:r>
        </w:p>
        <w:sdt>
          <w:sdtPr>
            <w:id w:val="111145805"/>
            <w:bibliography/>
          </w:sdtPr>
          <w:sdtContent>
            <w:p w:rsidR="00912BFD" w:rsidRDefault="00912BFD" w:rsidP="00912BFD">
              <w:pPr>
                <w:pStyle w:val="Bibliography"/>
                <w:rPr>
                  <w:noProof/>
                </w:rPr>
              </w:pPr>
              <w:r>
                <w:fldChar w:fldCharType="begin"/>
              </w:r>
              <w:r>
                <w:instrText xml:space="preserve"> BIBLIOGRAPHY </w:instrText>
              </w:r>
              <w:r>
                <w:fldChar w:fldCharType="separate"/>
              </w:r>
              <w:r>
                <w:rPr>
                  <w:noProof/>
                </w:rPr>
                <w:t xml:space="preserve">AustLII, 2010. </w:t>
              </w:r>
              <w:r>
                <w:rPr>
                  <w:i/>
                  <w:iCs/>
                  <w:noProof/>
                </w:rPr>
                <w:t xml:space="preserve">Commonwealth Consolidated Acts. </w:t>
              </w:r>
              <w:r>
                <w:rPr>
                  <w:noProof/>
                </w:rPr>
                <w:t xml:space="preserve">[Online] </w:t>
              </w:r>
              <w:r>
                <w:rPr>
                  <w:noProof/>
                </w:rPr>
                <w:br/>
                <w:t xml:space="preserve">Available at: </w:t>
              </w:r>
              <w:r>
                <w:rPr>
                  <w:noProof/>
                  <w:u w:val="single"/>
                </w:rPr>
                <w:t>http://classic.austlii.edu.au/au/legis/cth/consol_act/caca2010265/toc-sch2.html</w:t>
              </w:r>
              <w:r>
                <w:rPr>
                  <w:noProof/>
                </w:rPr>
                <w:br/>
                <w:t>[Accessed 07 09 2021].</w:t>
              </w:r>
            </w:p>
            <w:p w:rsidR="00912BFD" w:rsidRDefault="00912BFD" w:rsidP="00912BFD">
              <w:pPr>
                <w:pStyle w:val="Bibliography"/>
                <w:rPr>
                  <w:noProof/>
                </w:rPr>
              </w:pPr>
              <w:r>
                <w:rPr>
                  <w:i/>
                  <w:iCs/>
                  <w:noProof/>
                </w:rPr>
                <w:t xml:space="preserve">Bell v Lever Bros </w:t>
              </w:r>
              <w:r>
                <w:rPr>
                  <w:noProof/>
                </w:rPr>
                <w:t xml:space="preserve">(1932) AC 161. </w:t>
              </w:r>
            </w:p>
            <w:p w:rsidR="00912BFD" w:rsidRDefault="00912BFD" w:rsidP="00912BFD">
              <w:pPr>
                <w:pStyle w:val="Bibliography"/>
                <w:rPr>
                  <w:noProof/>
                </w:rPr>
              </w:pPr>
              <w:r>
                <w:rPr>
                  <w:i/>
                  <w:iCs/>
                  <w:noProof/>
                </w:rPr>
                <w:t xml:space="preserve">Blomley v Ryan </w:t>
              </w:r>
              <w:r>
                <w:rPr>
                  <w:noProof/>
                </w:rPr>
                <w:t xml:space="preserve">(1954) 99 CLR 362. </w:t>
              </w:r>
            </w:p>
            <w:p w:rsidR="00912BFD" w:rsidRDefault="00912BFD" w:rsidP="00912BFD">
              <w:pPr>
                <w:pStyle w:val="Bibliography"/>
                <w:rPr>
                  <w:noProof/>
                </w:rPr>
              </w:pPr>
              <w:r>
                <w:rPr>
                  <w:i/>
                  <w:iCs/>
                  <w:noProof/>
                </w:rPr>
                <w:t xml:space="preserve">Civil Mining &amp; Construction Pty Ltd v Wiggins Island Coal Export Terminal Pty Limited </w:t>
              </w:r>
              <w:r>
                <w:rPr>
                  <w:noProof/>
                </w:rPr>
                <w:t xml:space="preserve">(2019) QCA 12. </w:t>
              </w:r>
            </w:p>
            <w:p w:rsidR="00912BFD" w:rsidRDefault="00912BFD" w:rsidP="00912BFD">
              <w:pPr>
                <w:pStyle w:val="Bibliography"/>
                <w:rPr>
                  <w:noProof/>
                </w:rPr>
              </w:pPr>
              <w:r>
                <w:rPr>
                  <w:i/>
                  <w:iCs/>
                  <w:noProof/>
                </w:rPr>
                <w:t xml:space="preserve">Commercial Bank of Australia Ltd v. Amadio </w:t>
              </w:r>
              <w:r>
                <w:rPr>
                  <w:noProof/>
                </w:rPr>
                <w:t xml:space="preserve">(1983) 151 CLR 447. </w:t>
              </w:r>
            </w:p>
            <w:p w:rsidR="00912BFD" w:rsidRDefault="00912BFD" w:rsidP="00912BFD">
              <w:pPr>
                <w:pStyle w:val="Bibliography"/>
                <w:rPr>
                  <w:noProof/>
                </w:rPr>
              </w:pPr>
              <w:r>
                <w:rPr>
                  <w:i/>
                  <w:iCs/>
                  <w:noProof/>
                </w:rPr>
                <w:t xml:space="preserve">Diprose v. Louth </w:t>
              </w:r>
              <w:r>
                <w:rPr>
                  <w:noProof/>
                </w:rPr>
                <w:t xml:space="preserve">(190) 54 SASR 438. </w:t>
              </w:r>
            </w:p>
            <w:p w:rsidR="00912BFD" w:rsidRDefault="00912BFD" w:rsidP="00912BFD">
              <w:pPr>
                <w:pStyle w:val="Bibliography"/>
                <w:rPr>
                  <w:noProof/>
                </w:rPr>
              </w:pPr>
              <w:r>
                <w:rPr>
                  <w:i/>
                  <w:iCs/>
                  <w:noProof/>
                </w:rPr>
                <w:t xml:space="preserve">Griffiths as trustee for the Griffiths HWL Practice Trust v Martinez as trustee for the Martinez HWL Practice Trust as representative of the partners trading as HWL Ebsworth Lawyers </w:t>
              </w:r>
              <w:r>
                <w:rPr>
                  <w:noProof/>
                </w:rPr>
                <w:t xml:space="preserve">(2019) NSWSC 664. </w:t>
              </w:r>
            </w:p>
            <w:p w:rsidR="00912BFD" w:rsidRDefault="00912BFD" w:rsidP="00912BFD">
              <w:pPr>
                <w:pStyle w:val="Bibliography"/>
                <w:rPr>
                  <w:noProof/>
                </w:rPr>
              </w:pPr>
              <w:r>
                <w:rPr>
                  <w:i/>
                  <w:iCs/>
                  <w:noProof/>
                </w:rPr>
                <w:t xml:space="preserve">Kakavas v Crown Melbourne Ltd </w:t>
              </w:r>
              <w:r>
                <w:rPr>
                  <w:noProof/>
                </w:rPr>
                <w:t xml:space="preserve">(2013) HCA 25 (5 June 2013). </w:t>
              </w:r>
            </w:p>
            <w:p w:rsidR="00912BFD" w:rsidRDefault="00912BFD" w:rsidP="00912BFD">
              <w:pPr>
                <w:pStyle w:val="Bibliography"/>
                <w:rPr>
                  <w:noProof/>
                </w:rPr>
              </w:pPr>
              <w:r>
                <w:rPr>
                  <w:noProof/>
                </w:rPr>
                <w:t xml:space="preserve">Law, A. C., n.d. </w:t>
              </w:r>
              <w:r>
                <w:rPr>
                  <w:i/>
                  <w:iCs/>
                  <w:noProof/>
                </w:rPr>
                <w:t xml:space="preserve">Australian Contract Law. </w:t>
              </w:r>
              <w:r>
                <w:rPr>
                  <w:noProof/>
                </w:rPr>
                <w:t xml:space="preserve">[Online] </w:t>
              </w:r>
              <w:r>
                <w:rPr>
                  <w:noProof/>
                </w:rPr>
                <w:br/>
                <w:t xml:space="preserve">Available at: </w:t>
              </w:r>
              <w:r>
                <w:rPr>
                  <w:noProof/>
                  <w:u w:val="single"/>
                </w:rPr>
                <w:t>https://www.australiancontractlaw.com/law/avoidance-unconscionable.html</w:t>
              </w:r>
              <w:r>
                <w:rPr>
                  <w:noProof/>
                </w:rPr>
                <w:br/>
                <w:t>[Accessed 07 09 2021].</w:t>
              </w:r>
            </w:p>
            <w:p w:rsidR="00912BFD" w:rsidRDefault="00912BFD" w:rsidP="00912BFD">
              <w:pPr>
                <w:pStyle w:val="Bibliography"/>
                <w:rPr>
                  <w:noProof/>
                </w:rPr>
              </w:pPr>
              <w:r>
                <w:rPr>
                  <w:i/>
                  <w:iCs/>
                  <w:noProof/>
                </w:rPr>
                <w:t xml:space="preserve">Lucas Earthmovers Pty Limited v Anglogold Ashanti Australia Limited </w:t>
              </w:r>
              <w:r>
                <w:rPr>
                  <w:noProof/>
                </w:rPr>
                <w:t xml:space="preserve">(2019) FCA 1049. </w:t>
              </w:r>
            </w:p>
            <w:p w:rsidR="00912BFD" w:rsidRDefault="00912BFD" w:rsidP="00912BFD">
              <w:pPr>
                <w:pStyle w:val="Bibliography"/>
                <w:rPr>
                  <w:noProof/>
                </w:rPr>
              </w:pPr>
              <w:r>
                <w:rPr>
                  <w:i/>
                  <w:iCs/>
                  <w:noProof/>
                </w:rPr>
                <w:t xml:space="preserve">Togher &amp; Anor v Alexander &amp; Ors (No.2) </w:t>
              </w:r>
              <w:r>
                <w:rPr>
                  <w:noProof/>
                </w:rPr>
                <w:t xml:space="preserve">(2019) NSWDC 221. </w:t>
              </w:r>
            </w:p>
            <w:p w:rsidR="00912BFD" w:rsidRDefault="00912BFD" w:rsidP="00912BFD">
              <w:r>
                <w:fldChar w:fldCharType="end"/>
              </w:r>
            </w:p>
          </w:sdtContent>
        </w:sdt>
      </w:sdtContent>
    </w:sdt>
    <w:p w:rsidR="004929F6" w:rsidRDefault="004929F6">
      <w:pPr>
        <w:pStyle w:val="normal0"/>
        <w:ind w:left="720"/>
        <w:jc w:val="both"/>
        <w:rPr>
          <w:rFonts w:ascii="Times New Roman" w:eastAsia="Times New Roman" w:hAnsi="Times New Roman" w:cs="Times New Roman"/>
          <w:sz w:val="24"/>
          <w:szCs w:val="24"/>
        </w:rPr>
      </w:pPr>
    </w:p>
    <w:sectPr w:rsidR="004929F6" w:rsidSect="004929F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986" w:rsidRDefault="00CD1986" w:rsidP="004929F6">
      <w:pPr>
        <w:spacing w:line="240" w:lineRule="auto"/>
      </w:pPr>
      <w:r>
        <w:separator/>
      </w:r>
    </w:p>
  </w:endnote>
  <w:endnote w:type="continuationSeparator" w:id="0">
    <w:p w:rsidR="00CD1986" w:rsidRDefault="00CD1986" w:rsidP="004929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986" w:rsidRDefault="00CD1986" w:rsidP="004929F6">
      <w:pPr>
        <w:spacing w:line="240" w:lineRule="auto"/>
      </w:pPr>
      <w:r>
        <w:separator/>
      </w:r>
    </w:p>
  </w:footnote>
  <w:footnote w:type="continuationSeparator" w:id="0">
    <w:p w:rsidR="00CD1986" w:rsidRDefault="00CD1986" w:rsidP="004929F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16B52"/>
    <w:multiLevelType w:val="multilevel"/>
    <w:tmpl w:val="CC045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29F6"/>
    <w:rsid w:val="00033CB8"/>
    <w:rsid w:val="001B3FDF"/>
    <w:rsid w:val="004929F6"/>
    <w:rsid w:val="00706E44"/>
    <w:rsid w:val="00763407"/>
    <w:rsid w:val="00912BFD"/>
    <w:rsid w:val="00CD1986"/>
    <w:rsid w:val="00F03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CB8"/>
  </w:style>
  <w:style w:type="paragraph" w:styleId="Heading1">
    <w:name w:val="heading 1"/>
    <w:basedOn w:val="normal0"/>
    <w:next w:val="normal0"/>
    <w:link w:val="Heading1Char"/>
    <w:uiPriority w:val="9"/>
    <w:qFormat/>
    <w:rsid w:val="004929F6"/>
    <w:pPr>
      <w:keepNext/>
      <w:keepLines/>
      <w:spacing w:before="400" w:after="120"/>
      <w:outlineLvl w:val="0"/>
    </w:pPr>
    <w:rPr>
      <w:sz w:val="40"/>
      <w:szCs w:val="40"/>
    </w:rPr>
  </w:style>
  <w:style w:type="paragraph" w:styleId="Heading2">
    <w:name w:val="heading 2"/>
    <w:basedOn w:val="normal0"/>
    <w:next w:val="normal0"/>
    <w:rsid w:val="004929F6"/>
    <w:pPr>
      <w:keepNext/>
      <w:keepLines/>
      <w:spacing w:before="360" w:after="120"/>
      <w:outlineLvl w:val="1"/>
    </w:pPr>
    <w:rPr>
      <w:sz w:val="32"/>
      <w:szCs w:val="32"/>
    </w:rPr>
  </w:style>
  <w:style w:type="paragraph" w:styleId="Heading3">
    <w:name w:val="heading 3"/>
    <w:basedOn w:val="normal0"/>
    <w:next w:val="normal0"/>
    <w:rsid w:val="004929F6"/>
    <w:pPr>
      <w:keepNext/>
      <w:keepLines/>
      <w:spacing w:before="320" w:after="80"/>
      <w:outlineLvl w:val="2"/>
    </w:pPr>
    <w:rPr>
      <w:color w:val="434343"/>
      <w:sz w:val="28"/>
      <w:szCs w:val="28"/>
    </w:rPr>
  </w:style>
  <w:style w:type="paragraph" w:styleId="Heading4">
    <w:name w:val="heading 4"/>
    <w:basedOn w:val="normal0"/>
    <w:next w:val="normal0"/>
    <w:rsid w:val="004929F6"/>
    <w:pPr>
      <w:keepNext/>
      <w:keepLines/>
      <w:spacing w:before="280" w:after="80"/>
      <w:outlineLvl w:val="3"/>
    </w:pPr>
    <w:rPr>
      <w:color w:val="666666"/>
      <w:sz w:val="24"/>
      <w:szCs w:val="24"/>
    </w:rPr>
  </w:style>
  <w:style w:type="paragraph" w:styleId="Heading5">
    <w:name w:val="heading 5"/>
    <w:basedOn w:val="normal0"/>
    <w:next w:val="normal0"/>
    <w:rsid w:val="004929F6"/>
    <w:pPr>
      <w:keepNext/>
      <w:keepLines/>
      <w:spacing w:before="240" w:after="80"/>
      <w:outlineLvl w:val="4"/>
    </w:pPr>
    <w:rPr>
      <w:color w:val="666666"/>
    </w:rPr>
  </w:style>
  <w:style w:type="paragraph" w:styleId="Heading6">
    <w:name w:val="heading 6"/>
    <w:basedOn w:val="normal0"/>
    <w:next w:val="normal0"/>
    <w:rsid w:val="004929F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29F6"/>
  </w:style>
  <w:style w:type="paragraph" w:styleId="Title">
    <w:name w:val="Title"/>
    <w:basedOn w:val="normal0"/>
    <w:next w:val="normal0"/>
    <w:rsid w:val="004929F6"/>
    <w:pPr>
      <w:keepNext/>
      <w:keepLines/>
      <w:spacing w:after="60"/>
    </w:pPr>
    <w:rPr>
      <w:sz w:val="52"/>
      <w:szCs w:val="52"/>
    </w:rPr>
  </w:style>
  <w:style w:type="paragraph" w:styleId="Subtitle">
    <w:name w:val="Subtitle"/>
    <w:basedOn w:val="normal0"/>
    <w:next w:val="normal0"/>
    <w:rsid w:val="004929F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9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9BD"/>
    <w:rPr>
      <w:rFonts w:ascii="Tahoma" w:hAnsi="Tahoma" w:cs="Tahoma"/>
      <w:sz w:val="16"/>
      <w:szCs w:val="16"/>
    </w:rPr>
  </w:style>
  <w:style w:type="character" w:customStyle="1" w:styleId="Heading1Char">
    <w:name w:val="Heading 1 Char"/>
    <w:basedOn w:val="DefaultParagraphFont"/>
    <w:link w:val="Heading1"/>
    <w:uiPriority w:val="9"/>
    <w:rsid w:val="00912BFD"/>
    <w:rPr>
      <w:sz w:val="40"/>
      <w:szCs w:val="40"/>
    </w:rPr>
  </w:style>
  <w:style w:type="paragraph" w:styleId="Bibliography">
    <w:name w:val="Bibliography"/>
    <w:basedOn w:val="Normal"/>
    <w:next w:val="Normal"/>
    <w:uiPriority w:val="37"/>
    <w:unhideWhenUsed/>
    <w:rsid w:val="00912BF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Aus21</b:Tag>
    <b:SourceType>DocumentFromInternetSite</b:SourceType>
    <b:Guid>{B4804908-84B3-4365-BF57-6D971D733109}</b:Guid>
    <b:LCID>0</b:LCID>
    <b:Author>
      <b:Author>
        <b:NameList>
          <b:Person>
            <b:Last>Law</b:Last>
            <b:First>Australian</b:First>
            <b:Middle>Contract</b:Middle>
          </b:Person>
        </b:NameList>
      </b:Author>
    </b:Author>
    <b:Title>Australian Contract Law</b:Title>
    <b:YearAccessed>2021</b:YearAccessed>
    <b:MonthAccessed>09</b:MonthAccessed>
    <b:DayAccessed>07</b:DayAccessed>
    <b:URL>https://www.australiancontractlaw.com/law/avoidance-unconscionable.html</b:URL>
    <b:RefOrder>1</b:RefOrder>
  </b:Source>
  <b:Source>
    <b:Tag>Com83</b:Tag>
    <b:SourceType>Case</b:SourceType>
    <b:Guid>{9FFD83D7-EAFC-4B08-8862-76A0B650BCE4}</b:Guid>
    <b:LCID>0</b:LCID>
    <b:Title>Commercial Bank of Australia Ltd v. Amadio</b:Title>
    <b:Reporter>151 CLR 447</b:Reporter>
    <b:Year>1983</b:Year>
    <b:RefOrder>2</b:RefOrder>
  </b:Source>
  <b:Source>
    <b:Tag>Blo54</b:Tag>
    <b:SourceType>Case</b:SourceType>
    <b:Guid>{A15549D4-6084-4B14-AF74-C9A590D02676}</b:Guid>
    <b:LCID>0</b:LCID>
    <b:Title>Blomley v Ryan</b:Title>
    <b:Reporter>99 CLR 362</b:Reporter>
    <b:Year>1954</b:Year>
    <b:RefOrder>3</b:RefOrder>
  </b:Source>
  <b:Source>
    <b:Tag>Dip90</b:Tag>
    <b:SourceType>Case</b:SourceType>
    <b:Guid>{68647E1F-3652-4AAF-81F6-EE1554D42A9D}</b:Guid>
    <b:LCID>0</b:LCID>
    <b:Title>Diprose v. Louth</b:Title>
    <b:Reporter>54 SASR 438</b:Reporter>
    <b:Year>190</b:Year>
    <b:RefOrder>4</b:RefOrder>
  </b:Source>
  <b:Source>
    <b:Tag>Kak13</b:Tag>
    <b:SourceType>Case</b:SourceType>
    <b:Guid>{E4EA5313-A31F-4DAB-9F49-0FAB318222CC}</b:Guid>
    <b:LCID>0</b:LCID>
    <b:Title>Kakavas v Crown Melbourne Ltd</b:Title>
    <b:Reporter>HCA 25 (5 June 2013)</b:Reporter>
    <b:Year>2013</b:Year>
    <b:RefOrder>5</b:RefOrder>
  </b:Source>
  <b:Source>
    <b:Tag>Bel32</b:Tag>
    <b:SourceType>Case</b:SourceType>
    <b:Guid>{24AAC155-08E9-448A-A78B-8496A0550EBD}</b:Guid>
    <b:LCID>0</b:LCID>
    <b:Title>Bell v Lever Bros</b:Title>
    <b:Reporter>AC 161</b:Reporter>
    <b:Year>1932</b:Year>
    <b:RefOrder>6</b:RefOrder>
  </b:Source>
  <b:Source>
    <b:Tag>Luc19</b:Tag>
    <b:SourceType>Case</b:SourceType>
    <b:Guid>{83329469-B7B0-4826-B8A6-A0E33F4C0C37}</b:Guid>
    <b:LCID>0</b:LCID>
    <b:Title>Lucas Earthmovers Pty Limited v Anglogold Ashanti Australia Limited</b:Title>
    <b:Reporter>FCA 1049</b:Reporter>
    <b:Year>2019</b:Year>
    <b:RefOrder>7</b:RefOrder>
  </b:Source>
  <b:Source>
    <b:Tag>Gri19</b:Tag>
    <b:SourceType>Case</b:SourceType>
    <b:Guid>{1495BBD8-8AFA-4C72-A5BB-D52240E32AC3}</b:Guid>
    <b:LCID>0</b:LCID>
    <b:Title>Griffiths as trustee for the Griffiths HWL Practice Trust v Martinez as trustee for the Martinez HWL Practice Trust as representative of the partners trading as HWL Ebsworth Lawyers</b:Title>
    <b:Reporter>NSWSC 664</b:Reporter>
    <b:Year>2019</b:Year>
    <b:RefOrder>8</b:RefOrder>
  </b:Source>
  <b:Source>
    <b:Tag>Tog19</b:Tag>
    <b:SourceType>Case</b:SourceType>
    <b:Guid>{EE898B24-FEF1-41B2-9F0C-C3D34FAEF059}</b:Guid>
    <b:LCID>0</b:LCID>
    <b:Title>Togher &amp; Anor v Alexander &amp; Ors (No.2)</b:Title>
    <b:Reporter>NSWDC 221</b:Reporter>
    <b:Year>2019</b:Year>
    <b:RefOrder>9</b:RefOrder>
  </b:Source>
  <b:Source>
    <b:Tag>Aus10</b:Tag>
    <b:SourceType>DocumentFromInternetSite</b:SourceType>
    <b:Guid>{51462E60-CD45-4674-B0D2-A0C39665A577}</b:Guid>
    <b:LCID>0</b:LCID>
    <b:Title>Commonwealth Consolidated Acts</b:Title>
    <b:Year>2010</b:Year>
    <b:Author>
      <b:Author>
        <b:NameList>
          <b:Person>
            <b:Last>AustLII</b:Last>
          </b:Person>
        </b:NameList>
      </b:Author>
    </b:Author>
    <b:Month>10</b:Month>
    <b:Day>30</b:Day>
    <b:YearAccessed>2021</b:YearAccessed>
    <b:MonthAccessed>09</b:MonthAccessed>
    <b:DayAccessed>07</b:DayAccessed>
    <b:URL>http://classic.austlii.edu.au/au/legis/cth/consol_act/caca2010265/toc-sch2.html</b:URL>
    <b:RefOrder>11</b:RefOrder>
  </b:Source>
  <b:Source>
    <b:Tag>Civ19</b:Tag>
    <b:SourceType>Case</b:SourceType>
    <b:Guid>{D13E5D3C-1D77-4B28-B6FF-A91094BE016E}</b:Guid>
    <b:LCID>0</b:LCID>
    <b:Title>Civil Mining &amp; Construction Pty Ltd v Wiggins Island Coal Export Terminal Pty Limited</b:Title>
    <b:Reporter>QCA 12</b:Reporter>
    <b:Year>2019</b:Year>
    <b:RefOrder>10</b:RefOrder>
  </b:Source>
</b:Sources>
</file>

<file path=customXml/itemProps1.xml><?xml version="1.0" encoding="utf-8"?>
<ds:datastoreItem xmlns:ds="http://schemas.openxmlformats.org/officeDocument/2006/customXml" ds:itemID="{06BAF890-A8BB-41C1-B81C-555CF68F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2021-09-07T10:30:00Z</dcterms:created>
  <dcterms:modified xsi:type="dcterms:W3CDTF">2021-09-07T11:59:00Z</dcterms:modified>
</cp:coreProperties>
</file>