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240" w:lineRule="auto"/>
        <w:jc w:val="both"/>
        <w:rPr>
          <w:rFonts w:cs="Arial"/>
          <w:color w:val="000000" w:themeColor="text1"/>
        </w:rPr>
      </w:pPr>
    </w:p>
    <w:p>
      <w:pPr>
        <w:spacing w:after="0" w:line="240" w:lineRule="auto"/>
        <w:jc w:val="both"/>
        <w:rPr>
          <w:rFonts w:cs="Arial"/>
          <w:bCs/>
          <w:i/>
          <w:color w:val="000000" w:themeColor="text1"/>
          <w:highlight w:val="yellow"/>
        </w:rPr>
      </w:pPr>
      <w:r>
        <w:rPr>
          <w:rFonts w:cs="Arial"/>
          <w:b/>
          <w:bCs/>
          <w:color w:val="000000" w:themeColor="text1"/>
        </w:rPr>
        <w:t xml:space="preserve">Our ref: </w:t>
      </w:r>
      <w:r>
        <w:rPr>
          <w:rFonts w:cs="Arial"/>
          <w:bCs/>
          <w:i/>
          <w:color w:val="000000" w:themeColor="text1"/>
          <w:highlight w:val="yellow"/>
        </w:rPr>
        <w:t>[insert]</w:t>
      </w:r>
    </w:p>
    <w:p>
      <w:pPr>
        <w:spacing w:after="0" w:line="240" w:lineRule="auto"/>
        <w:rPr>
          <w:rFonts w:cs="Arial"/>
          <w:i/>
          <w:color w:val="000000" w:themeColor="text1"/>
        </w:rPr>
      </w:pPr>
      <w:r>
        <w:rPr>
          <w:rFonts w:cs="Arial"/>
          <w:i/>
          <w:color w:val="000000" w:themeColor="text1"/>
        </w:rPr>
        <w:t>[</w:t>
      </w:r>
      <w:r>
        <w:rPr>
          <w:rFonts w:cs="Arial"/>
          <w:i/>
          <w:color w:val="000000" w:themeColor="text1"/>
          <w:highlight w:val="yellow"/>
        </w:rPr>
        <w:t>Date</w:t>
      </w:r>
      <w:r>
        <w:rPr>
          <w:rFonts w:cs="Arial"/>
          <w:i/>
          <w:color w:val="000000" w:themeColor="text1"/>
        </w:rPr>
        <w:t xml:space="preserve">] </w:t>
      </w:r>
    </w:p>
    <w:p>
      <w:pPr>
        <w:spacing w:after="0" w:line="240" w:lineRule="auto"/>
        <w:rPr>
          <w:rFonts w:cs="Arial"/>
          <w:i/>
          <w:color w:val="000000" w:themeColor="text1"/>
        </w:rPr>
      </w:pPr>
    </w:p>
    <w:p>
      <w:pPr>
        <w:spacing w:after="0" w:line="240" w:lineRule="auto"/>
        <w:rPr>
          <w:rFonts w:cs="Arial"/>
          <w:i/>
          <w:color w:val="000000" w:themeColor="text1"/>
        </w:rPr>
      </w:pPr>
    </w:p>
    <w:p>
      <w:pPr>
        <w:spacing w:after="0" w:line="240" w:lineRule="auto"/>
        <w:rPr>
          <w:rFonts w:cs="Arial"/>
          <w:i/>
          <w:color w:val="000000" w:themeColor="text1"/>
        </w:rPr>
      </w:pPr>
      <w:r>
        <w:rPr>
          <w:rFonts w:cs="Arial"/>
          <w:i/>
          <w:color w:val="000000" w:themeColor="text1"/>
        </w:rPr>
        <w:t>[</w:t>
      </w:r>
      <w:r>
        <w:rPr>
          <w:rFonts w:cs="Arial"/>
          <w:i/>
          <w:color w:val="000000" w:themeColor="text1"/>
          <w:highlight w:val="yellow"/>
        </w:rPr>
        <w:t>name of your client</w:t>
      </w:r>
      <w:r>
        <w:rPr>
          <w:rFonts w:cs="Arial"/>
          <w:i/>
          <w:color w:val="000000" w:themeColor="text1"/>
        </w:rPr>
        <w:t xml:space="preserve">] </w:t>
      </w:r>
    </w:p>
    <w:p>
      <w:pPr>
        <w:spacing w:after="0" w:line="240" w:lineRule="auto"/>
        <w:rPr>
          <w:rFonts w:cs="Arial"/>
          <w:i/>
          <w:color w:val="000000" w:themeColor="text1"/>
        </w:rPr>
      </w:pPr>
      <w:r>
        <w:rPr>
          <w:rFonts w:cs="Arial"/>
          <w:i/>
          <w:color w:val="000000" w:themeColor="text1"/>
        </w:rPr>
        <w:t>[</w:t>
      </w:r>
      <w:r>
        <w:rPr>
          <w:rFonts w:cs="Arial"/>
          <w:i/>
          <w:color w:val="000000" w:themeColor="text1"/>
          <w:highlight w:val="yellow"/>
        </w:rPr>
        <w:t>street address</w:t>
      </w:r>
      <w:r>
        <w:rPr>
          <w:rFonts w:cs="Arial"/>
          <w:i/>
          <w:color w:val="000000" w:themeColor="text1"/>
        </w:rPr>
        <w:t>]</w:t>
      </w:r>
    </w:p>
    <w:p>
      <w:pPr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i/>
          <w:color w:val="000000" w:themeColor="text1"/>
        </w:rPr>
        <w:t>[</w:t>
      </w:r>
      <w:r>
        <w:rPr>
          <w:rFonts w:cs="Arial"/>
          <w:i/>
          <w:color w:val="000000" w:themeColor="text1"/>
          <w:highlight w:val="yellow"/>
        </w:rPr>
        <w:t>SUBURB</w:t>
      </w:r>
      <w:r>
        <w:rPr>
          <w:rFonts w:cs="Arial"/>
          <w:i/>
          <w:color w:val="000000" w:themeColor="text1"/>
        </w:rPr>
        <w:t>] [</w:t>
      </w:r>
      <w:r>
        <w:rPr>
          <w:rFonts w:cs="Arial"/>
          <w:i/>
          <w:color w:val="000000" w:themeColor="text1"/>
          <w:highlight w:val="yellow"/>
        </w:rPr>
        <w:t>STATE</w:t>
      </w:r>
      <w:r>
        <w:rPr>
          <w:rFonts w:cs="Arial"/>
          <w:i/>
          <w:color w:val="000000" w:themeColor="text1"/>
        </w:rPr>
        <w:t>] [</w:t>
      </w:r>
      <w:r>
        <w:rPr>
          <w:rFonts w:cs="Arial"/>
          <w:i/>
          <w:color w:val="000000" w:themeColor="text1"/>
          <w:highlight w:val="yellow"/>
        </w:rPr>
        <w:t>POSTCODE</w:t>
      </w:r>
      <w:r>
        <w:rPr>
          <w:rFonts w:cs="Arial"/>
          <w:i/>
          <w:color w:val="000000" w:themeColor="text1"/>
        </w:rPr>
        <w:t>]</w:t>
      </w:r>
    </w:p>
    <w:p>
      <w:pPr>
        <w:spacing w:after="240"/>
        <w:jc w:val="both"/>
        <w:rPr>
          <w:rFonts w:cs="Arial"/>
          <w:color w:val="000000" w:themeColor="text1"/>
        </w:rPr>
      </w:pPr>
    </w:p>
    <w:p>
      <w:pPr>
        <w:spacing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Dear [</w:t>
      </w:r>
      <w:r>
        <w:rPr>
          <w:rFonts w:cs="Arial"/>
          <w:i/>
          <w:color w:val="000000" w:themeColor="text1"/>
          <w:highlight w:val="yellow"/>
        </w:rPr>
        <w:t>Name</w:t>
      </w:r>
      <w:r>
        <w:rPr>
          <w:rFonts w:cs="Arial"/>
          <w:color w:val="000000" w:themeColor="text1"/>
        </w:rPr>
        <w:t>]</w:t>
      </w:r>
    </w:p>
    <w:p>
      <w:pPr>
        <w:spacing w:after="0" w:line="240" w:lineRule="auto"/>
        <w:rPr>
          <w:rFonts w:cs="Arial"/>
          <w:b/>
        </w:rPr>
      </w:pPr>
      <w:r>
        <w:rPr>
          <w:rFonts w:cs="Arial"/>
          <w:b/>
          <w:noProof/>
        </w:rPr>
        <w:t>[</w:t>
      </w:r>
      <w:r>
        <w:rPr>
          <w:rFonts w:cs="Arial"/>
          <w:b/>
          <w:i/>
          <w:noProof/>
          <w:highlight w:val="yellow"/>
        </w:rPr>
        <w:t>description of the matter</w:t>
      </w:r>
      <w:r>
        <w:rPr>
          <w:rFonts w:cs="Arial"/>
          <w:b/>
          <w:noProof/>
          <w:highlight w:val="yellow"/>
        </w:rPr>
        <w:t>]</w:t>
      </w:r>
    </w:p>
    <w:p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Thank you for asking us to act for you. We advise that [</w:t>
      </w:r>
      <w:r>
        <w:rPr>
          <w:rFonts w:cs="Arial"/>
          <w:i/>
          <w:iCs/>
          <w:highlight w:val="yellow"/>
        </w:rPr>
        <w:t>name</w:t>
      </w:r>
      <w:r>
        <w:rPr>
          <w:rFonts w:cs="Arial"/>
        </w:rPr>
        <w:t>] will be handling this matter. Please contact them directly if you have any queries about your matter.</w:t>
      </w:r>
    </w:p>
    <w:p>
      <w:pPr>
        <w:spacing w:after="0" w:line="240" w:lineRule="auto"/>
        <w:jc w:val="both"/>
        <w:rPr>
          <w:rFonts w:cs="Arial"/>
        </w:rPr>
      </w:pPr>
    </w:p>
    <w:p>
      <w:p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>CONFIRMATION OF INSTRUCTIONS</w:t>
      </w:r>
    </w:p>
    <w:p>
      <w:pPr>
        <w:spacing w:after="0" w:line="240" w:lineRule="auto"/>
        <w:rPr>
          <w:rFonts w:cs="Arial"/>
        </w:rPr>
      </w:pPr>
    </w:p>
    <w:p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We refer to </w:t>
      </w:r>
      <w:proofErr w:type="gramStart"/>
      <w:r>
        <w:rPr>
          <w:rFonts w:cs="Arial"/>
        </w:rPr>
        <w:t>your</w:t>
      </w:r>
      <w:proofErr w:type="gramEnd"/>
      <w:r>
        <w:rPr>
          <w:rFonts w:cs="Arial"/>
        </w:rPr>
        <w:t xml:space="preserve"> meeting with our Senior Partner on [</w:t>
      </w:r>
      <w:r>
        <w:rPr>
          <w:rFonts w:cs="Arial"/>
          <w:i/>
          <w:iCs/>
          <w:highlight w:val="yellow"/>
        </w:rPr>
        <w:t>date</w:t>
      </w:r>
      <w:r>
        <w:rPr>
          <w:rFonts w:cs="Arial"/>
        </w:rPr>
        <w:t>].  We confirm your instructions are as follows:</w:t>
      </w:r>
    </w:p>
    <w:p>
      <w:pPr>
        <w:spacing w:after="0" w:line="240" w:lineRule="auto"/>
        <w:jc w:val="both"/>
        <w:rPr>
          <w:rFonts w:cs="Arial"/>
        </w:rPr>
      </w:pPr>
    </w:p>
    <w:p>
      <w:pPr>
        <w:spacing w:after="0" w:line="240" w:lineRule="auto"/>
        <w:rPr>
          <w:rFonts w:cs="Arial"/>
        </w:rPr>
      </w:pPr>
      <w:r>
        <w:rPr>
          <w:rFonts w:cs="Arial"/>
        </w:rPr>
        <w:t>[</w:t>
      </w:r>
      <w:r>
        <w:rPr>
          <w:rFonts w:cs="Arial"/>
          <w:i/>
          <w:highlight w:val="yellow"/>
        </w:rPr>
        <w:t xml:space="preserve">summarise the client’s instructions in chronological order, in a series of dot/numbered points. Set out the client’s facts/story logically and succinctly]. </w:t>
      </w:r>
      <w:r>
        <w:rPr>
          <w:rFonts w:cs="Arial"/>
          <w:i/>
          <w:highlight w:val="yellow"/>
        </w:rPr>
        <w:br/>
      </w:r>
    </w:p>
    <w:p>
      <w:p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>DOCUMENTS YOU HAVE PROVIDED US</w:t>
      </w:r>
    </w:p>
    <w:p>
      <w:pPr>
        <w:spacing w:after="0" w:line="240" w:lineRule="auto"/>
        <w:jc w:val="both"/>
        <w:rPr>
          <w:rFonts w:cs="Arial"/>
        </w:rPr>
      </w:pPr>
    </w:p>
    <w:p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We confirm that you have provided us with:</w:t>
      </w:r>
    </w:p>
    <w:p>
      <w:pPr>
        <w:numPr>
          <w:ilvl w:val="0"/>
          <w:numId w:val="2"/>
        </w:numPr>
        <w:spacing w:after="0" w:line="240" w:lineRule="auto"/>
        <w:ind w:left="567" w:hanging="567"/>
        <w:rPr>
          <w:rFonts w:cs="Arial"/>
        </w:rPr>
      </w:pPr>
      <w:r>
        <w:rPr>
          <w:rFonts w:cs="Arial"/>
        </w:rPr>
        <w:t>[</w:t>
      </w:r>
      <w:r>
        <w:rPr>
          <w:rFonts w:cs="Arial"/>
          <w:i/>
          <w:highlight w:val="yellow"/>
        </w:rPr>
        <w:t>sequentially, list all documents that the client has provided to you</w:t>
      </w:r>
      <w:r>
        <w:rPr>
          <w:rFonts w:cs="Arial"/>
        </w:rPr>
        <w:t>]</w:t>
      </w:r>
    </w:p>
    <w:p>
      <w:pPr>
        <w:spacing w:after="0" w:line="240" w:lineRule="auto"/>
        <w:jc w:val="both"/>
        <w:rPr>
          <w:rFonts w:cs="Arial"/>
          <w:b/>
        </w:rPr>
      </w:pPr>
    </w:p>
    <w:p>
      <w:p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>CURRENT POSITION</w:t>
      </w:r>
    </w:p>
    <w:p>
      <w:pPr>
        <w:pStyle w:val="ListParagraph"/>
        <w:ind w:left="0"/>
        <w:rPr>
          <w:rFonts w:ascii="Arial" w:hAnsi="Arial" w:cs="Arial"/>
          <w:i/>
          <w:highlight w:val="yellow"/>
        </w:rPr>
      </w:pPr>
      <w:r>
        <w:rPr>
          <w:rFonts w:ascii="Arial" w:hAnsi="Arial" w:cs="Arial"/>
        </w:rPr>
        <w:br/>
        <w:t>[</w:t>
      </w:r>
      <w:r>
        <w:rPr>
          <w:rFonts w:ascii="Arial" w:hAnsi="Arial" w:cs="Arial"/>
          <w:i/>
          <w:highlight w:val="yellow"/>
        </w:rPr>
        <w:t>set out an analysis of your client’s legal issue, and if it has contravened any provisions of the ACL and if so which ones and how]</w:t>
      </w:r>
    </w:p>
    <w:p>
      <w:pPr>
        <w:pStyle w:val="ListParagraph"/>
        <w:ind w:left="0"/>
        <w:rPr>
          <w:rFonts w:ascii="Arial" w:hAnsi="Arial" w:cs="Arial"/>
          <w:i/>
          <w:highlight w:val="yellow"/>
        </w:rPr>
      </w:pPr>
    </w:p>
    <w:p>
      <w:p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>ACCC ENFORCEMENT OPTIONS</w:t>
      </w:r>
    </w:p>
    <w:p>
      <w:pPr>
        <w:spacing w:after="0" w:line="240" w:lineRule="auto"/>
        <w:jc w:val="both"/>
        <w:rPr>
          <w:rFonts w:cs="Arial"/>
          <w:b/>
        </w:rPr>
      </w:pPr>
    </w:p>
    <w:p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If the ACCC believes a company has breached the ACL it may take the following action:</w:t>
      </w:r>
    </w:p>
    <w:p>
      <w:pPr>
        <w:spacing w:after="0" w:line="240" w:lineRule="auto"/>
        <w:jc w:val="both"/>
        <w:rPr>
          <w:rFonts w:cs="Arial"/>
        </w:rPr>
      </w:pPr>
    </w:p>
    <w:p>
      <w:pPr>
        <w:spacing w:after="0" w:line="240" w:lineRule="auto"/>
        <w:jc w:val="both"/>
        <w:rPr>
          <w:rFonts w:cs="Arial"/>
          <w:i/>
          <w:iCs/>
          <w:highlight w:val="yellow"/>
        </w:rPr>
      </w:pPr>
      <w:r>
        <w:rPr>
          <w:rFonts w:cs="Arial"/>
        </w:rPr>
        <w:t>[</w:t>
      </w:r>
      <w:r>
        <w:rPr>
          <w:rFonts w:cs="Arial"/>
          <w:i/>
          <w:iCs/>
          <w:highlight w:val="yellow"/>
        </w:rPr>
        <w:t xml:space="preserve">Briefly describe the enforcement actions the ACCC can take, focussing on the 3 categories below, in descending order of seriousness: </w:t>
      </w:r>
    </w:p>
    <w:p>
      <w:pPr>
        <w:spacing w:after="0" w:line="240" w:lineRule="auto"/>
        <w:jc w:val="both"/>
        <w:rPr>
          <w:rFonts w:cs="Arial"/>
          <w:i/>
          <w:iCs/>
          <w:highlight w:val="yellow"/>
        </w:rPr>
      </w:pP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  <w:iCs/>
          <w:highlight w:val="yellow"/>
        </w:rPr>
      </w:pPr>
      <w:r>
        <w:rPr>
          <w:rFonts w:ascii="Arial" w:hAnsi="Arial" w:cs="Arial"/>
          <w:b/>
          <w:bCs/>
          <w:i/>
          <w:iCs/>
          <w:highlight w:val="yellow"/>
        </w:rPr>
        <w:t>litigation</w:t>
      </w:r>
      <w:r>
        <w:rPr>
          <w:rFonts w:ascii="Arial" w:hAnsi="Arial" w:cs="Arial"/>
          <w:i/>
          <w:iCs/>
          <w:highlight w:val="yellow"/>
        </w:rPr>
        <w:t xml:space="preserve"> (in which court would this occur, and what types of orders can be sought), advise of the relevant limitation period for any court action;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  <w:iCs/>
          <w:highlight w:val="yellow"/>
        </w:rPr>
      </w:pPr>
      <w:r>
        <w:rPr>
          <w:rFonts w:ascii="Arial" w:hAnsi="Arial" w:cs="Arial"/>
          <w:b/>
          <w:bCs/>
          <w:i/>
          <w:iCs/>
          <w:highlight w:val="yellow"/>
        </w:rPr>
        <w:t>infringement notices</w:t>
      </w:r>
      <w:r>
        <w:rPr>
          <w:rFonts w:ascii="Arial" w:hAnsi="Arial" w:cs="Arial"/>
          <w:i/>
          <w:iCs/>
          <w:highlight w:val="yellow"/>
        </w:rPr>
        <w:t xml:space="preserve"> (note which sections of the ACL are infringement notice provisions and which are not in this case, what MML’s options are)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  <w:iCs/>
          <w:highlight w:val="yellow"/>
        </w:rPr>
      </w:pPr>
      <w:r>
        <w:rPr>
          <w:rFonts w:ascii="Arial" w:hAnsi="Arial" w:cs="Arial"/>
          <w:b/>
          <w:bCs/>
          <w:i/>
          <w:iCs/>
          <w:highlight w:val="yellow"/>
        </w:rPr>
        <w:t>administrative resolutions</w:t>
      </w:r>
      <w:r>
        <w:rPr>
          <w:rFonts w:ascii="Arial" w:hAnsi="Arial" w:cs="Arial"/>
          <w:i/>
          <w:iCs/>
          <w:highlight w:val="yellow"/>
        </w:rPr>
        <w:t xml:space="preserve"> outside of court – specifically a s87B Undertaking – why could this be a viable resolution</w:t>
      </w:r>
      <w:proofErr w:type="gramStart"/>
      <w:r>
        <w:rPr>
          <w:rFonts w:ascii="Arial" w:hAnsi="Arial" w:cs="Arial"/>
          <w:i/>
          <w:iCs/>
          <w:highlight w:val="yellow"/>
        </w:rPr>
        <w:t>? ]</w:t>
      </w:r>
      <w:proofErr w:type="gramEnd"/>
    </w:p>
    <w:p>
      <w:pPr>
        <w:spacing w:after="0" w:line="240" w:lineRule="auto"/>
        <w:ind w:left="567"/>
        <w:jc w:val="both"/>
        <w:rPr>
          <w:rFonts w:cs="Arial"/>
          <w:i/>
          <w:iCs/>
          <w:highlight w:val="yellow"/>
        </w:rPr>
      </w:pPr>
    </w:p>
    <w:p>
      <w:p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>RECOMMENDED OPTION</w:t>
      </w:r>
    </w:p>
    <w:p>
      <w:pPr>
        <w:spacing w:after="0" w:line="240" w:lineRule="auto"/>
        <w:jc w:val="both"/>
        <w:rPr>
          <w:rFonts w:cs="Arial"/>
        </w:rPr>
      </w:pPr>
    </w:p>
    <w:p>
      <w:pPr>
        <w:spacing w:after="0" w:line="240" w:lineRule="auto"/>
        <w:jc w:val="both"/>
        <w:rPr>
          <w:rFonts w:cs="Arial"/>
          <w:i/>
          <w:iCs/>
          <w:highlight w:val="yellow"/>
        </w:rPr>
      </w:pPr>
      <w:r>
        <w:rPr>
          <w:rFonts w:cs="Arial"/>
        </w:rPr>
        <w:t>Based on your instructions and the materials provided….</w:t>
      </w:r>
    </w:p>
    <w:p>
      <w:pPr>
        <w:spacing w:after="0" w:line="240" w:lineRule="auto"/>
        <w:ind w:left="567"/>
        <w:jc w:val="both"/>
        <w:rPr>
          <w:rFonts w:cs="Arial"/>
          <w:i/>
          <w:iCs/>
          <w:highlight w:val="yellow"/>
        </w:rPr>
      </w:pPr>
    </w:p>
    <w:p>
      <w:pPr>
        <w:spacing w:after="0" w:line="240" w:lineRule="auto"/>
        <w:jc w:val="both"/>
        <w:rPr>
          <w:rFonts w:cs="Arial"/>
          <w:i/>
          <w:iCs/>
        </w:rPr>
      </w:pPr>
      <w:r>
        <w:rPr>
          <w:rFonts w:cs="Arial"/>
          <w:i/>
          <w:highlight w:val="yellow"/>
        </w:rPr>
        <w:t>[</w:t>
      </w:r>
      <w:r>
        <w:rPr>
          <w:rFonts w:cs="Arial"/>
          <w:i/>
          <w:iCs/>
          <w:highlight w:val="yellow"/>
        </w:rPr>
        <w:t xml:space="preserve">Considering that MML’s conduct has likely breached the ACL, </w:t>
      </w:r>
      <w:r>
        <w:rPr>
          <w:rFonts w:cs="Arial"/>
          <w:i/>
          <w:highlight w:val="yellow"/>
        </w:rPr>
        <w:t>what are the best solutions and strategies for the client to resolve this issue</w:t>
      </w:r>
      <w:r>
        <w:rPr>
          <w:rFonts w:cs="Arial"/>
          <w:i/>
          <w:iCs/>
          <w:highlight w:val="yellow"/>
        </w:rPr>
        <w:t xml:space="preserve"> to preserve its reputation; and what changes can it implement so that it complies with the ACL and can continue trading in Australia.  Why would a s 87B Undertaking be the best option for the client?</w:t>
      </w:r>
      <w:r>
        <w:rPr>
          <w:rFonts w:cs="Arial"/>
          <w:i/>
          <w:iCs/>
        </w:rPr>
        <w:t>]</w:t>
      </w:r>
    </w:p>
    <w:p>
      <w:pPr>
        <w:spacing w:after="0" w:line="240" w:lineRule="auto"/>
        <w:jc w:val="both"/>
        <w:rPr>
          <w:rFonts w:cs="Arial"/>
          <w:b/>
        </w:rPr>
      </w:pPr>
    </w:p>
    <w:p>
      <w:pPr>
        <w:spacing w:after="160" w:line="259" w:lineRule="auto"/>
        <w:rPr>
          <w:rFonts w:cs="Arial"/>
          <w:b/>
        </w:rPr>
      </w:pPr>
      <w:bookmarkStart w:id="0" w:name="_Hlk44510529"/>
      <w:bookmarkStart w:id="1" w:name="_Hlk22214760"/>
      <w:r>
        <w:rPr>
          <w:rFonts w:cs="Arial"/>
          <w:b/>
        </w:rPr>
        <w:br w:type="page"/>
      </w:r>
    </w:p>
    <w:p>
      <w:pPr>
        <w:keepNext/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COSTS</w:t>
      </w:r>
      <w:bookmarkEnd w:id="0"/>
      <w:bookmarkEnd w:id="1"/>
    </w:p>
    <w:p>
      <w:pPr>
        <w:spacing w:after="0" w:line="240" w:lineRule="auto"/>
        <w:jc w:val="both"/>
        <w:rPr>
          <w:rFonts w:cs="Arial"/>
        </w:rPr>
      </w:pPr>
    </w:p>
    <w:p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We estimate that our fees for the representing you in this matter will be approximately </w:t>
      </w:r>
      <w:r>
        <w:rPr>
          <w:rFonts w:cs="Arial"/>
          <w:highlight w:val="yellow"/>
        </w:rPr>
        <w:t>$[</w:t>
      </w:r>
      <w:r>
        <w:rPr>
          <w:rFonts w:cs="Arial"/>
          <w:i/>
          <w:iCs/>
          <w:highlight w:val="yellow"/>
        </w:rPr>
        <w:t>insert amount</w:t>
      </w:r>
      <w:r>
        <w:rPr>
          <w:rFonts w:cs="Arial"/>
          <w:highlight w:val="yellow"/>
        </w:rPr>
        <w:t>],</w:t>
      </w:r>
      <w:r>
        <w:rPr>
          <w:rFonts w:cs="Arial"/>
        </w:rPr>
        <w:t xml:space="preserve"> plus GST, and disbursements, if the matter resolves outside of court. Should the ACCC initiate proceedings, we will provide you with a further estimate and updated costs agreement.</w:t>
      </w:r>
    </w:p>
    <w:p>
      <w:pPr>
        <w:spacing w:after="0" w:line="240" w:lineRule="auto"/>
        <w:jc w:val="both"/>
        <w:rPr>
          <w:rFonts w:cs="Arial"/>
        </w:rPr>
      </w:pPr>
    </w:p>
    <w:p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We confirm that you have been provided with and signed our Costs Disclosure Statement.</w:t>
      </w:r>
    </w:p>
    <w:p>
      <w:pPr>
        <w:spacing w:after="0" w:line="240" w:lineRule="auto"/>
        <w:jc w:val="both"/>
        <w:rPr>
          <w:rFonts w:cs="Arial"/>
        </w:rPr>
      </w:pPr>
    </w:p>
    <w:p>
      <w:p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>WHAT WE WILL DO NEXT</w:t>
      </w:r>
    </w:p>
    <w:p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Please confirm your instructions for us to:</w:t>
      </w:r>
    </w:p>
    <w:p>
      <w:pPr>
        <w:spacing w:after="0" w:line="240" w:lineRule="auto"/>
        <w:jc w:val="both"/>
        <w:rPr>
          <w:rFonts w:cs="Arial"/>
        </w:rPr>
      </w:pPr>
    </w:p>
    <w:p>
      <w:pPr>
        <w:pStyle w:val="ListParagraph"/>
        <w:widowControl w:val="0"/>
        <w:numPr>
          <w:ilvl w:val="0"/>
          <w:numId w:val="1"/>
        </w:numPr>
        <w:autoSpaceDE w:val="0"/>
        <w:autoSpaceDN w:val="0"/>
        <w:ind w:left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Respond to the ACCC’s letter outlining MML’s position and willingness to come to an administrative resolution</w:t>
      </w:r>
    </w:p>
    <w:p>
      <w:pPr>
        <w:pStyle w:val="ListParagraph"/>
        <w:widowControl w:val="0"/>
        <w:numPr>
          <w:ilvl w:val="0"/>
          <w:numId w:val="1"/>
        </w:numPr>
        <w:autoSpaceDE w:val="0"/>
        <w:autoSpaceDN w:val="0"/>
        <w:ind w:left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Propose a meeting with the ACCC to discuss the matter. </w:t>
      </w:r>
    </w:p>
    <w:p>
      <w:pPr>
        <w:spacing w:after="0" w:line="240" w:lineRule="auto"/>
        <w:jc w:val="both"/>
        <w:rPr>
          <w:rFonts w:cs="Arial"/>
        </w:rPr>
      </w:pPr>
    </w:p>
    <w:p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Please contact </w:t>
      </w:r>
      <w:r>
        <w:rPr>
          <w:rFonts w:cs="Arial"/>
          <w:highlight w:val="yellow"/>
        </w:rPr>
        <w:t>[</w:t>
      </w:r>
      <w:r>
        <w:rPr>
          <w:rFonts w:cs="Arial"/>
          <w:i/>
          <w:highlight w:val="yellow"/>
        </w:rPr>
        <w:t>insert your name</w:t>
      </w:r>
      <w:r>
        <w:rPr>
          <w:rFonts w:cs="Arial"/>
        </w:rPr>
        <w:t xml:space="preserve">] with any questions about this matter.  </w:t>
      </w:r>
    </w:p>
    <w:p>
      <w:pPr>
        <w:spacing w:after="0" w:line="240" w:lineRule="auto"/>
        <w:rPr>
          <w:rFonts w:cs="Arial"/>
        </w:rPr>
      </w:pPr>
      <w:r>
        <w:rPr>
          <w:rFonts w:cs="Arial"/>
        </w:rPr>
        <w:t>Yours faithfully</w:t>
      </w:r>
    </w:p>
    <w:p>
      <w:pPr>
        <w:spacing w:after="0" w:line="240" w:lineRule="auto"/>
        <w:rPr>
          <w:rFonts w:cs="Arial"/>
        </w:rPr>
      </w:pPr>
    </w:p>
    <w:p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[</w:t>
      </w:r>
      <w:r>
        <w:rPr>
          <w:rFonts w:cs="Arial"/>
          <w:b/>
          <w:i/>
          <w:highlight w:val="yellow"/>
        </w:rPr>
        <w:t>FIRM NAME</w:t>
      </w:r>
      <w:r>
        <w:rPr>
          <w:rFonts w:cs="Arial"/>
          <w:b/>
          <w:i/>
        </w:rPr>
        <w:t>]</w:t>
      </w:r>
    </w:p>
    <w:p>
      <w:pPr>
        <w:spacing w:after="0" w:line="240" w:lineRule="auto"/>
        <w:rPr>
          <w:rFonts w:cs="Arial"/>
        </w:rPr>
      </w:pPr>
      <w:r>
        <w:rPr>
          <w:rFonts w:cs="Arial"/>
        </w:rPr>
        <w:t>per: [</w:t>
      </w:r>
      <w:r>
        <w:rPr>
          <w:rFonts w:cs="Arial"/>
          <w:i/>
          <w:highlight w:val="yellow"/>
        </w:rPr>
        <w:t>insert name</w:t>
      </w:r>
      <w:r>
        <w:rPr>
          <w:rFonts w:cs="Arial"/>
        </w:rPr>
        <w:t>]</w:t>
      </w:r>
    </w:p>
    <w:p>
      <w:pPr>
        <w:spacing w:after="0" w:line="240" w:lineRule="auto"/>
        <w:rPr>
          <w:rFonts w:cs="Arial"/>
        </w:rPr>
      </w:pPr>
      <w:r>
        <w:rPr>
          <w:rFonts w:cs="Arial"/>
        </w:rPr>
        <w:t>[</w:t>
      </w:r>
      <w:r>
        <w:rPr>
          <w:rFonts w:cs="Arial"/>
          <w:i/>
          <w:highlight w:val="yellow"/>
        </w:rPr>
        <w:t>position</w:t>
      </w:r>
      <w:r>
        <w:rPr>
          <w:rFonts w:cs="Arial"/>
        </w:rPr>
        <w:t>]</w:t>
      </w:r>
    </w:p>
    <w:p>
      <w:pPr>
        <w:rPr>
          <w:rFonts w:cs="Arial"/>
        </w:rPr>
      </w:pPr>
    </w:p>
    <w:p/>
    <w:sectPr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424"/>
    <w:multiLevelType w:val="hybridMultilevel"/>
    <w:tmpl w:val="D2825280"/>
    <w:lvl w:ilvl="0" w:tplc="0F242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55D640E"/>
    <w:multiLevelType w:val="hybridMultilevel"/>
    <w:tmpl w:val="924CE5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3C43AD"/>
    <w:multiLevelType w:val="hybridMultilevel"/>
    <w:tmpl w:val="052CE4D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jIxsLA0NjA1NDBX0lEKTi0uzszPAykwrAUA4mz71S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4B715-3489-4C91-A1EB-FB19AC50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Cover">
    <w:name w:val="A - Cover"/>
    <w:qFormat/>
    <w:pPr>
      <w:pBdr>
        <w:top w:val="single" w:sz="4" w:space="12" w:color="auto"/>
        <w:left w:val="single" w:sz="4" w:space="4" w:color="auto"/>
        <w:bottom w:val="single" w:sz="4" w:space="12" w:color="auto"/>
        <w:right w:val="single" w:sz="4" w:space="4" w:color="auto"/>
      </w:pBdr>
      <w:shd w:val="clear" w:color="auto" w:fill="2E74B5"/>
      <w:spacing w:before="3120" w:after="240" w:line="240" w:lineRule="auto"/>
      <w:jc w:val="right"/>
    </w:pPr>
    <w:rPr>
      <w:rFonts w:ascii="Arial" w:eastAsia="Times New Roman" w:hAnsi="Arial" w:cs="Times New Roman"/>
      <w:bCs/>
      <w:color w:val="FFFFFF"/>
      <w:sz w:val="78"/>
      <w:szCs w:val="20"/>
    </w:rPr>
  </w:style>
  <w:style w:type="paragraph" w:customStyle="1" w:styleId="A-Footer">
    <w:name w:val="A - Footer"/>
    <w:basedOn w:val="Normal"/>
    <w:autoRedefine/>
    <w:qFormat/>
    <w:pPr>
      <w:pBdr>
        <w:top w:val="single" w:sz="4" w:space="1" w:color="auto"/>
      </w:pBdr>
      <w:tabs>
        <w:tab w:val="center" w:pos="4678"/>
        <w:tab w:val="right" w:pos="8789"/>
        <w:tab w:val="right" w:pos="9639"/>
      </w:tabs>
      <w:spacing w:before="60" w:after="0" w:line="240" w:lineRule="auto"/>
    </w:pPr>
    <w:rPr>
      <w:rFonts w:eastAsia="Times New Roman" w:cs="Times New Roman"/>
      <w:sz w:val="18"/>
      <w:szCs w:val="20"/>
    </w:rPr>
  </w:style>
  <w:style w:type="paragraph" w:customStyle="1" w:styleId="A-Header">
    <w:name w:val="A - Header"/>
    <w:basedOn w:val="Normal"/>
    <w:autoRedefine/>
    <w:qFormat/>
    <w:pPr>
      <w:tabs>
        <w:tab w:val="center" w:pos="4153"/>
        <w:tab w:val="right" w:pos="8306"/>
        <w:tab w:val="right" w:pos="9072"/>
      </w:tabs>
      <w:spacing w:after="240" w:line="240" w:lineRule="auto"/>
      <w:jc w:val="right"/>
    </w:pPr>
    <w:rPr>
      <w:rFonts w:eastAsia="Times New Roman" w:cs="Arial"/>
      <w:i/>
      <w:sz w:val="18"/>
      <w:szCs w:val="20"/>
      <w:lang w:val="en-US"/>
    </w:rPr>
  </w:style>
  <w:style w:type="paragraph" w:customStyle="1" w:styleId="A-Module">
    <w:name w:val="A - Module"/>
    <w:basedOn w:val="Normal"/>
    <w:autoRedefine/>
    <w:pPr>
      <w:spacing w:before="6000" w:after="0" w:line="240" w:lineRule="auto"/>
    </w:pPr>
    <w:rPr>
      <w:rFonts w:eastAsia="Times New Roman" w:cs="Times New Roman"/>
      <w:color w:val="003D58"/>
      <w:sz w:val="56"/>
      <w:szCs w:val="40"/>
    </w:rPr>
  </w:style>
  <w:style w:type="paragraph" w:customStyle="1" w:styleId="A-NoticeofExercise">
    <w:name w:val="A - Notice of Exercise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after="0" w:line="240" w:lineRule="auto"/>
    </w:pPr>
    <w:rPr>
      <w:rFonts w:eastAsia="Times New Roman" w:cs="Times New Roman"/>
      <w:szCs w:val="20"/>
      <w:lang w:eastAsia="en-AU"/>
    </w:rPr>
  </w:style>
  <w:style w:type="paragraph" w:customStyle="1" w:styleId="A-PageBreakNEW">
    <w:name w:val="A - PageBreakNEW"/>
    <w:basedOn w:val="Normal"/>
    <w:link w:val="A-PageBreakNEWChar"/>
    <w:pPr>
      <w:spacing w:after="0" w:line="240" w:lineRule="auto"/>
    </w:pPr>
    <w:rPr>
      <w:rFonts w:eastAsia="Times New Roman" w:cs="Times New Roman"/>
      <w:szCs w:val="20"/>
      <w:lang w:eastAsia="en-AU"/>
    </w:rPr>
  </w:style>
  <w:style w:type="character" w:customStyle="1" w:styleId="A-PageBreakNEWChar">
    <w:name w:val="A - PageBreakNEW Char"/>
    <w:link w:val="A-PageBreakNEW"/>
    <w:rPr>
      <w:rFonts w:ascii="Arial" w:eastAsia="Times New Roman" w:hAnsi="Arial" w:cs="Times New Roman"/>
      <w:szCs w:val="20"/>
      <w:lang w:eastAsia="en-AU"/>
    </w:rPr>
  </w:style>
  <w:style w:type="paragraph" w:customStyle="1" w:styleId="A-SuggestedAnswerheadingnotinTOC">
    <w:name w:val="A - Suggested Answer heading (not in TOC)"/>
    <w:basedOn w:val="Normal"/>
    <w:autoRedefine/>
    <w:qFormat/>
    <w:pPr>
      <w:pageBreakBefore/>
      <w:pBdr>
        <w:top w:val="single" w:sz="4" w:space="6" w:color="FFFFFF"/>
        <w:left w:val="single" w:sz="4" w:space="4" w:color="FFFFFF"/>
        <w:bottom w:val="single" w:sz="4" w:space="6" w:color="FFFFFF"/>
        <w:right w:val="single" w:sz="4" w:space="4" w:color="FFFFFF"/>
      </w:pBdr>
      <w:shd w:val="clear" w:color="auto" w:fill="D9D9D9"/>
      <w:spacing w:before="120" w:after="120" w:line="240" w:lineRule="auto"/>
    </w:pPr>
    <w:rPr>
      <w:rFonts w:eastAsia="Times New Roman" w:cs="Times New Roman"/>
      <w:color w:val="1F4E79"/>
      <w:sz w:val="36"/>
      <w:szCs w:val="32"/>
      <w:lang w:eastAsia="en-AU"/>
    </w:rPr>
  </w:style>
  <w:style w:type="paragraph" w:customStyle="1" w:styleId="A-New1stHeading">
    <w:name w:val="A- New 1st Heading"/>
    <w:autoRedefine/>
    <w:qFormat/>
    <w:pPr>
      <w:pageBreakBefore/>
      <w:pBdr>
        <w:top w:val="single" w:sz="4" w:space="6" w:color="FFFFFF"/>
        <w:left w:val="single" w:sz="4" w:space="4" w:color="FFFFFF"/>
        <w:bottom w:val="single" w:sz="4" w:space="6" w:color="FFFFFF"/>
        <w:right w:val="single" w:sz="4" w:space="4" w:color="FFFFFF"/>
      </w:pBdr>
      <w:shd w:val="clear" w:color="auto" w:fill="D9D9D9"/>
      <w:spacing w:after="240" w:line="240" w:lineRule="auto"/>
    </w:pPr>
    <w:rPr>
      <w:rFonts w:ascii="Arial" w:eastAsia="Times New Roman" w:hAnsi="Arial" w:cs="Arial"/>
      <w:color w:val="1F4E79"/>
      <w:sz w:val="36"/>
      <w:szCs w:val="36"/>
    </w:rPr>
  </w:style>
  <w:style w:type="paragraph" w:customStyle="1" w:styleId="H-1">
    <w:name w:val="H - 1"/>
    <w:basedOn w:val="Normal"/>
    <w:link w:val="H-1Char"/>
    <w:autoRedefine/>
    <w:qFormat/>
    <w:pPr>
      <w:keepNext/>
      <w:keepLines/>
      <w:spacing w:before="120" w:after="120" w:line="240" w:lineRule="auto"/>
    </w:pPr>
    <w:rPr>
      <w:rFonts w:ascii="Arial Bold" w:eastAsia="Calibri" w:hAnsi="Arial Bold" w:cs="Arial"/>
      <w:b/>
      <w:color w:val="003D58"/>
      <w:sz w:val="32"/>
      <w:szCs w:val="24"/>
      <w:lang w:val="en-GB"/>
    </w:rPr>
  </w:style>
  <w:style w:type="character" w:customStyle="1" w:styleId="H-1Char">
    <w:name w:val="H - 1 Char"/>
    <w:link w:val="H-1"/>
    <w:rPr>
      <w:rFonts w:ascii="Arial Bold" w:eastAsia="Calibri" w:hAnsi="Arial Bold" w:cs="Arial"/>
      <w:b/>
      <w:color w:val="003D58"/>
      <w:sz w:val="32"/>
      <w:szCs w:val="24"/>
      <w:lang w:val="en-GB"/>
    </w:rPr>
  </w:style>
  <w:style w:type="paragraph" w:customStyle="1" w:styleId="H-2">
    <w:name w:val="H - 2"/>
    <w:basedOn w:val="H-1"/>
    <w:link w:val="H-2Char"/>
    <w:autoRedefine/>
    <w:qFormat/>
    <w:rPr>
      <w:rFonts w:eastAsia="Times New Roman" w:cs="Times New Roman"/>
      <w:sz w:val="26"/>
    </w:rPr>
  </w:style>
  <w:style w:type="character" w:customStyle="1" w:styleId="H-2Char">
    <w:name w:val="H - 2 Char"/>
    <w:link w:val="H-2"/>
    <w:rPr>
      <w:rFonts w:ascii="Arial Bold" w:eastAsia="Times New Roman" w:hAnsi="Arial Bold" w:cs="Times New Roman"/>
      <w:b/>
      <w:color w:val="003D58"/>
      <w:sz w:val="26"/>
      <w:szCs w:val="24"/>
      <w:lang w:val="en-GB"/>
    </w:rPr>
  </w:style>
  <w:style w:type="paragraph" w:customStyle="1" w:styleId="H-3">
    <w:name w:val="H - 3"/>
    <w:basedOn w:val="H-1"/>
    <w:link w:val="H-3Char"/>
    <w:autoRedefine/>
    <w:qFormat/>
    <w:rPr>
      <w:rFonts w:eastAsia="Times New Roman" w:cs="Times New Roman"/>
      <w:i/>
      <w:sz w:val="24"/>
      <w:szCs w:val="22"/>
    </w:rPr>
  </w:style>
  <w:style w:type="character" w:customStyle="1" w:styleId="H-3Char">
    <w:name w:val="H - 3 Char"/>
    <w:link w:val="H-3"/>
    <w:rPr>
      <w:rFonts w:ascii="Arial Bold" w:eastAsia="Times New Roman" w:hAnsi="Arial Bold" w:cs="Times New Roman"/>
      <w:b/>
      <w:i/>
      <w:color w:val="003D58"/>
      <w:sz w:val="24"/>
      <w:lang w:val="en-GB"/>
    </w:rPr>
  </w:style>
  <w:style w:type="paragraph" w:styleId="ListParagraph">
    <w:name w:val="List Paragraph"/>
    <w:aliases w:val="N1.0_NumberList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Cs w:val="24"/>
    </w:rPr>
  </w:style>
  <w:style w:type="character" w:customStyle="1" w:styleId="ListParagraphChar">
    <w:name w:val="List Paragraph Char"/>
    <w:aliases w:val="N1.0_NumberList Char"/>
    <w:link w:val="ListParagraph"/>
    <w:uiPriority w:val="34"/>
    <w:rPr>
      <w:rFonts w:ascii="Calibri" w:eastAsia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Hannie van den Heuvel</dc:creator>
  <cp:keywords/>
  <dc:description/>
  <cp:lastModifiedBy>Vanessa D'Angelo</cp:lastModifiedBy>
  <cp:revision>2</cp:revision>
  <dcterms:created xsi:type="dcterms:W3CDTF">2021-10-11T13:27:00Z</dcterms:created>
  <dcterms:modified xsi:type="dcterms:W3CDTF">2021-10-11T13:27:00Z</dcterms:modified>
</cp:coreProperties>
</file>