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3A89" w14:textId="4210E28F" w:rsidR="00E65B7E" w:rsidRDefault="00BA65F5" w:rsidP="00E65B7E">
      <w:pPr>
        <w:rPr>
          <w:rFonts w:cstheme="minorHAnsi"/>
          <w:b/>
          <w:lang w:val="en-AU"/>
        </w:rPr>
      </w:pPr>
      <w:r>
        <w:rPr>
          <w:rFonts w:cstheme="minorHAnsi"/>
          <w:b/>
          <w:lang w:val="en-AU"/>
        </w:rPr>
        <w:t>Format</w:t>
      </w:r>
    </w:p>
    <w:p w14:paraId="71A1CEF8" w14:textId="77777777" w:rsidR="00E65B7E" w:rsidRPr="0083785B" w:rsidRDefault="00E65B7E" w:rsidP="00E65B7E">
      <w:pPr>
        <w:rPr>
          <w:rFonts w:cstheme="minorHAnsi"/>
          <w:bCs/>
          <w:lang w:val="en-AU"/>
        </w:rPr>
      </w:pPr>
    </w:p>
    <w:p w14:paraId="678E071D" w14:textId="1D825408" w:rsidR="00E65B7E" w:rsidRPr="0083785B" w:rsidRDefault="00E65B7E" w:rsidP="00E65B7E">
      <w:pPr>
        <w:rPr>
          <w:rFonts w:cstheme="minorHAnsi"/>
          <w:bCs/>
          <w:lang w:val="en-AU"/>
        </w:rPr>
      </w:pPr>
      <w:r w:rsidRPr="0083785B">
        <w:rPr>
          <w:rFonts w:cstheme="minorHAnsi"/>
          <w:bCs/>
          <w:lang w:val="en-AU"/>
        </w:rPr>
        <w:t>•</w:t>
      </w:r>
      <w:r w:rsidRPr="0083785B">
        <w:rPr>
          <w:rFonts w:cstheme="minorHAnsi"/>
          <w:bCs/>
          <w:lang w:val="en-AU"/>
        </w:rPr>
        <w:tab/>
        <w:t>You do not need to provide a cover sheet.</w:t>
      </w:r>
    </w:p>
    <w:p w14:paraId="4EB3C9A9" w14:textId="77777777" w:rsidR="00E65B7E" w:rsidRPr="0083785B" w:rsidRDefault="00E65B7E" w:rsidP="00E65B7E">
      <w:pPr>
        <w:rPr>
          <w:rFonts w:cstheme="minorHAnsi"/>
          <w:bCs/>
          <w:lang w:val="en-AU"/>
        </w:rPr>
      </w:pPr>
      <w:r w:rsidRPr="0083785B">
        <w:rPr>
          <w:rFonts w:cstheme="minorHAnsi"/>
          <w:bCs/>
          <w:lang w:val="en-AU"/>
        </w:rPr>
        <w:t>•</w:t>
      </w:r>
      <w:r w:rsidRPr="0083785B">
        <w:rPr>
          <w:rFonts w:cstheme="minorHAnsi"/>
          <w:bCs/>
          <w:lang w:val="en-AU"/>
        </w:rPr>
        <w:tab/>
        <w:t>Use IRAC (taught in the seminars).</w:t>
      </w:r>
    </w:p>
    <w:p w14:paraId="624C4856" w14:textId="77777777" w:rsidR="00E65B7E" w:rsidRPr="0083785B" w:rsidRDefault="00E65B7E" w:rsidP="00E65B7E">
      <w:pPr>
        <w:rPr>
          <w:rFonts w:cstheme="minorHAnsi"/>
          <w:bCs/>
          <w:lang w:val="en-AU"/>
        </w:rPr>
      </w:pPr>
      <w:r w:rsidRPr="0083785B">
        <w:rPr>
          <w:rFonts w:cstheme="minorHAnsi"/>
          <w:bCs/>
          <w:lang w:val="en-AU"/>
        </w:rPr>
        <w:t>•</w:t>
      </w:r>
      <w:r w:rsidRPr="0083785B">
        <w:rPr>
          <w:rFonts w:cstheme="minorHAnsi"/>
          <w:bCs/>
          <w:lang w:val="en-AU"/>
        </w:rPr>
        <w:tab/>
        <w:t>Use font size 12 point and line spacing of 1.5.</w:t>
      </w:r>
    </w:p>
    <w:p w14:paraId="237FF352" w14:textId="77777777" w:rsidR="00E65B7E" w:rsidRPr="0083785B" w:rsidRDefault="00E65B7E" w:rsidP="00E65B7E">
      <w:pPr>
        <w:rPr>
          <w:rFonts w:cstheme="minorHAnsi"/>
          <w:bCs/>
          <w:lang w:val="en-AU"/>
        </w:rPr>
      </w:pPr>
      <w:r w:rsidRPr="0083785B">
        <w:rPr>
          <w:rFonts w:cstheme="minorHAnsi"/>
          <w:bCs/>
          <w:lang w:val="en-AU"/>
        </w:rPr>
        <w:t>•</w:t>
      </w:r>
      <w:r w:rsidRPr="0083785B">
        <w:rPr>
          <w:rFonts w:cstheme="minorHAnsi"/>
          <w:bCs/>
          <w:lang w:val="en-AU"/>
        </w:rPr>
        <w:tab/>
        <w:t>Use Calibri font.</w:t>
      </w:r>
    </w:p>
    <w:p w14:paraId="7E5D9062" w14:textId="667901C0" w:rsidR="00E65B7E" w:rsidRPr="0083785B" w:rsidRDefault="00E65B7E" w:rsidP="00E65B7E">
      <w:pPr>
        <w:rPr>
          <w:rFonts w:cstheme="minorHAnsi"/>
          <w:bCs/>
          <w:lang w:val="en-AU"/>
        </w:rPr>
      </w:pPr>
      <w:r w:rsidRPr="0083785B">
        <w:rPr>
          <w:rFonts w:cstheme="minorHAnsi"/>
          <w:bCs/>
          <w:lang w:val="en-AU"/>
        </w:rPr>
        <w:t>•</w:t>
      </w:r>
      <w:r w:rsidRPr="0083785B">
        <w:rPr>
          <w:rFonts w:cstheme="minorHAnsi"/>
          <w:bCs/>
          <w:lang w:val="en-AU"/>
        </w:rPr>
        <w:tab/>
        <w:t>Use margin of at least 2 cm on all sides.</w:t>
      </w:r>
    </w:p>
    <w:p w14:paraId="37B64637" w14:textId="66B07183" w:rsidR="00E65B7E" w:rsidRDefault="00E65B7E" w:rsidP="00E65B7E">
      <w:pPr>
        <w:ind w:left="720" w:hanging="720"/>
        <w:rPr>
          <w:rFonts w:cstheme="minorHAnsi"/>
          <w:bCs/>
          <w:lang w:val="en-AU"/>
        </w:rPr>
      </w:pPr>
      <w:r w:rsidRPr="0083785B">
        <w:rPr>
          <w:rFonts w:cstheme="minorHAnsi"/>
          <w:bCs/>
          <w:lang w:val="en-AU"/>
        </w:rPr>
        <w:t>•</w:t>
      </w:r>
      <w:r w:rsidRPr="0083785B">
        <w:rPr>
          <w:rFonts w:cstheme="minorHAnsi"/>
          <w:bCs/>
          <w:lang w:val="en-AU"/>
        </w:rPr>
        <w:tab/>
        <w:t xml:space="preserve">You must ensure that your writing, punctuation, </w:t>
      </w:r>
      <w:proofErr w:type="gramStart"/>
      <w:r w:rsidRPr="0083785B">
        <w:rPr>
          <w:rFonts w:cstheme="minorHAnsi"/>
          <w:bCs/>
          <w:lang w:val="en-AU"/>
        </w:rPr>
        <w:t>spelling</w:t>
      </w:r>
      <w:proofErr w:type="gramEnd"/>
      <w:r w:rsidRPr="0083785B">
        <w:rPr>
          <w:rFonts w:cstheme="minorHAnsi"/>
          <w:bCs/>
          <w:lang w:val="en-AU"/>
        </w:rPr>
        <w:t xml:space="preserve"> and grammar are of a satisfactory standard.</w:t>
      </w:r>
    </w:p>
    <w:p w14:paraId="338C1CA5" w14:textId="1C385958" w:rsidR="00E65B7E" w:rsidRPr="00E65B7E" w:rsidRDefault="00E65B7E" w:rsidP="00E65B7E">
      <w:pPr>
        <w:pStyle w:val="ListParagraph"/>
        <w:numPr>
          <w:ilvl w:val="0"/>
          <w:numId w:val="1"/>
        </w:numPr>
        <w:rPr>
          <w:rFonts w:cstheme="minorHAnsi"/>
          <w:bCs/>
          <w:lang w:val="en-AU"/>
        </w:rPr>
      </w:pPr>
      <w:r>
        <w:rPr>
          <w:rFonts w:cstheme="minorHAnsi"/>
          <w:bCs/>
          <w:lang w:val="en-AU"/>
        </w:rPr>
        <w:t>References do not count towards word limit</w:t>
      </w:r>
    </w:p>
    <w:p w14:paraId="65D32E3D" w14:textId="77777777" w:rsidR="00E65B7E" w:rsidRDefault="00E65B7E" w:rsidP="00E65B7E">
      <w:pPr>
        <w:rPr>
          <w:rFonts w:cstheme="minorHAnsi"/>
          <w:b/>
          <w:lang w:val="en-AU"/>
        </w:rPr>
      </w:pPr>
    </w:p>
    <w:p w14:paraId="64B01D2B" w14:textId="59F4E947" w:rsidR="00E65B7E" w:rsidRPr="00233765" w:rsidRDefault="00E65B7E" w:rsidP="00E65B7E">
      <w:pPr>
        <w:rPr>
          <w:rFonts w:cstheme="minorHAnsi"/>
          <w:b/>
          <w:lang w:val="en-AU"/>
        </w:rPr>
      </w:pPr>
      <w:r w:rsidRPr="00233765">
        <w:rPr>
          <w:rFonts w:cstheme="minorHAnsi"/>
          <w:b/>
          <w:lang w:val="en-AU"/>
        </w:rPr>
        <w:t>Scenario 2</w:t>
      </w:r>
    </w:p>
    <w:p w14:paraId="535BED30" w14:textId="77777777" w:rsidR="00E65B7E" w:rsidRPr="0083785B" w:rsidRDefault="00E65B7E" w:rsidP="00E65B7E">
      <w:pPr>
        <w:rPr>
          <w:rFonts w:cstheme="minorHAnsi"/>
          <w:bCs/>
          <w:lang w:val="en-AU"/>
        </w:rPr>
      </w:pPr>
    </w:p>
    <w:p w14:paraId="08A719DD" w14:textId="77777777" w:rsidR="00E65B7E" w:rsidRDefault="00E65B7E" w:rsidP="00E65B7E">
      <w:pPr>
        <w:rPr>
          <w:rFonts w:cstheme="minorHAnsi"/>
          <w:bCs/>
          <w:lang w:val="en-AU"/>
        </w:rPr>
      </w:pPr>
      <w:r w:rsidRPr="0083785B">
        <w:rPr>
          <w:rFonts w:cstheme="minorHAnsi"/>
          <w:bCs/>
          <w:lang w:val="en-AU"/>
        </w:rPr>
        <w:t xml:space="preserve">Akiko is Nicole’s older sister (35 years old).  Akiko developed and </w:t>
      </w:r>
      <w:proofErr w:type="gramStart"/>
      <w:r w:rsidRPr="0083785B">
        <w:rPr>
          <w:rFonts w:cstheme="minorHAnsi"/>
          <w:bCs/>
          <w:lang w:val="en-AU"/>
        </w:rPr>
        <w:t>runs</w:t>
      </w:r>
      <w:proofErr w:type="gramEnd"/>
      <w:r w:rsidRPr="0083785B">
        <w:rPr>
          <w:rFonts w:cstheme="minorHAnsi"/>
          <w:bCs/>
          <w:lang w:val="en-AU"/>
        </w:rPr>
        <w:t xml:space="preserve"> a very profitable online betting business (fairbets.com.au) which she owns 100% of the shares in.  Although the business is doing very well, Akiko is no longer interested in being part of an industry which she thinks is generally detrimental to society.     She decides to sell all her shares in the business and </w:t>
      </w:r>
      <w:proofErr w:type="gramStart"/>
      <w:r w:rsidRPr="0083785B">
        <w:rPr>
          <w:rFonts w:cstheme="minorHAnsi"/>
          <w:bCs/>
          <w:lang w:val="en-AU"/>
        </w:rPr>
        <w:t>enters</w:t>
      </w:r>
      <w:r>
        <w:rPr>
          <w:rFonts w:cstheme="minorHAnsi"/>
          <w:bCs/>
          <w:lang w:val="en-AU"/>
        </w:rPr>
        <w:t xml:space="preserve"> </w:t>
      </w:r>
      <w:r w:rsidRPr="0083785B">
        <w:rPr>
          <w:rFonts w:cstheme="minorHAnsi"/>
          <w:bCs/>
          <w:lang w:val="en-AU"/>
        </w:rPr>
        <w:t>into</w:t>
      </w:r>
      <w:proofErr w:type="gramEnd"/>
      <w:r w:rsidRPr="0083785B">
        <w:rPr>
          <w:rFonts w:cstheme="minorHAnsi"/>
          <w:bCs/>
          <w:lang w:val="en-AU"/>
        </w:rPr>
        <w:t xml:space="preserve"> a contract with Surfers Highway Pty Ltd (SH) for transfer of the shares ($2.8 million) to SH with an initial upfront payment of $2m with the remaining $800,000 (the deferred payment) to be paid in monthly instalments with dates specified in the contract.  The share sale and purchase </w:t>
      </w:r>
      <w:r>
        <w:rPr>
          <w:rFonts w:cstheme="minorHAnsi"/>
          <w:bCs/>
          <w:lang w:val="en-AU"/>
        </w:rPr>
        <w:t>contract</w:t>
      </w:r>
      <w:r w:rsidRPr="0083785B">
        <w:rPr>
          <w:rFonts w:cstheme="minorHAnsi"/>
          <w:bCs/>
          <w:lang w:val="en-AU"/>
        </w:rPr>
        <w:t xml:space="preserve"> (SSP) provided the following:</w:t>
      </w:r>
    </w:p>
    <w:p w14:paraId="0D97FB72" w14:textId="77777777" w:rsidR="00E65B7E" w:rsidRPr="0083785B" w:rsidRDefault="00E65B7E" w:rsidP="00E65B7E">
      <w:pPr>
        <w:rPr>
          <w:rFonts w:cstheme="minorHAnsi"/>
          <w:bCs/>
          <w:lang w:val="en-AU"/>
        </w:rPr>
      </w:pPr>
    </w:p>
    <w:p w14:paraId="1A95F4D2" w14:textId="77777777" w:rsidR="00E65B7E" w:rsidRDefault="00E65B7E" w:rsidP="00E65B7E">
      <w:pPr>
        <w:rPr>
          <w:rFonts w:cstheme="minorHAnsi"/>
          <w:bCs/>
          <w:lang w:val="en-AU"/>
        </w:rPr>
      </w:pPr>
      <w:r w:rsidRPr="0083785B">
        <w:rPr>
          <w:rFonts w:cstheme="minorHAnsi"/>
          <w:bCs/>
          <w:lang w:val="en-AU"/>
        </w:rPr>
        <w:t>•</w:t>
      </w:r>
      <w:r w:rsidRPr="0083785B">
        <w:rPr>
          <w:rFonts w:cstheme="minorHAnsi"/>
          <w:bCs/>
          <w:lang w:val="en-AU"/>
        </w:rPr>
        <w:tab/>
        <w:t>(Restraints) The seller will not compete with the purchaser of the business in relation to the business of online gambling anywhere in Australia</w:t>
      </w:r>
      <w:r>
        <w:rPr>
          <w:rFonts w:cstheme="minorHAnsi"/>
          <w:bCs/>
          <w:lang w:val="en-AU"/>
        </w:rPr>
        <w:t xml:space="preserve"> </w:t>
      </w:r>
      <w:r w:rsidRPr="0083785B">
        <w:rPr>
          <w:rFonts w:cstheme="minorHAnsi"/>
          <w:bCs/>
          <w:lang w:val="en-AU"/>
        </w:rPr>
        <w:t xml:space="preserve">or New Zealand for </w:t>
      </w:r>
      <w:r>
        <w:rPr>
          <w:rFonts w:cstheme="minorHAnsi"/>
          <w:bCs/>
          <w:lang w:val="en-AU"/>
        </w:rPr>
        <w:t>10</w:t>
      </w:r>
      <w:r w:rsidRPr="0083785B">
        <w:rPr>
          <w:rFonts w:cstheme="minorHAnsi"/>
          <w:bCs/>
          <w:lang w:val="en-AU"/>
        </w:rPr>
        <w:t xml:space="preserve"> years.</w:t>
      </w:r>
    </w:p>
    <w:p w14:paraId="05DDDCCE" w14:textId="77777777" w:rsidR="00E65B7E" w:rsidRPr="0083785B" w:rsidRDefault="00E65B7E" w:rsidP="00E65B7E">
      <w:pPr>
        <w:rPr>
          <w:rFonts w:cstheme="minorHAnsi"/>
          <w:bCs/>
          <w:lang w:val="en-AU"/>
        </w:rPr>
      </w:pPr>
    </w:p>
    <w:p w14:paraId="2B6C8D60" w14:textId="77777777" w:rsidR="00E65B7E" w:rsidRDefault="00E65B7E" w:rsidP="00E65B7E">
      <w:pPr>
        <w:rPr>
          <w:rFonts w:cstheme="minorHAnsi"/>
          <w:bCs/>
          <w:lang w:val="en-AU"/>
        </w:rPr>
      </w:pPr>
      <w:r w:rsidRPr="0083785B">
        <w:rPr>
          <w:rFonts w:cstheme="minorHAnsi"/>
          <w:bCs/>
          <w:lang w:val="en-AU"/>
        </w:rPr>
        <w:t>•</w:t>
      </w:r>
      <w:r w:rsidRPr="0083785B">
        <w:rPr>
          <w:rFonts w:cstheme="minorHAnsi"/>
          <w:bCs/>
          <w:lang w:val="en-AU"/>
        </w:rPr>
        <w:tab/>
        <w:t>(Seller Warranties) The seller warrants that upon the date of completion</w:t>
      </w:r>
      <w:r>
        <w:rPr>
          <w:rFonts w:cstheme="minorHAnsi"/>
          <w:bCs/>
          <w:lang w:val="en-AU"/>
        </w:rPr>
        <w:t xml:space="preserve"> (handover of control)</w:t>
      </w:r>
      <w:r w:rsidRPr="0083785B">
        <w:rPr>
          <w:rFonts w:cstheme="minorHAnsi"/>
          <w:bCs/>
          <w:lang w:val="en-AU"/>
        </w:rPr>
        <w:t xml:space="preserve"> any updated list of liabilities and the updated debtor list will be provided to the purchaser with relevant adjustment to the deferred payment amount.</w:t>
      </w:r>
    </w:p>
    <w:p w14:paraId="7E785ABD" w14:textId="77777777" w:rsidR="00E65B7E" w:rsidRPr="0083785B" w:rsidRDefault="00E65B7E" w:rsidP="00E65B7E">
      <w:pPr>
        <w:rPr>
          <w:rFonts w:cstheme="minorHAnsi"/>
          <w:bCs/>
          <w:lang w:val="en-AU"/>
        </w:rPr>
      </w:pPr>
    </w:p>
    <w:p w14:paraId="6A3DEDB5" w14:textId="77777777" w:rsidR="00E65B7E" w:rsidRPr="0083785B" w:rsidRDefault="00E65B7E" w:rsidP="00E65B7E">
      <w:pPr>
        <w:rPr>
          <w:rFonts w:cstheme="minorHAnsi"/>
          <w:bCs/>
          <w:lang w:val="en-AU"/>
        </w:rPr>
      </w:pPr>
      <w:r w:rsidRPr="0083785B">
        <w:rPr>
          <w:rFonts w:cstheme="minorHAnsi"/>
          <w:bCs/>
          <w:lang w:val="en-AU"/>
        </w:rPr>
        <w:t xml:space="preserve">The sale and purchase agreement also provided that in the event there was a late payment of the deferred payment by more than seven days that the Restraints and the Seller Warranties would be void and the Deferred Payment became immediately due and payable in full.  On the </w:t>
      </w:r>
      <w:proofErr w:type="gramStart"/>
      <w:r w:rsidRPr="0083785B">
        <w:rPr>
          <w:rFonts w:cstheme="minorHAnsi"/>
          <w:bCs/>
          <w:lang w:val="en-AU"/>
        </w:rPr>
        <w:t>1st</w:t>
      </w:r>
      <w:proofErr w:type="gramEnd"/>
      <w:r w:rsidRPr="0083785B">
        <w:rPr>
          <w:rFonts w:cstheme="minorHAnsi"/>
          <w:bCs/>
          <w:lang w:val="en-AU"/>
        </w:rPr>
        <w:t xml:space="preserve"> June 2021 Akiko handed control of </w:t>
      </w:r>
      <w:r>
        <w:rPr>
          <w:rFonts w:cstheme="minorHAnsi"/>
          <w:bCs/>
          <w:lang w:val="en-AU"/>
        </w:rPr>
        <w:t>‘</w:t>
      </w:r>
      <w:proofErr w:type="spellStart"/>
      <w:r w:rsidRPr="0083785B">
        <w:rPr>
          <w:rFonts w:cstheme="minorHAnsi"/>
          <w:bCs/>
          <w:lang w:val="en-AU"/>
        </w:rPr>
        <w:t>fairbets</w:t>
      </w:r>
      <w:proofErr w:type="spellEnd"/>
      <w:r>
        <w:rPr>
          <w:rFonts w:cstheme="minorHAnsi"/>
          <w:bCs/>
          <w:lang w:val="en-AU"/>
        </w:rPr>
        <w:t>’</w:t>
      </w:r>
      <w:r w:rsidRPr="0083785B">
        <w:rPr>
          <w:rFonts w:cstheme="minorHAnsi"/>
          <w:bCs/>
          <w:lang w:val="en-AU"/>
        </w:rPr>
        <w:t xml:space="preserve"> over to SH</w:t>
      </w:r>
      <w:r>
        <w:rPr>
          <w:rFonts w:cstheme="minorHAnsi"/>
          <w:bCs/>
          <w:lang w:val="en-AU"/>
        </w:rPr>
        <w:t xml:space="preserve"> (the initial up-front payment was made in full)</w:t>
      </w:r>
      <w:r w:rsidRPr="0083785B">
        <w:rPr>
          <w:rFonts w:cstheme="minorHAnsi"/>
          <w:bCs/>
          <w:lang w:val="en-AU"/>
        </w:rPr>
        <w:t xml:space="preserve">.  The second instalment of the deferred payment was to be made on the </w:t>
      </w:r>
      <w:proofErr w:type="gramStart"/>
      <w:r w:rsidRPr="0083785B">
        <w:rPr>
          <w:rFonts w:cstheme="minorHAnsi"/>
          <w:bCs/>
          <w:lang w:val="en-AU"/>
        </w:rPr>
        <w:t>1st</w:t>
      </w:r>
      <w:proofErr w:type="gramEnd"/>
      <w:r w:rsidRPr="0083785B">
        <w:rPr>
          <w:rFonts w:cstheme="minorHAnsi"/>
          <w:bCs/>
          <w:lang w:val="en-AU"/>
        </w:rPr>
        <w:t xml:space="preserve"> August 2021, however SH did not transfer any of the monies to Akiko’s account until the 10th August</w:t>
      </w:r>
      <w:r>
        <w:rPr>
          <w:rFonts w:cstheme="minorHAnsi"/>
          <w:bCs/>
          <w:lang w:val="en-AU"/>
        </w:rPr>
        <w:t xml:space="preserve"> 2021</w:t>
      </w:r>
      <w:r w:rsidRPr="0083785B">
        <w:rPr>
          <w:rFonts w:cstheme="minorHAnsi"/>
          <w:bCs/>
          <w:lang w:val="en-AU"/>
        </w:rPr>
        <w:t>.  Akiko wants to now rely on the late payment clause and sue for the remaining $750,000 due under the contract.   SH wish to argue that the Restraints and Seller Warranties are not void</w:t>
      </w:r>
      <w:r>
        <w:rPr>
          <w:rFonts w:cstheme="minorHAnsi"/>
          <w:bCs/>
          <w:lang w:val="en-AU"/>
        </w:rPr>
        <w:t xml:space="preserve"> </w:t>
      </w:r>
      <w:r w:rsidRPr="0083785B">
        <w:rPr>
          <w:rFonts w:cstheme="minorHAnsi"/>
          <w:bCs/>
          <w:lang w:val="en-AU"/>
        </w:rPr>
        <w:t>because Akiko failed to deliver the updated list of liabilities and updated debtor list on the date of completion, and that Akiko must still fulfil her obligations under the contract as the late payment clause amounted to a penalty.</w:t>
      </w:r>
    </w:p>
    <w:p w14:paraId="64D52C11" w14:textId="77777777" w:rsidR="00E65B7E" w:rsidRPr="0083785B" w:rsidRDefault="00E65B7E" w:rsidP="00E65B7E">
      <w:pPr>
        <w:rPr>
          <w:rFonts w:cstheme="minorHAnsi"/>
          <w:bCs/>
          <w:lang w:val="en-AU"/>
        </w:rPr>
      </w:pPr>
    </w:p>
    <w:p w14:paraId="610876EB" w14:textId="77777777" w:rsidR="00E65B7E" w:rsidRDefault="00E65B7E" w:rsidP="00E65B7E">
      <w:pPr>
        <w:rPr>
          <w:rFonts w:cstheme="minorHAnsi"/>
          <w:b/>
          <w:lang w:val="en-AU"/>
        </w:rPr>
      </w:pPr>
      <w:r w:rsidRPr="0083785B">
        <w:rPr>
          <w:rFonts w:cstheme="minorHAnsi"/>
          <w:b/>
          <w:lang w:val="en-AU"/>
        </w:rPr>
        <w:t xml:space="preserve">Advise SH </w:t>
      </w:r>
      <w:r>
        <w:rPr>
          <w:rFonts w:cstheme="minorHAnsi"/>
          <w:b/>
          <w:lang w:val="en-AU"/>
        </w:rPr>
        <w:t xml:space="preserve">about the legal character of the terms in the contract and </w:t>
      </w:r>
      <w:r w:rsidRPr="0083785B">
        <w:rPr>
          <w:rFonts w:cstheme="minorHAnsi"/>
          <w:b/>
          <w:lang w:val="en-AU"/>
        </w:rPr>
        <w:t xml:space="preserve">if </w:t>
      </w:r>
      <w:r>
        <w:rPr>
          <w:rFonts w:cstheme="minorHAnsi"/>
          <w:b/>
          <w:lang w:val="en-AU"/>
        </w:rPr>
        <w:t>SH</w:t>
      </w:r>
      <w:r w:rsidRPr="0083785B">
        <w:rPr>
          <w:rFonts w:cstheme="minorHAnsi"/>
          <w:b/>
          <w:lang w:val="en-AU"/>
        </w:rPr>
        <w:t xml:space="preserve"> can successfully </w:t>
      </w:r>
      <w:r>
        <w:rPr>
          <w:rFonts w:cstheme="minorHAnsi"/>
          <w:b/>
          <w:lang w:val="en-AU"/>
        </w:rPr>
        <w:t>show that the clause is a penalty</w:t>
      </w:r>
      <w:r w:rsidRPr="0083785B">
        <w:rPr>
          <w:rFonts w:cstheme="minorHAnsi"/>
          <w:b/>
          <w:lang w:val="en-AU"/>
        </w:rPr>
        <w:t>.</w:t>
      </w:r>
    </w:p>
    <w:p w14:paraId="1CC7010C" w14:textId="77777777" w:rsidR="00E65B7E" w:rsidRDefault="00E65B7E" w:rsidP="00E65B7E">
      <w:pPr>
        <w:rPr>
          <w:rFonts w:cstheme="minorHAnsi"/>
          <w:b/>
          <w:lang w:val="en-AU"/>
        </w:rPr>
      </w:pPr>
    </w:p>
    <w:p w14:paraId="197FDD83" w14:textId="77777777" w:rsidR="00E65B7E" w:rsidRDefault="00E65B7E" w:rsidP="00E65B7E">
      <w:pPr>
        <w:rPr>
          <w:rFonts w:cstheme="minorHAnsi"/>
          <w:bCs/>
          <w:lang w:val="en-AU"/>
        </w:rPr>
      </w:pPr>
      <w:r w:rsidRPr="0083785B">
        <w:rPr>
          <w:rFonts w:cstheme="minorHAnsi"/>
          <w:bCs/>
          <w:lang w:val="en-AU"/>
        </w:rPr>
        <w:t xml:space="preserve">Please cite </w:t>
      </w:r>
      <w:r>
        <w:rPr>
          <w:rFonts w:cstheme="minorHAnsi"/>
          <w:bCs/>
          <w:lang w:val="en-AU"/>
        </w:rPr>
        <w:t xml:space="preserve">case law </w:t>
      </w:r>
      <w:r w:rsidRPr="0083785B">
        <w:rPr>
          <w:rFonts w:cstheme="minorHAnsi"/>
          <w:bCs/>
          <w:lang w:val="en-AU"/>
        </w:rPr>
        <w:t>in your advice.</w:t>
      </w:r>
    </w:p>
    <w:p w14:paraId="5961AE40" w14:textId="77777777" w:rsidR="00E65B7E" w:rsidRDefault="00E65B7E" w:rsidP="00E65B7E">
      <w:pPr>
        <w:rPr>
          <w:rFonts w:cstheme="minorHAnsi"/>
          <w:bCs/>
          <w:lang w:val="en-AU"/>
        </w:rPr>
      </w:pPr>
    </w:p>
    <w:p w14:paraId="1366A7EB" w14:textId="77777777" w:rsidR="00E65B7E" w:rsidRPr="00AC7339" w:rsidRDefault="00E65B7E" w:rsidP="00E65B7E">
      <w:pPr>
        <w:rPr>
          <w:rFonts w:cstheme="minorHAnsi"/>
          <w:lang w:val="en-AU"/>
        </w:rPr>
      </w:pPr>
      <w:r w:rsidRPr="0083785B">
        <w:rPr>
          <w:rFonts w:cstheme="minorHAnsi"/>
          <w:bCs/>
          <w:lang w:val="en-AU"/>
        </w:rPr>
        <w:t xml:space="preserve">Suggested word count: </w:t>
      </w:r>
      <w:r>
        <w:rPr>
          <w:rFonts w:cstheme="minorHAnsi"/>
          <w:bCs/>
          <w:lang w:val="en-AU"/>
        </w:rPr>
        <w:t>600-700 words (12 marks)</w:t>
      </w:r>
    </w:p>
    <w:p w14:paraId="64448D9A" w14:textId="77777777" w:rsidR="00E65B7E" w:rsidRPr="0083785B" w:rsidRDefault="00E65B7E" w:rsidP="00E65B7E">
      <w:pPr>
        <w:rPr>
          <w:rFonts w:cstheme="minorHAnsi"/>
          <w:bCs/>
          <w:lang w:val="en-AU"/>
        </w:rPr>
      </w:pPr>
    </w:p>
    <w:p w14:paraId="34F945BB" w14:textId="77777777" w:rsidR="00E65B7E" w:rsidRPr="00C46557" w:rsidRDefault="00E65B7E" w:rsidP="00E65B7E">
      <w:pPr>
        <w:rPr>
          <w:rFonts w:cstheme="minorHAnsi"/>
          <w:bCs/>
          <w:i/>
          <w:iCs/>
          <w:lang w:val="en-AU"/>
        </w:rPr>
      </w:pPr>
      <w:r w:rsidRPr="0083785B">
        <w:rPr>
          <w:rFonts w:cstheme="minorHAnsi"/>
          <w:bCs/>
          <w:lang w:val="en-AU"/>
        </w:rPr>
        <w:t xml:space="preserve">Note: </w:t>
      </w:r>
      <w:r w:rsidRPr="00C46557">
        <w:rPr>
          <w:rFonts w:cstheme="minorHAnsi"/>
          <w:bCs/>
          <w:i/>
          <w:iCs/>
          <w:lang w:val="en-AU"/>
        </w:rPr>
        <w:t xml:space="preserve">Research is required for this scenario.   The unit materials </w:t>
      </w:r>
      <w:r>
        <w:rPr>
          <w:rFonts w:cstheme="minorHAnsi"/>
          <w:bCs/>
          <w:i/>
          <w:iCs/>
          <w:lang w:val="en-AU"/>
        </w:rPr>
        <w:t xml:space="preserve">WILL NOT </w:t>
      </w:r>
      <w:r w:rsidRPr="00C46557">
        <w:rPr>
          <w:rFonts w:cstheme="minorHAnsi"/>
          <w:bCs/>
          <w:i/>
          <w:iCs/>
          <w:lang w:val="en-AU"/>
        </w:rPr>
        <w:t xml:space="preserve">be sufficient to score a high grade in response to this scenario. </w:t>
      </w:r>
    </w:p>
    <w:p w14:paraId="4B991BFB" w14:textId="77777777" w:rsidR="007B1765" w:rsidRDefault="007B1765"/>
    <w:sectPr w:rsidR="007B1765" w:rsidSect="001675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3586A"/>
    <w:multiLevelType w:val="hybridMultilevel"/>
    <w:tmpl w:val="4886A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7E"/>
    <w:rsid w:val="00117552"/>
    <w:rsid w:val="0016757A"/>
    <w:rsid w:val="007B1765"/>
    <w:rsid w:val="009F476E"/>
    <w:rsid w:val="00B67F5B"/>
    <w:rsid w:val="00BA65F5"/>
    <w:rsid w:val="00E65B7E"/>
    <w:rsid w:val="00F75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292F39"/>
  <w15:chartTrackingRefBased/>
  <w15:docId w15:val="{C7582EFE-A489-E04B-B0CD-88708F70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B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Brownwright</dc:creator>
  <cp:keywords/>
  <dc:description/>
  <cp:lastModifiedBy>Jack Brownwright</cp:lastModifiedBy>
  <cp:revision>3</cp:revision>
  <dcterms:created xsi:type="dcterms:W3CDTF">2021-09-22T01:46:00Z</dcterms:created>
  <dcterms:modified xsi:type="dcterms:W3CDTF">2021-09-22T01:48:00Z</dcterms:modified>
</cp:coreProperties>
</file>