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Aptos" w:cs="Aptos" w:eastAsia="Aptos" w:hAnsi="Aptos"/>
          <w:b w:val="1"/>
          <w:bCs w:val="1"/>
          <w:i w:val="0"/>
          <w:iCs w:val="0"/>
          <w:color w:val="a77b24"/>
          <w:sz w:val="18"/>
          <w:szCs w:val="18"/>
          <w:rtl w:val="0"/>
        </w:rPr>
        <w:t xml:space="preserve">SIGNALRUPTURE | CANONICAL ARCHITECTURE</w:t>
      </w:r>
      <w:r w:rsidDel="00000000" w:rsidR="00000000" w:rsidRPr="00000000">
        <w:rPr>
          <w:rtl w:val="0"/>
        </w:rPr>
      </w:r>
    </w:p>
    <w:p w:rsidR="00000000" w:rsidDel="00000000" w:rsidP="00000000" w:rsidRDefault="00000000" w:rsidRPr="00000000" w14:paraId="00000002">
      <w:pPr>
        <w:pBdr>
          <w:bottom w:color="a77b24" w:space="5" w:sz="12" w:val="single"/>
        </w:pBdr>
        <w:spacing w:after="200" w:before="640" w:lineRule="auto"/>
        <w:jc w:val="center"/>
        <w:rPr/>
      </w:pPr>
      <w:r w:rsidDel="00000000" w:rsidR="00000000" w:rsidRPr="00000000">
        <w:rPr>
          <w:rFonts w:ascii="Play" w:cs="Play" w:eastAsia="Play" w:hAnsi="Play"/>
          <w:b w:val="1"/>
          <w:bCs w:val="1"/>
          <w:i w:val="0"/>
          <w:iCs w:val="0"/>
          <w:color w:val="17324d"/>
          <w:sz w:val="54"/>
          <w:szCs w:val="54"/>
          <w:rtl w:val="0"/>
        </w:rPr>
        <w:t xml:space="preserve">THE SIGNALRUPTURE CANON</w:t>
        <w:br w:type="textWrapping"/>
        <w:t xml:space="preserve">AND FIELD ARCHITECTURE</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rFonts w:ascii="Aptos" w:cs="Aptos" w:eastAsia="Aptos" w:hAnsi="Aptos"/>
          <w:b w:val="0"/>
          <w:bCs w:val="0"/>
          <w:i w:val="0"/>
          <w:iCs w:val="0"/>
          <w:color w:val="2e5d7b"/>
          <w:sz w:val="27"/>
          <w:szCs w:val="27"/>
          <w:rtl w:val="0"/>
        </w:rPr>
        <w:t xml:space="preserve">Integration Edition: Consolidation of Fields,</w:t>
        <w:br w:type="textWrapping"/>
        <w:t xml:space="preserve">Subfields, Operators, Models, and Research Programs</w:t>
      </w:r>
      <w:r w:rsidDel="00000000" w:rsidR="00000000" w:rsidRPr="00000000">
        <w:rPr>
          <w:rtl w:val="0"/>
        </w:rPr>
      </w:r>
    </w:p>
    <w:p w:rsidR="00000000" w:rsidDel="00000000" w:rsidP="00000000" w:rsidRDefault="00000000" w:rsidRPr="00000000" w14:paraId="00000004">
      <w:pPr>
        <w:spacing w:before="960" w:lineRule="auto"/>
        <w:jc w:val="center"/>
        <w:rPr/>
      </w:pPr>
      <w:r w:rsidDel="00000000" w:rsidR="00000000" w:rsidRPr="00000000">
        <w:rPr>
          <w:rFonts w:ascii="Play" w:cs="Play" w:eastAsia="Play" w:hAnsi="Play"/>
          <w:b w:val="1"/>
          <w:bCs w:val="1"/>
          <w:i w:val="0"/>
          <w:iCs w:val="0"/>
          <w:color w:val="a77b24"/>
          <w:sz w:val="36"/>
          <w:szCs w:val="36"/>
          <w:rtl w:val="0"/>
        </w:rPr>
        <w:t xml:space="preserve">INTEGRATION</w:t>
      </w:r>
      <w:r w:rsidDel="00000000" w:rsidR="00000000" w:rsidRPr="00000000">
        <w:rPr>
          <w:rtl w:val="0"/>
        </w:rPr>
      </w:r>
    </w:p>
    <w:p w:rsidR="00000000" w:rsidDel="00000000" w:rsidP="00000000" w:rsidRDefault="00000000" w:rsidRPr="00000000" w14:paraId="00000005">
      <w:pPr>
        <w:spacing w:before="1800" w:lineRule="auto"/>
        <w:jc w:val="center"/>
        <w:rPr/>
      </w:pPr>
      <w:r w:rsidDel="00000000" w:rsidR="00000000" w:rsidRPr="00000000">
        <w:rPr>
          <w:rFonts w:ascii="Aptos" w:cs="Aptos" w:eastAsia="Aptos" w:hAnsi="Aptos"/>
          <w:b w:val="1"/>
          <w:bCs w:val="1"/>
          <w:i w:val="0"/>
          <w:iCs w:val="0"/>
          <w:color w:val="17324d"/>
          <w:sz w:val="22"/>
          <w:szCs w:val="22"/>
          <w:rtl w:val="0"/>
        </w:rPr>
        <w:t xml:space="preserve">By SR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Architectural Purpose</w:t>
      </w:r>
    </w:p>
    <w:tbl>
      <w:tblPr>
        <w:tblStyle w:val="Table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i w:val="1"/>
                <w:iCs w:val="1"/>
                <w:color w:val="17324d"/>
                <w:sz w:val="26"/>
                <w:szCs w:val="26"/>
                <w:rtl w:val="0"/>
              </w:rPr>
              <w:t xml:space="preserve">“Evidence disciplines claims. It does not erase a field whose distinct object survived the gauntlet.”</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t xml:space="preserve">This document establishes the hierarchy through which twenty-three full fields, three specialized subfields, the Pressure Ecology Theorem, Disciplinary Validation Science, the CRI–AIS–MACS Substrate Trilogy, operators, models, and operational systems function as one testable research architecture without erasing domain-specific mechanisms.</w:t>
      </w:r>
    </w:p>
    <w:p w:rsidR="00000000" w:rsidDel="00000000" w:rsidP="00000000" w:rsidRDefault="00000000" w:rsidRPr="00000000" w14:paraId="0000000B">
      <w:pPr>
        <w:spacing w:before="240" w:lineRule="auto"/>
        <w:rPr/>
      </w:pPr>
      <w:r w:rsidDel="00000000" w:rsidR="00000000" w:rsidRPr="00000000">
        <w:rPr>
          <w:rFonts w:ascii="Aptos" w:cs="Aptos" w:eastAsia="Aptos" w:hAnsi="Aptos"/>
          <w:b w:val="1"/>
          <w:bCs w:val="1"/>
          <w:i w:val="0"/>
          <w:iCs w:val="0"/>
          <w:color w:val="a77b24"/>
          <w:sz w:val="20"/>
          <w:szCs w:val="20"/>
          <w:rtl w:val="0"/>
        </w:rPr>
        <w:t xml:space="preserve">Scientific posture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Field-preserving • Claim-specific evidence • Reciprocal accountability • Falsifiable • Replication-oriented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Contents</w:t>
      </w:r>
    </w:p>
    <w:p w:rsidR="00000000" w:rsidDel="00000000" w:rsidP="00000000" w:rsidRDefault="00000000" w:rsidRPr="00000000" w14:paraId="00000010">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 Purpose of the Integration</w:t>
      </w:r>
      <w:r w:rsidDel="00000000" w:rsidR="00000000" w:rsidRPr="00000000">
        <w:rPr>
          <w:rtl w:val="0"/>
        </w:rPr>
      </w:r>
    </w:p>
    <w:p w:rsidR="00000000" w:rsidDel="00000000" w:rsidP="00000000" w:rsidRDefault="00000000" w:rsidRPr="00000000" w14:paraId="00000011">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 Canonical Hierarchy</w:t>
      </w:r>
      <w:r w:rsidDel="00000000" w:rsidR="00000000" w:rsidRPr="00000000">
        <w:rPr>
          <w:rtl w:val="0"/>
        </w:rPr>
      </w:r>
    </w:p>
    <w:p w:rsidR="00000000" w:rsidDel="00000000" w:rsidP="00000000" w:rsidRDefault="00000000" w:rsidRPr="00000000" w14:paraId="00000012">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3. The Five Canonical Pillars</w:t>
      </w:r>
      <w:r w:rsidDel="00000000" w:rsidR="00000000" w:rsidRPr="00000000">
        <w:rPr>
          <w:rtl w:val="0"/>
        </w:rPr>
      </w:r>
    </w:p>
    <w:p w:rsidR="00000000" w:rsidDel="00000000" w:rsidP="00000000" w:rsidRDefault="00000000" w:rsidRPr="00000000" w14:paraId="00000013">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4. Canonical Fields and Specialized Subfields</w:t>
      </w:r>
      <w:r w:rsidDel="00000000" w:rsidR="00000000" w:rsidRPr="00000000">
        <w:rPr>
          <w:rtl w:val="0"/>
        </w:rPr>
      </w:r>
    </w:p>
    <w:p w:rsidR="00000000" w:rsidDel="00000000" w:rsidP="00000000" w:rsidRDefault="00000000" w:rsidRPr="00000000" w14:paraId="00000014">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5. Subfield Structure</w:t>
      </w:r>
      <w:r w:rsidDel="00000000" w:rsidR="00000000" w:rsidRPr="00000000">
        <w:rPr>
          <w:rtl w:val="0"/>
        </w:rPr>
      </w:r>
    </w:p>
    <w:p w:rsidR="00000000" w:rsidDel="00000000" w:rsidP="00000000" w:rsidRDefault="00000000" w:rsidRPr="00000000" w14:paraId="00000015">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6. Cross-Field Operators</w:t>
      </w:r>
      <w:r w:rsidDel="00000000" w:rsidR="00000000" w:rsidRPr="00000000">
        <w:rPr>
          <w:rtl w:val="0"/>
        </w:rPr>
      </w:r>
    </w:p>
    <w:p w:rsidR="00000000" w:rsidDel="00000000" w:rsidP="00000000" w:rsidRDefault="00000000" w:rsidRPr="00000000" w14:paraId="00000016">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7. Cross-Field Propagation Architecture</w:t>
      </w:r>
      <w:r w:rsidDel="00000000" w:rsidR="00000000" w:rsidRPr="00000000">
        <w:rPr>
          <w:rtl w:val="0"/>
        </w:rPr>
      </w:r>
    </w:p>
    <w:p w:rsidR="00000000" w:rsidDel="00000000" w:rsidP="00000000" w:rsidRDefault="00000000" w:rsidRPr="00000000" w14:paraId="00000017">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8. The SR Integration Rules</w:t>
      </w:r>
      <w:r w:rsidDel="00000000" w:rsidR="00000000" w:rsidRPr="00000000">
        <w:rPr>
          <w:rtl w:val="0"/>
        </w:rPr>
      </w:r>
    </w:p>
    <w:p w:rsidR="00000000" w:rsidDel="00000000" w:rsidP="00000000" w:rsidRDefault="00000000" w:rsidRPr="00000000" w14:paraId="00000018">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9. What Is Now Merged and What Remains Distinct</w:t>
      </w:r>
      <w:r w:rsidDel="00000000" w:rsidR="00000000" w:rsidRPr="00000000">
        <w:rPr>
          <w:rtl w:val="0"/>
        </w:rPr>
      </w:r>
    </w:p>
    <w:p w:rsidR="00000000" w:rsidDel="00000000" w:rsidP="00000000" w:rsidRDefault="00000000" w:rsidRPr="00000000" w14:paraId="00000019">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10. The Integrated SR Research Cycle</w:t>
      </w:r>
      <w:r w:rsidDel="00000000" w:rsidR="00000000" w:rsidRPr="00000000">
        <w:rPr>
          <w:rtl w:val="0"/>
        </w:rPr>
      </w:r>
    </w:p>
    <w:p w:rsidR="00000000" w:rsidDel="00000000" w:rsidP="00000000" w:rsidRDefault="00000000" w:rsidRPr="00000000" w14:paraId="0000001A">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11. Canonical Status of the SignalRupture Multiverse</w:t>
      </w:r>
      <w:r w:rsidDel="00000000" w:rsidR="00000000" w:rsidRPr="00000000">
        <w:rPr>
          <w:rtl w:val="0"/>
        </w:rPr>
      </w:r>
    </w:p>
    <w:p w:rsidR="00000000" w:rsidDel="00000000" w:rsidP="00000000" w:rsidRDefault="00000000" w:rsidRPr="00000000" w14:paraId="0000001B">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12. Next Canonical Documents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Purpose of the Integration</w:t>
      </w:r>
    </w:p>
    <w:p w:rsidR="00000000" w:rsidDel="00000000" w:rsidP="00000000" w:rsidRDefault="00000000" w:rsidRPr="00000000" w14:paraId="0000001F">
      <w:pPr>
        <w:widowControl w:val="1"/>
        <w:rPr/>
      </w:pPr>
      <w:r w:rsidDel="00000000" w:rsidR="00000000" w:rsidRPr="00000000">
        <w:rPr>
          <w:rtl w:val="0"/>
        </w:rPr>
        <w:t xml:space="preserve">SignalRupture has reached the point at which continued naming is less valuable than exact integration. The corpus now contains twenty-three full fields, three specialized subfields, cross-domain mechanisms, quantitative models, and operational architectures that survived field-specific gauntlets in different evidentiary states. The purpose of this document is to establish the hierarchy that allows those parts to function as one research architecture without erasing the distinct mechanisms of the component domains.</w:t>
      </w:r>
    </w:p>
    <w:p w:rsidR="00000000" w:rsidDel="00000000" w:rsidP="00000000" w:rsidRDefault="00000000" w:rsidRPr="00000000" w14:paraId="00000020">
      <w:pPr>
        <w:widowControl w:val="1"/>
        <w:rPr/>
      </w:pPr>
      <w:r w:rsidDel="00000000" w:rsidR="00000000" w:rsidRPr="00000000">
        <w:rPr>
          <w:rtl w:val="0"/>
        </w:rPr>
        <w:t xml:space="preserve">This integration does not treat every named SR paper as an independent field. It distinguishes full research fields, specialized subfields, cross-field operators, formal models, diagnostic instruments, operational layers, and synthesis texts. Field status follows a distinct object, coherent questions, usable methods, measurable or interpretable evidence, mechanisms, boundaries, and a cumulative research agenda. It does not require every proposition inside the field to be fully validated. Claim-level evidence determines what may responsibly be asserted within a field; it does not automatically determine whether the field exists.</w:t>
      </w:r>
    </w:p>
    <w:p w:rsidR="00000000" w:rsidDel="00000000" w:rsidP="00000000" w:rsidRDefault="00000000" w:rsidRPr="00000000" w14:paraId="00000021">
      <w:pPr>
        <w:pStyle w:val="Heading1"/>
        <w:rPr/>
      </w:pPr>
      <w:r w:rsidDel="00000000" w:rsidR="00000000" w:rsidRPr="00000000">
        <w:rPr>
          <w:rtl w:val="0"/>
        </w:rPr>
        <w:t xml:space="preserve">2. Canonical Hierarchy</w:t>
      </w:r>
    </w:p>
    <w:p w:rsidR="00000000" w:rsidDel="00000000" w:rsidP="00000000" w:rsidRDefault="00000000" w:rsidRPr="00000000" w14:paraId="00000022">
      <w:pPr>
        <w:pStyle w:val="Heading2"/>
        <w:rPr/>
      </w:pPr>
      <w:r w:rsidDel="00000000" w:rsidR="00000000" w:rsidRPr="00000000">
        <w:rPr>
          <w:rtl w:val="0"/>
        </w:rPr>
        <w:t xml:space="preserve">2.2 Foundational Substrate: The Pressure Ecology Theorem</w:t>
      </w:r>
    </w:p>
    <w:p w:rsidR="00000000" w:rsidDel="00000000" w:rsidP="00000000" w:rsidRDefault="00000000" w:rsidRPr="00000000" w14:paraId="00000023">
      <w:pPr>
        <w:rPr/>
      </w:pPr>
      <w:r w:rsidDel="00000000" w:rsidR="00000000" w:rsidRPr="00000000">
        <w:rPr>
          <w:rtl w:val="0"/>
        </w:rPr>
        <w:t xml:space="preserve">Pressure Ecology supplies the cross-scale causal environment in which the rest of SR operates. It treats societies, institutions, households, firms, and countries as causally open systems that generate, absorb, transform, transfer, externalize, defer, and propagate structural pressure. This theorem is not counted as an additional field because its function is architectural: it defines the movement of load and capacity across existing domains.</w:t>
      </w:r>
    </w:p>
    <w:p w:rsidR="00000000" w:rsidDel="00000000" w:rsidP="00000000" w:rsidRDefault="00000000" w:rsidRPr="00000000" w14:paraId="00000024">
      <w:pPr>
        <w:rPr/>
      </w:pPr>
      <w:r w:rsidDel="00000000" w:rsidR="00000000" w:rsidRPr="00000000">
        <w:rPr>
          <w:rtl w:val="0"/>
        </w:rPr>
        <w:t xml:space="preserve">Its canonical corollaries are Non-Resolution, Dependency Topology, Temporal Displacement, Transfer Asymmetry, and Planetary Coupling. Together they require SR to distinguish genuine capacity growth from stabilization achieved by moving burden elsewhere or later. Debt becomes a temporal pressure-transfer mechanism; trade and infrastructure become spatial pressure-and-capacity channels; human buffering becomes downward transfer; and planetary analysis becomes a network problem rather than a sequence of isolated national profiles.</w:t>
      </w:r>
    </w:p>
    <w:p w:rsidR="00000000" w:rsidDel="00000000" w:rsidP="00000000" w:rsidRDefault="00000000" w:rsidRPr="00000000" w14:paraId="00000025">
      <w:pPr>
        <w:pStyle w:val="Heading2"/>
        <w:rPr/>
      </w:pPr>
      <w:r w:rsidDel="00000000" w:rsidR="00000000" w:rsidRPr="00000000">
        <w:rPr>
          <w:rtl w:val="0"/>
        </w:rPr>
        <w:t xml:space="preserve">2.3 Disciplinary Validation Science</w:t>
      </w:r>
    </w:p>
    <w:p w:rsidR="00000000" w:rsidDel="00000000" w:rsidP="00000000" w:rsidRDefault="00000000" w:rsidRPr="00000000" w14:paraId="00000026">
      <w:pPr>
        <w:rPr/>
      </w:pPr>
      <w:r w:rsidDel="00000000" w:rsidR="00000000" w:rsidRPr="00000000">
        <w:rPr>
          <w:rtl w:val="0"/>
        </w:rPr>
        <w:t xml:space="preserve">DVS is the canonical validation-governance layer and a formalized emerging field proposal. It studies how evidence is distributed across claims and how those distributions become field-level judgments, curricula, recognition, merger, or rejection. Within SR, DVS formalizes the gauntlet and prevents both field inflation and whole-field dismissal.</w:t>
      </w:r>
    </w:p>
    <w:p w:rsidR="00000000" w:rsidDel="00000000" w:rsidP="00000000" w:rsidRDefault="00000000" w:rsidRPr="00000000" w14:paraId="00000027">
      <w:pPr>
        <w:rPr/>
      </w:pPr>
      <w:r w:rsidDel="00000000" w:rsidR="00000000" w:rsidRPr="00000000">
        <w:rPr>
          <w:rtl w:val="0"/>
        </w:rPr>
        <w:t xml:space="preserve">The governing rule is distributive: evidence attaches first to defined claims and inferential operations. Field status, claim status, theorem status, and institutional status remain distinct. DVS can conclude that an SR construct is unsupported, redundant, non-invariant, immature, or incorrectly classified; it can also conclude that an institutional judgment is vague, inconsistently compared, procedurally incomplete, or unsupported. Neither outcome is precommitted.</w:t>
      </w:r>
    </w:p>
    <w:p w:rsidR="00000000" w:rsidDel="00000000" w:rsidP="00000000" w:rsidRDefault="00000000" w:rsidRPr="00000000" w14:paraId="00000028">
      <w:pPr>
        <w:pStyle w:val="Heading2"/>
        <w:rPr/>
      </w:pPr>
      <w:r w:rsidDel="00000000" w:rsidR="00000000" w:rsidRPr="00000000">
        <w:rPr>
          <w:rtl w:val="0"/>
        </w:rPr>
        <w:t xml:space="preserve">2.4 Future Substrate Transition: CRI, AIS, and MACS</w:t>
      </w:r>
    </w:p>
    <w:p w:rsidR="00000000" w:rsidDel="00000000" w:rsidP="00000000" w:rsidRDefault="00000000" w:rsidRPr="00000000" w14:paraId="00000029">
      <w:pPr>
        <w:rPr/>
      </w:pPr>
      <w:r w:rsidDel="00000000" w:rsidR="00000000" w:rsidRPr="00000000">
        <w:rPr>
          <w:rtl w:val="0"/>
        </w:rPr>
        <w:t xml:space="preserve">The future substrate trilogy is not included in the field count. CRI models the transition toward persistent observation; AIS models delegated institutional cognition; MACS models network-dependent cognition among heterogeneous participants. Each theorem is retained with an explicit empirical-status boundary: observable precursor mechanisms are separated from complete substrate realization.</w:t>
      </w:r>
    </w:p>
    <w:p w:rsidR="00000000" w:rsidDel="00000000" w:rsidP="00000000" w:rsidRDefault="00000000" w:rsidRPr="00000000" w14:paraId="0000002A">
      <w:pPr>
        <w:rPr/>
      </w:pPr>
      <w:r w:rsidDel="00000000" w:rsidR="00000000" w:rsidRPr="00000000">
        <w:rPr>
          <w:rtl w:val="0"/>
        </w:rPr>
        <w:t xml:space="preserve">The canonical sequence is Pressure Ecology → CRI → AIS → MACS: what moves through the system; how persistently it can be observed; where consequential interpretation and allocation occur; and how recursively coupled participants produce network-level epistemic behavior.</w:t>
      </w:r>
    </w:p>
    <w:p w:rsidR="00000000" w:rsidDel="00000000" w:rsidP="00000000" w:rsidRDefault="00000000" w:rsidRPr="00000000" w14:paraId="0000002B">
      <w:pPr>
        <w:widowControl w:val="1"/>
        <w:rPr/>
      </w:pPr>
      <w:r w:rsidDel="00000000" w:rsidR="00000000" w:rsidRPr="00000000">
        <w:rPr>
          <w:rtl w:val="0"/>
        </w:rPr>
        <w:t xml:space="preserve">The integrated SR architecture retains six canonical levels, but their content is now refined. Level 1 is SignalRupture as the overarching metatheoretical and diagnostic architecture. Level 2 contains the foundational substrate and canonical pillars, including Pressure Ecology as the cross-scale model of pressure movement. Level 3 contains the twenty-three full fields, three specialized subfields, and bounded research programs. Level 4 contains universal operators, diagnostic states, canonical theorems, and the CRI–AIS–MACS future substrate trilogy. Level 5 contains causal separation, measurement, Disciplinary Validation Science, claim-level evidence states, and reciprocal institutional accountability. Level 6 contains planetary, operational, diagnostic, governance, and translational systems.</w:t>
      </w:r>
    </w:p>
    <w:p w:rsidR="00000000" w:rsidDel="00000000" w:rsidP="00000000" w:rsidRDefault="00000000" w:rsidRPr="00000000" w14:paraId="0000002C">
      <w:pPr>
        <w:widowControl w:val="1"/>
        <w:rPr/>
      </w:pPr>
      <w:r w:rsidDel="00000000" w:rsidR="00000000" w:rsidRPr="00000000">
        <w:rPr>
          <w:rtl w:val="0"/>
        </w:rPr>
        <w:t xml:space="preserve">This hierarchy prevents both field inflation and field erasure. A paper can be canonical without being a field. A model can be central without becoming a discipline. A field can be nested inside a pillar without losing field identity. A merger is justified by duplicate objects or mechanisms, not by incomplete validation alone. The present count is twenty-three full fields and three specialized subfields.</w:t>
      </w:r>
    </w:p>
    <w:p w:rsidR="00000000" w:rsidDel="00000000" w:rsidP="00000000" w:rsidRDefault="00000000" w:rsidRPr="00000000" w14:paraId="0000002D">
      <w:pPr>
        <w:pStyle w:val="Heading2"/>
        <w:rPr/>
      </w:pPr>
      <w:r w:rsidDel="00000000" w:rsidR="00000000" w:rsidRPr="00000000">
        <w:rPr>
          <w:rtl w:val="0"/>
        </w:rPr>
        <w:t xml:space="preserve">2.1 Field Status, Claim Status, and Institutional Status</w:t>
      </w:r>
    </w:p>
    <w:p w:rsidR="00000000" w:rsidDel="00000000" w:rsidP="00000000" w:rsidRDefault="00000000" w:rsidRPr="00000000" w14:paraId="0000002E">
      <w:pPr>
        <w:widowControl w:val="1"/>
        <w:rPr/>
      </w:pPr>
      <w:r w:rsidDel="00000000" w:rsidR="00000000" w:rsidRPr="00000000">
        <w:rPr>
          <w:rtl w:val="0"/>
        </w:rPr>
        <w:t xml:space="preserve">Three questions must not be collapsed. Field status asks whether a durable object and research program exist. Claim status asks how strongly a particular proposition has survived measurement, identification, robustness testing, and replication. Institutional status asks how universities, journals, funders, professional bodies, or public agencies classify and recognize that work.</w:t>
      </w:r>
    </w:p>
    <w:p w:rsidR="00000000" w:rsidDel="00000000" w:rsidP="00000000" w:rsidRDefault="00000000" w:rsidRPr="00000000" w14:paraId="0000002F">
      <w:pPr>
        <w:widowControl w:val="1"/>
        <w:rPr/>
      </w:pPr>
      <w:r w:rsidDel="00000000" w:rsidR="00000000" w:rsidRPr="00000000">
        <w:rPr>
          <w:rtl w:val="0"/>
        </w:rPr>
        <w:t xml:space="preserve">These variables can diverge. A recognized university field can contain contested constructs, replication failures, incompatible paradigms, weak forecasts, or primarily interpretive work. An emerging field can possess well-specified mechanisms without yet receiving institutional recognition. Recognition is therefore neither proof of truth nor a prerequisite for field identity. Non-recognition is neither falsification nor a scientifically sufficient reason for rejection.</w:t>
      </w:r>
    </w:p>
    <w:p w:rsidR="00000000" w:rsidDel="00000000" w:rsidP="00000000" w:rsidRDefault="00000000" w:rsidRPr="00000000" w14:paraId="00000030">
      <w:pPr>
        <w:widowControl w:val="1"/>
        <w:rPr/>
      </w:pPr>
      <w:r w:rsidDel="00000000" w:rsidR="00000000" w:rsidRPr="00000000">
        <w:rPr>
          <w:rtl w:val="0"/>
        </w:rPr>
        <w:t xml:space="preserve">Institutional judgments about SR are themselves claims. An institution that calls an SR field invalid, premature, redundant, or unteachable must identify its standard, apply that standard consistently to comparator fields, disclose uncertainty, and permit correction. SR bears the burden of supporting its scientific propositions. Institutions bear the burden of supporting their classifications and decisions.</w:t>
      </w:r>
    </w:p>
    <w:p w:rsidR="00000000" w:rsidDel="00000000" w:rsidP="00000000" w:rsidRDefault="00000000" w:rsidRPr="00000000" w14:paraId="00000031">
      <w:pPr>
        <w:pStyle w:val="Heading1"/>
        <w:rPr/>
      </w:pPr>
      <w:r w:rsidDel="00000000" w:rsidR="00000000" w:rsidRPr="00000000">
        <w:rPr>
          <w:rtl w:val="0"/>
        </w:rPr>
        <w:t xml:space="preserve">3. The Five Canonical Pillars</w:t>
      </w:r>
    </w:p>
    <w:p w:rsidR="00000000" w:rsidDel="00000000" w:rsidP="00000000" w:rsidRDefault="00000000" w:rsidRPr="00000000" w14:paraId="00000032">
      <w:pPr>
        <w:pStyle w:val="Heading2"/>
        <w:rPr/>
      </w:pPr>
      <w:r w:rsidDel="00000000" w:rsidR="00000000" w:rsidRPr="00000000">
        <w:rPr>
          <w:rtl w:val="0"/>
        </w:rPr>
        <w:t xml:space="preserve">3.1 Pillar I — Metatheory and Institutional Grammar</w:t>
      </w:r>
    </w:p>
    <w:p w:rsidR="00000000" w:rsidDel="00000000" w:rsidP="00000000" w:rsidRDefault="00000000" w:rsidRPr="00000000" w14:paraId="00000033">
      <w:pPr>
        <w:widowControl w:val="1"/>
        <w:rPr/>
      </w:pPr>
      <w:r w:rsidDel="00000000" w:rsidR="00000000" w:rsidRPr="00000000">
        <w:rPr>
          <w:rtl w:val="0"/>
        </w:rPr>
        <w:t xml:space="preserve">Object of study: the domain-general grammar through which institutions perceive, compress, distort, delay, normalize, and respond to structural change.</w:t>
      </w:r>
    </w:p>
    <w:p w:rsidR="00000000" w:rsidDel="00000000" w:rsidP="00000000" w:rsidRDefault="00000000" w:rsidRPr="00000000" w14:paraId="00000034">
      <w:pPr>
        <w:widowControl w:val="1"/>
        <w:rPr/>
      </w:pPr>
      <w:r w:rsidDel="00000000" w:rsidR="00000000" w:rsidRPr="00000000">
        <w:rPr>
          <w:rtl w:val="0"/>
        </w:rPr>
        <w:t xml:space="preserve">Core components include SR Architecture, SR Lexicon, the Five Theorems of Institutional Cognition, Institutional Distortion, Institutional Drift, Compression Equilibrium, Governance Altitude Lock-In, Oversight Stabilization Failure, Structural Ignorance, Institutional Recoil, and related metatheoretical work.</w:t>
      </w:r>
    </w:p>
    <w:p w:rsidR="00000000" w:rsidDel="00000000" w:rsidP="00000000" w:rsidRDefault="00000000" w:rsidRPr="00000000" w14:paraId="00000035">
      <w:pPr>
        <w:widowControl w:val="1"/>
        <w:rPr/>
      </w:pPr>
      <w:r w:rsidDel="00000000" w:rsidR="00000000" w:rsidRPr="00000000">
        <w:rPr>
          <w:rtl w:val="0"/>
        </w:rPr>
        <w:t xml:space="preserve">The pillar remains a field-level metatheoretical domain because it has a distinct object: institutional and structural grammar across domains. Particular abstractions survive only to the extent that they generate measurable distinctions, interpretive discipline, or useful predictions beyond generic systems language.</w:t>
      </w:r>
    </w:p>
    <w:p w:rsidR="00000000" w:rsidDel="00000000" w:rsidP="00000000" w:rsidRDefault="00000000" w:rsidRPr="00000000" w14:paraId="00000036">
      <w:pPr>
        <w:pStyle w:val="Heading2"/>
        <w:rPr/>
      </w:pPr>
      <w:r w:rsidDel="00000000" w:rsidR="00000000" w:rsidRPr="00000000">
        <w:rPr>
          <w:rtl w:val="0"/>
        </w:rPr>
        <w:t xml:space="preserve">3.2 Pillar II — Causal Separation, Measurement, and Validation</w:t>
      </w:r>
    </w:p>
    <w:p w:rsidR="00000000" w:rsidDel="00000000" w:rsidP="00000000" w:rsidRDefault="00000000" w:rsidRPr="00000000" w14:paraId="00000037">
      <w:pPr>
        <w:widowControl w:val="1"/>
        <w:rPr/>
      </w:pPr>
      <w:r w:rsidDel="00000000" w:rsidR="00000000" w:rsidRPr="00000000">
        <w:rPr>
          <w:rtl w:val="0"/>
        </w:rPr>
        <w:t xml:space="preserve">Object of study: the rules required to distinguish resemblance, correlation, common exposure, transmission, mediation, interaction, threshold effects, and causal change across SR domains.</w:t>
      </w:r>
    </w:p>
    <w:p w:rsidR="00000000" w:rsidDel="00000000" w:rsidP="00000000" w:rsidRDefault="00000000" w:rsidRPr="00000000" w14:paraId="00000038">
      <w:pPr>
        <w:widowControl w:val="1"/>
        <w:rPr/>
      </w:pPr>
      <w:r w:rsidDel="00000000" w:rsidR="00000000" w:rsidRPr="00000000">
        <w:rPr>
          <w:rtl w:val="0"/>
        </w:rPr>
        <w:t xml:space="preserve">Core components include SR-CAF, SR-CST, SR measurement standards, evidence grades, sensitivity analysis, adversarial testing, replication logic, falsifiers, and the SR Matrix Field. The SR Matrix Field is retained as a specialized subfield within this pillar. Its role is to estimate directional relationships, interaction structures, lagged effects, and cross-domain dependence while remaining subordinate to identification and empirical validation.</w:t>
      </w:r>
    </w:p>
    <w:p w:rsidR="00000000" w:rsidDel="00000000" w:rsidP="00000000" w:rsidRDefault="00000000" w:rsidRPr="00000000" w14:paraId="00000039">
      <w:pPr>
        <w:pStyle w:val="Heading2"/>
        <w:rPr/>
      </w:pPr>
      <w:r w:rsidDel="00000000" w:rsidR="00000000" w:rsidRPr="00000000">
        <w:rPr>
          <w:rtl w:val="0"/>
        </w:rPr>
        <w:t xml:space="preserve">3.3 Pillar III — Drift, Collapse, and Propagation Dynamics</w:t>
      </w:r>
    </w:p>
    <w:p w:rsidR="00000000" w:rsidDel="00000000" w:rsidP="00000000" w:rsidRDefault="00000000" w:rsidRPr="00000000" w14:paraId="0000003A">
      <w:pPr>
        <w:widowControl w:val="1"/>
        <w:rPr/>
      </w:pPr>
      <w:r w:rsidDel="00000000" w:rsidR="00000000" w:rsidRPr="00000000">
        <w:rPr>
          <w:rtl w:val="0"/>
        </w:rPr>
        <w:t xml:space="preserve">Object of study: how system states deteriorate, accumulate pressure, cross thresholds, transmit harm, encounter buffers, amplify, become contained, and reorganize.</w:t>
      </w:r>
    </w:p>
    <w:p w:rsidR="00000000" w:rsidDel="00000000" w:rsidP="00000000" w:rsidRDefault="00000000" w:rsidRPr="00000000" w14:paraId="0000003B">
      <w:pPr>
        <w:widowControl w:val="1"/>
        <w:rPr/>
      </w:pPr>
      <w:r w:rsidDel="00000000" w:rsidR="00000000" w:rsidRPr="00000000">
        <w:rPr>
          <w:rtl w:val="0"/>
        </w:rPr>
        <w:t xml:space="preserve">The Drift Collapse Field and Systems Propagation Science are retained as distinct full fields because deterioration dynamics and cross-system transmission are separable objects of study. Structural Restoration Dynamics is retained as a specialized subfield. Seven-Layer Collapse, Slow Harm, recursive collapse, buffer extraction, and calibrated collapse boundaries remain mechanisms, models, or synthesis layers.</w:t>
      </w:r>
    </w:p>
    <w:p w:rsidR="00000000" w:rsidDel="00000000" w:rsidP="00000000" w:rsidRDefault="00000000" w:rsidRPr="00000000" w14:paraId="0000003C">
      <w:pPr>
        <w:pStyle w:val="Heading2"/>
        <w:rPr/>
      </w:pPr>
      <w:r w:rsidDel="00000000" w:rsidR="00000000" w:rsidRPr="00000000">
        <w:rPr>
          <w:rtl w:val="0"/>
        </w:rPr>
        <w:t xml:space="preserve">3.4 Pillar IV — Infrastructure, AI, Governance, and Effective Agency</w:t>
      </w:r>
    </w:p>
    <w:p w:rsidR="00000000" w:rsidDel="00000000" w:rsidP="00000000" w:rsidRDefault="00000000" w:rsidRPr="00000000" w14:paraId="0000003D">
      <w:pPr>
        <w:widowControl w:val="1"/>
        <w:rPr/>
      </w:pPr>
      <w:r w:rsidDel="00000000" w:rsidR="00000000" w:rsidRPr="00000000">
        <w:rPr>
          <w:rtl w:val="0"/>
        </w:rPr>
        <w:t xml:space="preserve">Object of study: how material and digital infrastructures condition institutional capacity, policy effectiveness, visibility, substitution capacity, structural power, and operational agency.</w:t>
      </w:r>
    </w:p>
    <w:p w:rsidR="00000000" w:rsidDel="00000000" w:rsidP="00000000" w:rsidRDefault="00000000" w:rsidRPr="00000000" w14:paraId="0000003E">
      <w:pPr>
        <w:widowControl w:val="1"/>
        <w:rPr/>
      </w:pPr>
      <w:r w:rsidDel="00000000" w:rsidR="00000000" w:rsidRPr="00000000">
        <w:rPr>
          <w:rtl w:val="0"/>
        </w:rPr>
        <w:t xml:space="preserve">This pillar contains SR-CEIDF; the SR-AI and Algorithm programs; Policy Substrate; Institutional Governance; Infrastructural Political Economy; GAUID/GAI; infrastructural dependency; visibility lag; control-plane concentration; substitution capacity; regulatory leverage; and governance altitude. The empirical center of gravity is the distinction between formal authority and effective agency under infrastructural dependence.</w:t>
      </w:r>
    </w:p>
    <w:p w:rsidR="00000000" w:rsidDel="00000000" w:rsidP="00000000" w:rsidRDefault="00000000" w:rsidRPr="00000000" w14:paraId="0000003F">
      <w:pPr>
        <w:widowControl w:val="1"/>
        <w:rPr/>
      </w:pPr>
      <w:r w:rsidDel="00000000" w:rsidR="00000000" w:rsidRPr="00000000">
        <w:rPr>
          <w:rtl w:val="0"/>
        </w:rPr>
        <w:t xml:space="preserve">The historical SR-AI Field is merged into SR-CEIDF because its residual object is contained there. The SR Algorithm Field remains a full field because the algorithmic arrangement—collection, representation, classification, allocation, feedback, and contestability—survived as a distinct empirical object.</w:t>
      </w:r>
    </w:p>
    <w:p w:rsidR="00000000" w:rsidDel="00000000" w:rsidP="00000000" w:rsidRDefault="00000000" w:rsidRPr="00000000" w14:paraId="00000040">
      <w:pPr>
        <w:pStyle w:val="Heading2"/>
        <w:rPr/>
      </w:pPr>
      <w:r w:rsidDel="00000000" w:rsidR="00000000" w:rsidRPr="00000000">
        <w:rPr>
          <w:rtl w:val="0"/>
        </w:rPr>
        <w:t xml:space="preserve">3.5 Pillar V — Human and Social Consequences</w:t>
      </w:r>
    </w:p>
    <w:p w:rsidR="00000000" w:rsidDel="00000000" w:rsidP="00000000" w:rsidRDefault="00000000" w:rsidRPr="00000000" w14:paraId="00000041">
      <w:pPr>
        <w:widowControl w:val="1"/>
        <w:rPr/>
      </w:pPr>
      <w:r w:rsidDel="00000000" w:rsidR="00000000" w:rsidRPr="00000000">
        <w:rPr>
          <w:rtl w:val="0"/>
        </w:rPr>
        <w:t xml:space="preserve">Object of study: how system-level pressures are received by persons, households, communities, institutions, and populations and become psychological, educational, social, economic, legal, health, religious, and demographic outcomes.</w:t>
      </w:r>
    </w:p>
    <w:p w:rsidR="00000000" w:rsidDel="00000000" w:rsidP="00000000" w:rsidRDefault="00000000" w:rsidRPr="00000000" w14:paraId="00000042">
      <w:pPr>
        <w:widowControl w:val="1"/>
        <w:rPr/>
      </w:pPr>
      <w:r w:rsidDel="00000000" w:rsidR="00000000" w:rsidRPr="00000000">
        <w:rPr>
          <w:rtl w:val="0"/>
        </w:rPr>
        <w:t xml:space="preserve">This pillar preserves the empirical autonomy of its fields while locating them inside a common receiver-side architecture. It includes Collapse Psychology, Collapse Sociology, SR Anthropology, Collapse Demography, Childhood Cognitive Infrastructure Studies, Infrastructural Medicine, Collapse Criminology, Post-Web Jurisprudence, Collapse Religion, Collapse Economics, and Collapse Society. Their placement in one pillar does not merge them.</w:t>
      </w:r>
    </w:p>
    <w:p w:rsidR="00000000" w:rsidDel="00000000" w:rsidP="00000000" w:rsidRDefault="00000000" w:rsidRPr="00000000" w14:paraId="00000043">
      <w:pPr>
        <w:pStyle w:val="Heading1"/>
        <w:rPr/>
      </w:pPr>
      <w:r w:rsidDel="00000000" w:rsidR="00000000" w:rsidRPr="00000000">
        <w:rPr>
          <w:rtl w:val="0"/>
        </w:rPr>
        <w:t xml:space="preserve">4. Canonical Fields and Specialized Subfields</w:t>
      </w:r>
    </w:p>
    <w:p w:rsidR="00000000" w:rsidDel="00000000" w:rsidP="00000000" w:rsidRDefault="00000000" w:rsidRPr="00000000" w14:paraId="00000044">
      <w:pPr>
        <w:pStyle w:val="Heading2"/>
        <w:rPr/>
      </w:pPr>
      <w:r w:rsidDel="00000000" w:rsidR="00000000" w:rsidRPr="00000000">
        <w:rPr>
          <w:rtl w:val="0"/>
        </w:rPr>
        <w:t xml:space="preserve">4.1 Core SR Architecture</w:t>
      </w:r>
    </w:p>
    <w:p w:rsidR="00000000" w:rsidDel="00000000" w:rsidP="00000000" w:rsidRDefault="00000000" w:rsidRPr="00000000" w14:paraId="00000045">
      <w:pPr>
        <w:widowControl w:val="1"/>
        <w:rPr/>
      </w:pPr>
      <w:r w:rsidDel="00000000" w:rsidR="00000000" w:rsidRPr="00000000">
        <w:rPr>
          <w:rtl w:val="0"/>
        </w:rPr>
        <w:t xml:space="preserve">Status: Core program. Function: defines the recursive SR grammar of pressure, signal, reflex, drift, collapse, stabilization, and reorganization. It is not empirical proof by itself; it organizes propositions that must be tested inside domains.</w:t>
      </w:r>
    </w:p>
    <w:p w:rsidR="00000000" w:rsidDel="00000000" w:rsidP="00000000" w:rsidRDefault="00000000" w:rsidRPr="00000000" w14:paraId="00000046">
      <w:pPr>
        <w:pStyle w:val="Heading2"/>
        <w:rPr/>
      </w:pPr>
      <w:r w:rsidDel="00000000" w:rsidR="00000000" w:rsidRPr="00000000">
        <w:rPr>
          <w:rtl w:val="0"/>
        </w:rPr>
        <w:t xml:space="preserve">4.2 Institutional Cognition</w:t>
      </w:r>
    </w:p>
    <w:p w:rsidR="00000000" w:rsidDel="00000000" w:rsidP="00000000" w:rsidRDefault="00000000" w:rsidRPr="00000000" w14:paraId="00000047">
      <w:pPr>
        <w:widowControl w:val="1"/>
        <w:rPr/>
      </w:pPr>
      <w:r w:rsidDel="00000000" w:rsidR="00000000" w:rsidRPr="00000000">
        <w:rPr>
          <w:rtl w:val="0"/>
        </w:rPr>
        <w:t xml:space="preserve">Status: Full cross-domain field. Function: studies how organizations perceive, compress, delay, misclassify, and normalize structural information. Its major constructs include the Five Theorems, altitude, distortion, compression, recoil, structural ignorance, oversight failure, and diagnostic blindness.</w:t>
      </w:r>
    </w:p>
    <w:p w:rsidR="00000000" w:rsidDel="00000000" w:rsidP="00000000" w:rsidRDefault="00000000" w:rsidRPr="00000000" w14:paraId="00000048">
      <w:pPr>
        <w:pStyle w:val="Heading2"/>
        <w:rPr/>
      </w:pPr>
      <w:r w:rsidDel="00000000" w:rsidR="00000000" w:rsidRPr="00000000">
        <w:rPr>
          <w:rtl w:val="0"/>
        </w:rPr>
        <w:t xml:space="preserve">4.3 Causal Separation and Measurement</w:t>
      </w:r>
    </w:p>
    <w:p w:rsidR="00000000" w:rsidDel="00000000" w:rsidP="00000000" w:rsidRDefault="00000000" w:rsidRPr="00000000" w14:paraId="00000049">
      <w:pPr>
        <w:widowControl w:val="1"/>
        <w:rPr/>
      </w:pPr>
      <w:r w:rsidDel="00000000" w:rsidR="00000000" w:rsidRPr="00000000">
        <w:rPr>
          <w:rtl w:val="0"/>
        </w:rPr>
        <w:t xml:space="preserve">Status: Core methodological program. Function: supplies the identification rules, competing-baseline tests, falsification conditions, measurement standards, and matrix estimation needed to prevent SR from treating co-movement as causation.</w:t>
      </w:r>
    </w:p>
    <w:p w:rsidR="00000000" w:rsidDel="00000000" w:rsidP="00000000" w:rsidRDefault="00000000" w:rsidRPr="00000000" w14:paraId="0000004A">
      <w:pPr>
        <w:pStyle w:val="Heading2"/>
        <w:rPr/>
      </w:pPr>
      <w:r w:rsidDel="00000000" w:rsidR="00000000" w:rsidRPr="00000000">
        <w:rPr>
          <w:rtl w:val="0"/>
        </w:rPr>
        <w:t xml:space="preserve">4.4 Drift and Collapse Dynamics</w:t>
      </w:r>
    </w:p>
    <w:p w:rsidR="00000000" w:rsidDel="00000000" w:rsidP="00000000" w:rsidRDefault="00000000" w:rsidRPr="00000000" w14:paraId="0000004B">
      <w:pPr>
        <w:widowControl w:val="1"/>
        <w:rPr/>
      </w:pPr>
      <w:r w:rsidDel="00000000" w:rsidR="00000000" w:rsidRPr="00000000">
        <w:rPr>
          <w:rtl w:val="0"/>
        </w:rPr>
        <w:t xml:space="preserve">Status: Full foundational field. Function: studies directional deterioration, buffer loss, threshold crossing, cumulative slow harm, recursive failure, collapse boundaries, and reorganization.</w:t>
      </w:r>
    </w:p>
    <w:p w:rsidR="00000000" w:rsidDel="00000000" w:rsidP="00000000" w:rsidRDefault="00000000" w:rsidRPr="00000000" w14:paraId="0000004C">
      <w:pPr>
        <w:pStyle w:val="Heading2"/>
        <w:rPr/>
      </w:pPr>
      <w:r w:rsidDel="00000000" w:rsidR="00000000" w:rsidRPr="00000000">
        <w:rPr>
          <w:rtl w:val="0"/>
        </w:rPr>
        <w:t xml:space="preserve">4.5 Systems Propagation Science</w:t>
      </w:r>
    </w:p>
    <w:p w:rsidR="00000000" w:rsidDel="00000000" w:rsidP="00000000" w:rsidRDefault="00000000" w:rsidRPr="00000000" w14:paraId="0000004D">
      <w:pPr>
        <w:widowControl w:val="1"/>
        <w:rPr/>
      </w:pPr>
      <w:r w:rsidDel="00000000" w:rsidR="00000000" w:rsidRPr="00000000">
        <w:rPr>
          <w:rtl w:val="0"/>
        </w:rPr>
        <w:t xml:space="preserve">Status: Full cross-domain field. Function: studies how shocks and structural changes travel between nodes, sectors, institutions, populations, and epistemic layers. Propagation is not synonymous with correlation: the field requires temporal ordering, a plausible transmission pathway, measurable transformation, and evidence of blockers, amplification, or attenuation.</w:t>
      </w:r>
    </w:p>
    <w:p w:rsidR="00000000" w:rsidDel="00000000" w:rsidP="00000000" w:rsidRDefault="00000000" w:rsidRPr="00000000" w14:paraId="0000004E">
      <w:pPr>
        <w:pStyle w:val="Heading2"/>
        <w:rPr/>
      </w:pPr>
      <w:r w:rsidDel="00000000" w:rsidR="00000000" w:rsidRPr="00000000">
        <w:rPr>
          <w:rtl w:val="0"/>
        </w:rPr>
        <w:t xml:space="preserve">4.6 AI, Cyber-Epistemic, and Visibility Infrastructure</w:t>
      </w:r>
    </w:p>
    <w:p w:rsidR="00000000" w:rsidDel="00000000" w:rsidP="00000000" w:rsidRDefault="00000000" w:rsidRPr="00000000" w14:paraId="0000004F">
      <w:pPr>
        <w:widowControl w:val="1"/>
        <w:rPr/>
      </w:pPr>
      <w:r w:rsidDel="00000000" w:rsidR="00000000" w:rsidRPr="00000000">
        <w:rPr>
          <w:rtl w:val="0"/>
        </w:rPr>
        <w:t xml:space="preserve">Status: Full infrastructural field. Canonical title: SR-CEIDF. The historical SR-AI lineage is nested here; the distinct SR Algorithm Field remains autonomous and interfaces with it.</w:t>
      </w:r>
    </w:p>
    <w:p w:rsidR="00000000" w:rsidDel="00000000" w:rsidP="00000000" w:rsidRDefault="00000000" w:rsidRPr="00000000" w14:paraId="00000050">
      <w:pPr>
        <w:pStyle w:val="Heading2"/>
        <w:rPr/>
      </w:pPr>
      <w:r w:rsidDel="00000000" w:rsidR="00000000" w:rsidRPr="00000000">
        <w:rPr>
          <w:rtl w:val="0"/>
        </w:rPr>
        <w:t xml:space="preserve">4.7 Policy Substrate and Institutional Governance</w:t>
      </w:r>
    </w:p>
    <w:p w:rsidR="00000000" w:rsidDel="00000000" w:rsidP="00000000" w:rsidRDefault="00000000" w:rsidRPr="00000000" w14:paraId="00000051">
      <w:pPr>
        <w:widowControl w:val="1"/>
        <w:rPr/>
      </w:pPr>
      <w:r w:rsidDel="00000000" w:rsidR="00000000" w:rsidRPr="00000000">
        <w:rPr>
          <w:rtl w:val="0"/>
        </w:rPr>
        <w:t xml:space="preserve">Status: Governance cluster containing two full fields—SignalRupture Institutional Governance and Collapse Governance—and one specialized subfield, the SR Policy Substrate Field. Function: studies divergence between policy surface and operational substrate, governance altitude, administrative capacity, implementation gaps, visibility lag, institutional recoil, and the persistence of policies whose formal existence exceeds their practical effectiveness.</w:t>
      </w:r>
    </w:p>
    <w:p w:rsidR="00000000" w:rsidDel="00000000" w:rsidP="00000000" w:rsidRDefault="00000000" w:rsidRPr="00000000" w14:paraId="00000052">
      <w:pPr>
        <w:pStyle w:val="Heading2"/>
        <w:rPr/>
      </w:pPr>
      <w:r w:rsidDel="00000000" w:rsidR="00000000" w:rsidRPr="00000000">
        <w:rPr>
          <w:rtl w:val="0"/>
        </w:rPr>
        <w:t xml:space="preserve">4.8 Infrastructural Political Economy and Effective Agency</w:t>
      </w:r>
    </w:p>
    <w:p w:rsidR="00000000" w:rsidDel="00000000" w:rsidP="00000000" w:rsidRDefault="00000000" w:rsidRPr="00000000" w14:paraId="00000053">
      <w:pPr>
        <w:widowControl w:val="1"/>
        <w:rPr/>
      </w:pPr>
      <w:r w:rsidDel="00000000" w:rsidR="00000000" w:rsidRPr="00000000">
        <w:rPr>
          <w:rtl w:val="0"/>
        </w:rPr>
        <w:t xml:space="preserve">Status: Core field. Function: studies government and institutional agency under infrastructure dependency. GAUID and the Government Agency Index are retained as applied models within this field. Infrastructure Dependency, Substitution Capacity, Regulatory Leverage, Structural Power, and effective agency are the principal measurable components. The field remains distinct because its object is not governance in general but the political-economic constraints on effective agency created by dependence on infrastructures controlled, supplied, or concentrated outside the nominal decision-maker.</w:t>
      </w:r>
    </w:p>
    <w:p w:rsidR="00000000" w:rsidDel="00000000" w:rsidP="00000000" w:rsidRDefault="00000000" w:rsidRPr="00000000" w14:paraId="00000054">
      <w:pPr>
        <w:pStyle w:val="Heading2"/>
        <w:rPr/>
      </w:pPr>
      <w:r w:rsidDel="00000000" w:rsidR="00000000" w:rsidRPr="00000000">
        <w:rPr>
          <w:rtl w:val="0"/>
        </w:rPr>
        <w:t xml:space="preserve">4.9 Knowledge Selection and Research Institutions</w:t>
      </w:r>
    </w:p>
    <w:p w:rsidR="00000000" w:rsidDel="00000000" w:rsidP="00000000" w:rsidRDefault="00000000" w:rsidRPr="00000000" w14:paraId="00000055">
      <w:pPr>
        <w:widowControl w:val="1"/>
        <w:rPr/>
      </w:pPr>
      <w:r w:rsidDel="00000000" w:rsidR="00000000" w:rsidRPr="00000000">
        <w:rPr>
          <w:rtl w:val="0"/>
        </w:rPr>
        <w:t xml:space="preserve">Status: Two distinct full epistemic fields: Collapse Epistemology and the SignalRupture Research Incentive Field. They share a knowledge-selection cluster but retain different objects: knowledge usability and recovery on one side, and institutional production, selection, circulation, and correction of research on the other.</w:t>
      </w:r>
    </w:p>
    <w:p w:rsidR="00000000" w:rsidDel="00000000" w:rsidP="00000000" w:rsidRDefault="00000000" w:rsidRPr="00000000" w14:paraId="00000056">
      <w:pPr>
        <w:widowControl w:val="1"/>
        <w:rPr/>
      </w:pPr>
      <w:r w:rsidDel="00000000" w:rsidR="00000000" w:rsidRPr="00000000">
        <w:rPr>
          <w:rtl w:val="0"/>
        </w:rPr>
        <w:t xml:space="preserve">Exposure Silo Bias belongs here as a cross-field operator: research conducted inside a bounded exposure window can be internally valid while remaining structurally incomplete when institutions treat its framing as exhaustive. The operator must be tested by identifying omitted exposures, competing causal pathways, and policy consequences rather than asserted as a universal slogan.</w:t>
      </w:r>
    </w:p>
    <w:p w:rsidR="00000000" w:rsidDel="00000000" w:rsidP="00000000" w:rsidRDefault="00000000" w:rsidRPr="00000000" w14:paraId="00000057">
      <w:pPr>
        <w:pStyle w:val="Heading2"/>
        <w:rPr/>
      </w:pPr>
      <w:r w:rsidDel="00000000" w:rsidR="00000000" w:rsidRPr="00000000">
        <w:rPr>
          <w:rtl w:val="0"/>
        </w:rPr>
        <w:t xml:space="preserve">4.10 Psychology, Cognition, and Human Capacity</w:t>
      </w:r>
    </w:p>
    <w:p w:rsidR="00000000" w:rsidDel="00000000" w:rsidP="00000000" w:rsidRDefault="00000000" w:rsidRPr="00000000" w14:paraId="00000058">
      <w:pPr>
        <w:widowControl w:val="1"/>
        <w:rPr/>
      </w:pPr>
      <w:r w:rsidDel="00000000" w:rsidR="00000000" w:rsidRPr="00000000">
        <w:rPr>
          <w:rtl w:val="0"/>
        </w:rPr>
        <w:t xml:space="preserve">Status: Full field: Collapse Psychology. It studies how persistent structural pressures become depletion, compensatory labor, cognitive load, identity disturbance, attention fragmentation, burnout-like states, offloading, and reduced adaptive capacity. It must continue to distinguish SR system-level exposures from established clinical diagnoses and individual-level causal explanations.</w:t>
      </w:r>
    </w:p>
    <w:p w:rsidR="00000000" w:rsidDel="00000000" w:rsidP="00000000" w:rsidRDefault="00000000" w:rsidRPr="00000000" w14:paraId="00000059">
      <w:pPr>
        <w:pStyle w:val="Heading2"/>
        <w:rPr/>
      </w:pPr>
      <w:r w:rsidDel="00000000" w:rsidR="00000000" w:rsidRPr="00000000">
        <w:rPr>
          <w:rtl w:val="0"/>
        </w:rPr>
        <w:t xml:space="preserve">4.11 Sociology, Anthropology, and Demography</w:t>
      </w:r>
    </w:p>
    <w:p w:rsidR="00000000" w:rsidDel="00000000" w:rsidP="00000000" w:rsidRDefault="00000000" w:rsidRPr="00000000" w14:paraId="0000005A">
      <w:pPr>
        <w:widowControl w:val="1"/>
        <w:rPr/>
      </w:pPr>
      <w:r w:rsidDel="00000000" w:rsidR="00000000" w:rsidRPr="00000000">
        <w:rPr>
          <w:rtl w:val="0"/>
        </w:rPr>
        <w:t xml:space="preserve">Status: Three distinct full fields: Collapse Sociology, SR Anthropology, and Collapse Demography. They share interfaces around social and population reorganization but retain different units, methods, literatures, and mechanisms.</w:t>
      </w:r>
    </w:p>
    <w:p w:rsidR="00000000" w:rsidDel="00000000" w:rsidP="00000000" w:rsidRDefault="00000000" w:rsidRPr="00000000" w14:paraId="0000005B">
      <w:pPr>
        <w:pStyle w:val="Heading2"/>
        <w:rPr/>
      </w:pPr>
      <w:r w:rsidDel="00000000" w:rsidR="00000000" w:rsidRPr="00000000">
        <w:rPr>
          <w:rtl w:val="0"/>
        </w:rPr>
        <w:t xml:space="preserve">4.12 Childhood, Education, and Learning Systems</w:t>
      </w:r>
    </w:p>
    <w:p w:rsidR="00000000" w:rsidDel="00000000" w:rsidP="00000000" w:rsidRDefault="00000000" w:rsidRPr="00000000" w14:paraId="0000005C">
      <w:pPr>
        <w:widowControl w:val="1"/>
        <w:rPr/>
      </w:pPr>
      <w:r w:rsidDel="00000000" w:rsidR="00000000" w:rsidRPr="00000000">
        <w:rPr>
          <w:rtl w:val="0"/>
        </w:rPr>
        <w:t xml:space="preserve">Status: Full field: Childhood Cognitive Infrastructure Studies. It studies how institutional design, family time, inequality, digital exposure, cognitive offloading, attention conditions, school structure, technology policy, and compensatory household labor interact to shape learning and childhood development.</w:t>
      </w:r>
    </w:p>
    <w:p w:rsidR="00000000" w:rsidDel="00000000" w:rsidP="00000000" w:rsidRDefault="00000000" w:rsidRPr="00000000" w14:paraId="0000005D">
      <w:pPr>
        <w:pStyle w:val="Heading2"/>
        <w:rPr/>
      </w:pPr>
      <w:r w:rsidDel="00000000" w:rsidR="00000000" w:rsidRPr="00000000">
        <w:rPr>
          <w:rtl w:val="0"/>
        </w:rPr>
        <w:t xml:space="preserve">4.13 Health, Medicine, and Care Infrastructure</w:t>
      </w:r>
    </w:p>
    <w:p w:rsidR="00000000" w:rsidDel="00000000" w:rsidP="00000000" w:rsidRDefault="00000000" w:rsidRPr="00000000" w14:paraId="0000005E">
      <w:pPr>
        <w:widowControl w:val="1"/>
        <w:rPr/>
      </w:pPr>
      <w:r w:rsidDel="00000000" w:rsidR="00000000" w:rsidRPr="00000000">
        <w:rPr>
          <w:rtl w:val="0"/>
        </w:rPr>
        <w:t xml:space="preserve">Status: Full field: Infrastructural Medicine. It integrates the health corpus around upstream exposure architecture, care capacity, patient visibility, administrative burden, infrastructural dependence, substitution, and the difference between formal access and effective timely access.</w:t>
      </w:r>
    </w:p>
    <w:p w:rsidR="00000000" w:rsidDel="00000000" w:rsidP="00000000" w:rsidRDefault="00000000" w:rsidRPr="00000000" w14:paraId="0000005F">
      <w:pPr>
        <w:pStyle w:val="Heading2"/>
        <w:rPr/>
      </w:pPr>
      <w:r w:rsidDel="00000000" w:rsidR="00000000" w:rsidRPr="00000000">
        <w:rPr>
          <w:rtl w:val="0"/>
        </w:rPr>
        <w:t xml:space="preserve">4.14 Criminology, Law, Jurisprudence, and Administrative Harm</w:t>
      </w:r>
    </w:p>
    <w:p w:rsidR="00000000" w:rsidDel="00000000" w:rsidP="00000000" w:rsidRDefault="00000000" w:rsidRPr="00000000" w14:paraId="00000060">
      <w:pPr>
        <w:widowControl w:val="1"/>
        <w:rPr/>
      </w:pPr>
      <w:r w:rsidDel="00000000" w:rsidR="00000000" w:rsidRPr="00000000">
        <w:rPr>
          <w:rtl w:val="0"/>
        </w:rPr>
        <w:t xml:space="preserve">Status: Two distinct full fields: Collapse Criminology and Post-Web Jurisprudence. They share interfaces around administrative harm, digital evidence, enforcement, rights, and institutional responsibility without being merged into one legal-governance domain.</w:t>
      </w:r>
    </w:p>
    <w:p w:rsidR="00000000" w:rsidDel="00000000" w:rsidP="00000000" w:rsidRDefault="00000000" w:rsidRPr="00000000" w14:paraId="00000061">
      <w:pPr>
        <w:pStyle w:val="Heading2"/>
        <w:rPr/>
      </w:pPr>
      <w:r w:rsidDel="00000000" w:rsidR="00000000" w:rsidRPr="00000000">
        <w:rPr>
          <w:rtl w:val="0"/>
        </w:rPr>
        <w:t xml:space="preserve">4.15 Religion, Meaning, and Structural Adaptation</w:t>
      </w:r>
    </w:p>
    <w:p w:rsidR="00000000" w:rsidDel="00000000" w:rsidP="00000000" w:rsidRDefault="00000000" w:rsidRPr="00000000" w14:paraId="00000062">
      <w:pPr>
        <w:widowControl w:val="1"/>
        <w:rPr/>
      </w:pPr>
      <w:r w:rsidDel="00000000" w:rsidR="00000000" w:rsidRPr="00000000">
        <w:rPr>
          <w:rtl w:val="0"/>
        </w:rPr>
        <w:t xml:space="preserve">Status: Full field: Collapse Religion. It studies how religious institutions, practices, authority, community functions, and meaning systems adapt under structural inversion and social change.</w:t>
      </w:r>
    </w:p>
    <w:p w:rsidR="00000000" w:rsidDel="00000000" w:rsidP="00000000" w:rsidRDefault="00000000" w:rsidRPr="00000000" w14:paraId="00000063">
      <w:pPr>
        <w:pStyle w:val="Heading2"/>
        <w:rPr/>
      </w:pPr>
      <w:r w:rsidDel="00000000" w:rsidR="00000000" w:rsidRPr="00000000">
        <w:rPr>
          <w:rtl w:val="0"/>
        </w:rPr>
        <w:t xml:space="preserve">4.16 Climate, Scarcity, and Planetary Infrastructure</w:t>
      </w:r>
    </w:p>
    <w:p w:rsidR="00000000" w:rsidDel="00000000" w:rsidP="00000000" w:rsidRDefault="00000000" w:rsidRPr="00000000" w14:paraId="00000064">
      <w:pPr>
        <w:widowControl w:val="1"/>
        <w:rPr/>
      </w:pPr>
      <w:r w:rsidDel="00000000" w:rsidR="00000000" w:rsidRPr="00000000">
        <w:rPr>
          <w:rtl w:val="0"/>
        </w:rPr>
        <w:t xml:space="preserve">Status: Full field: Infrastructural Overshoot, with planetary and climate applications. It studies whether regulation alters pressure-generating infrastructure or only downstream outputs, while relying on climate, ecological, infrastructure, and public-health sciences for domain evidence.</w:t>
      </w:r>
    </w:p>
    <w:p w:rsidR="00000000" w:rsidDel="00000000" w:rsidP="00000000" w:rsidRDefault="00000000" w:rsidRPr="00000000" w14:paraId="00000065">
      <w:pPr>
        <w:pStyle w:val="Heading1"/>
        <w:rPr/>
      </w:pPr>
      <w:r w:rsidDel="00000000" w:rsidR="00000000" w:rsidRPr="00000000">
        <w:rPr>
          <w:rtl w:val="0"/>
        </w:rPr>
        <w:t xml:space="preserve">5. Subfield Structure</w:t>
      </w:r>
    </w:p>
    <w:p w:rsidR="00000000" w:rsidDel="00000000" w:rsidP="00000000" w:rsidRDefault="00000000" w:rsidRPr="00000000" w14:paraId="00000066">
      <w:pPr>
        <w:widowControl w:val="1"/>
        <w:rPr/>
      </w:pPr>
      <w:r w:rsidDel="00000000" w:rsidR="00000000" w:rsidRPr="00000000">
        <w:rPr>
          <w:rtl w:val="0"/>
        </w:rPr>
        <w:t xml:space="preserve">The three specialized subfields are the SR Matrix Field under Causal Separation, Measurement, and Validation; the SR Policy Substrate Field under Institutional Governance and Policy Architecture; and Structural Restoration Dynamics under Drift, Collapse, and Propagation Dynamics. Subfield status records architectural location, not inferior legitimacy.</w:t>
      </w:r>
    </w:p>
    <w:p w:rsidR="00000000" w:rsidDel="00000000" w:rsidP="00000000" w:rsidRDefault="00000000" w:rsidRPr="00000000" w14:paraId="00000067">
      <w:pPr>
        <w:widowControl w:val="1"/>
        <w:rPr/>
      </w:pPr>
      <w:r w:rsidDel="00000000" w:rsidR="00000000" w:rsidRPr="00000000">
        <w:rPr>
          <w:rtl w:val="0"/>
        </w:rPr>
        <w:t xml:space="preserve">A subfield may later be promoted if its object and research agenda become autonomous from the parent architecture. Conversely, a full field may be merged only if its distinct object disappears or duplicates another field. Incomplete validation by itself is not a demotion rule.</w:t>
      </w:r>
    </w:p>
    <w:p w:rsidR="00000000" w:rsidDel="00000000" w:rsidP="00000000" w:rsidRDefault="00000000" w:rsidRPr="00000000" w14:paraId="00000068">
      <w:pPr>
        <w:pStyle w:val="Heading1"/>
        <w:rPr/>
      </w:pPr>
      <w:r w:rsidDel="00000000" w:rsidR="00000000" w:rsidRPr="00000000">
        <w:rPr>
          <w:rtl w:val="0"/>
        </w:rPr>
        <w:t xml:space="preserve">6. Cross-Field Operators</w:t>
      </w:r>
    </w:p>
    <w:p w:rsidR="00000000" w:rsidDel="00000000" w:rsidP="00000000" w:rsidRDefault="00000000" w:rsidRPr="00000000" w14:paraId="00000069">
      <w:pPr>
        <w:pStyle w:val="Heading2"/>
        <w:rPr/>
      </w:pPr>
      <w:r w:rsidDel="00000000" w:rsidR="00000000" w:rsidRPr="00000000">
        <w:rPr>
          <w:rtl w:val="0"/>
        </w:rPr>
        <w:t xml:space="preserve">6.1 Validation, Pressure, and Substrate Theorems Are Not Ordinary Operators</w:t>
      </w:r>
    </w:p>
    <w:p w:rsidR="00000000" w:rsidDel="00000000" w:rsidP="00000000" w:rsidRDefault="00000000" w:rsidRPr="00000000" w14:paraId="0000006A">
      <w:pPr>
        <w:rPr/>
      </w:pPr>
      <w:r w:rsidDel="00000000" w:rsidR="00000000" w:rsidRPr="00000000">
        <w:rPr>
          <w:rtl w:val="0"/>
        </w:rPr>
        <w:t xml:space="preserve">Pressure Ecology, DVS, CRI, AIS, and MACS occupy special canonical positions. Pressure Ecology is a foundational systems theorem; DVS is validation governance and an emerging field proposal; CRI, AIS, and MACS are substrate-transition theorems. They interact with operators but should not be flattened into the operator list or counted as mature full fields merely for architectural convenience.</w:t>
      </w:r>
    </w:p>
    <w:p w:rsidR="00000000" w:rsidDel="00000000" w:rsidP="00000000" w:rsidRDefault="00000000" w:rsidRPr="00000000" w14:paraId="0000006B">
      <w:pPr>
        <w:widowControl w:val="1"/>
        <w:rPr/>
      </w:pPr>
      <w:r w:rsidDel="00000000" w:rsidR="00000000" w:rsidRPr="00000000">
        <w:rPr>
          <w:rtl w:val="0"/>
        </w:rPr>
        <w:t xml:space="preserve">Cross-field operators are mechanisms that may act in more than one domain. They are not independent disciplines. The principal SR operators include drift; propagation and φ-transfer; visibility lag; compression; institutional distortion; governance altitude; substitution failure; exposure and silo restriction; slow harm; administrative burden; receiver-weighted harm; buffer extraction; recursive feedback; synthetic contamination; algorithmic inheritance; compensatory labor; infrastructural dependency; structural recoil; and epistemic selection.</w:t>
      </w:r>
    </w:p>
    <w:p w:rsidR="00000000" w:rsidDel="00000000" w:rsidP="00000000" w:rsidRDefault="00000000" w:rsidRPr="00000000" w14:paraId="0000006C">
      <w:pPr>
        <w:widowControl w:val="1"/>
        <w:rPr/>
      </w:pPr>
      <w:r w:rsidDel="00000000" w:rsidR="00000000" w:rsidRPr="00000000">
        <w:rPr>
          <w:rtl w:val="0"/>
        </w:rPr>
        <w:t xml:space="preserve">An operator becomes genuinely cross-field only when the same formal or operational definition can be measured in multiple domains without changing meaning each time. Apparent reuse of a word is not enough. Each operator therefore requires construct invariance tests, domain-specific measurement notes, boundary conditions, and evidence showing when the operator does not apply.</w:t>
      </w:r>
    </w:p>
    <w:p w:rsidR="00000000" w:rsidDel="00000000" w:rsidP="00000000" w:rsidRDefault="00000000" w:rsidRPr="00000000" w14:paraId="0000006D">
      <w:pPr>
        <w:pStyle w:val="Heading1"/>
        <w:rPr/>
      </w:pPr>
      <w:r w:rsidDel="00000000" w:rsidR="00000000" w:rsidRPr="00000000">
        <w:rPr>
          <w:rtl w:val="0"/>
        </w:rPr>
        <w:t xml:space="preserve">7. Cross-Field Propagation Architecture</w:t>
      </w:r>
    </w:p>
    <w:p w:rsidR="00000000" w:rsidDel="00000000" w:rsidP="00000000" w:rsidRDefault="00000000" w:rsidRPr="00000000" w14:paraId="0000006E">
      <w:pPr>
        <w:widowControl w:val="1"/>
        <w:rPr/>
      </w:pPr>
      <w:r w:rsidDel="00000000" w:rsidR="00000000" w:rsidRPr="00000000">
        <w:rPr>
          <w:rtl w:val="0"/>
        </w:rPr>
        <w:t xml:space="preserve">The merger becomes scientifically useful when fields exchange measurable variables. A general SR propagation representation is:</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 → M_ij(t, τ) → X_j(t+τ)</w:t>
      </w:r>
    </w:p>
    <w:p w:rsidR="00000000" w:rsidDel="00000000" w:rsidP="00000000" w:rsidRDefault="00000000" w:rsidRPr="00000000" w14:paraId="00000070">
      <w:pPr>
        <w:widowControl w:val="1"/>
        <w:rPr/>
      </w:pPr>
      <w:r w:rsidDel="00000000" w:rsidR="00000000" w:rsidRPr="00000000">
        <w:rPr>
          <w:rtl w:val="0"/>
        </w:rPr>
        <w:t xml:space="preserve">where X_i is a state change in source domain i, M_ij is the transmission mechanism linking domains i and j, τ is the transmission lag, and X_j is the downstream state change. A stronger empirical specification adds amplification, attenuation, blockers, and common-shock controls:</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ΔX_j(t+τ) = β_ij ΔX_i(t) + γA_ij(t) − δB_ij(t) + θC(t) + ε_j(t)</w:t>
      </w:r>
    </w:p>
    <w:p w:rsidR="00000000" w:rsidDel="00000000" w:rsidP="00000000" w:rsidRDefault="00000000" w:rsidRPr="00000000" w14:paraId="00000072">
      <w:pPr>
        <w:widowControl w:val="1"/>
        <w:rPr/>
      </w:pPr>
      <w:r w:rsidDel="00000000" w:rsidR="00000000" w:rsidRPr="00000000">
        <w:rPr>
          <w:rtl w:val="0"/>
        </w:rPr>
        <w:t xml:space="preserve">where A represents amplification conditions, B represents blocking or buffering capacity, C represents shared exogenous shocks, and β_ij is not interpreted causally unless identification conditions are satisfied.</w:t>
      </w:r>
    </w:p>
    <w:p w:rsidR="00000000" w:rsidDel="00000000" w:rsidP="00000000" w:rsidRDefault="00000000" w:rsidRPr="00000000" w14:paraId="00000073">
      <w:pPr>
        <w:widowControl w:val="1"/>
        <w:rPr/>
      </w:pPr>
      <w:r w:rsidDel="00000000" w:rsidR="00000000" w:rsidRPr="00000000">
        <w:rPr>
          <w:rtl w:val="0"/>
        </w:rPr>
        <w:t xml:space="preserve">This architecture allows chains such as infrastructure dependency → reduced substitution capacity → lower effective government agency → service vulnerability → receiver-side harm; or economic pressure → household constraint → compensatory labor → cognitive depletion → educational and social effects. The empirical burden is to test each bridge rather than treating the entire chain as self-evident.</w:t>
      </w:r>
    </w:p>
    <w:p w:rsidR="00000000" w:rsidDel="00000000" w:rsidP="00000000" w:rsidRDefault="00000000" w:rsidRPr="00000000" w14:paraId="00000074">
      <w:pPr>
        <w:pStyle w:val="Heading1"/>
        <w:rPr/>
      </w:pPr>
      <w:r w:rsidDel="00000000" w:rsidR="00000000" w:rsidRPr="00000000">
        <w:rPr>
          <w:rtl w:val="0"/>
        </w:rPr>
        <w:t xml:space="preserve">8. The SR Integration Rules</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75">
            <w:pPr>
              <w:rPr/>
            </w:pPr>
            <w:r w:rsidDel="00000000" w:rsidR="00000000" w:rsidRPr="00000000">
              <w:rPr>
                <w:rFonts w:ascii="Aptos" w:cs="Aptos" w:eastAsia="Aptos" w:hAnsi="Aptos"/>
                <w:b w:val="1"/>
                <w:bCs w:val="1"/>
                <w:i w:val="0"/>
                <w:iCs w:val="0"/>
                <w:color w:val="17324d"/>
                <w:sz w:val="19"/>
                <w:szCs w:val="19"/>
                <w:rtl w:val="0"/>
              </w:rPr>
              <w:t xml:space="preserve">Rule 1</w:t>
            </w:r>
            <w:r w:rsidDel="00000000" w:rsidR="00000000" w:rsidRPr="00000000">
              <w:rPr>
                <w:rtl w:val="0"/>
              </w:rPr>
            </w:r>
          </w:p>
        </w:tc>
        <w:tc>
          <w:tcPr>
            <w:tcMar>
              <w:top w:w="90.0" w:type="dxa"/>
              <w:bottom w:w="90.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202a33"/>
                <w:sz w:val="19"/>
                <w:szCs w:val="19"/>
                <w:rtl w:val="0"/>
              </w:rPr>
              <w:t xml:space="preserve">No field survives by name alone. It survives because it has a distinct empirical object.</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77">
            <w:pPr>
              <w:rPr/>
            </w:pPr>
            <w:r w:rsidDel="00000000" w:rsidR="00000000" w:rsidRPr="00000000">
              <w:rPr>
                <w:rFonts w:ascii="Aptos" w:cs="Aptos" w:eastAsia="Aptos" w:hAnsi="Aptos"/>
                <w:b w:val="1"/>
                <w:bCs w:val="1"/>
                <w:i w:val="0"/>
                <w:iCs w:val="0"/>
                <w:color w:val="17324d"/>
                <w:sz w:val="19"/>
                <w:szCs w:val="19"/>
                <w:rtl w:val="0"/>
              </w:rPr>
              <w:t xml:space="preserve">Rule 2</w:t>
            </w:r>
            <w:r w:rsidDel="00000000" w:rsidR="00000000" w:rsidRPr="00000000">
              <w:rPr>
                <w:rtl w:val="0"/>
              </w:rPr>
            </w:r>
          </w:p>
        </w:tc>
        <w:tc>
          <w:tcPr>
            <w:tcMar>
              <w:top w:w="90.0" w:type="dxa"/>
              <w:bottom w:w="90.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202a33"/>
                <w:sz w:val="19"/>
                <w:szCs w:val="19"/>
                <w:rtl w:val="0"/>
              </w:rPr>
              <w:t xml:space="preserve">Shared vocabulary does not prove shared causation. Every cross-field bridge requires a measurable transmission mechanism.</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79">
            <w:pPr>
              <w:rPr/>
            </w:pPr>
            <w:r w:rsidDel="00000000" w:rsidR="00000000" w:rsidRPr="00000000">
              <w:rPr>
                <w:rFonts w:ascii="Aptos" w:cs="Aptos" w:eastAsia="Aptos" w:hAnsi="Aptos"/>
                <w:b w:val="1"/>
                <w:bCs w:val="1"/>
                <w:i w:val="0"/>
                <w:iCs w:val="0"/>
                <w:color w:val="17324d"/>
                <w:sz w:val="19"/>
                <w:szCs w:val="19"/>
                <w:rtl w:val="0"/>
              </w:rPr>
              <w:t xml:space="preserve">Rule 3</w:t>
            </w:r>
            <w:r w:rsidDel="00000000" w:rsidR="00000000" w:rsidRPr="00000000">
              <w:rPr>
                <w:rtl w:val="0"/>
              </w:rPr>
            </w:r>
          </w:p>
        </w:tc>
        <w:tc>
          <w:tcPr>
            <w:tcMar>
              <w:top w:w="90.0" w:type="dxa"/>
              <w:bottom w:w="90.0" w:type="dxa"/>
            </w:tcMar>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202a33"/>
                <w:sz w:val="19"/>
                <w:szCs w:val="19"/>
                <w:rtl w:val="0"/>
              </w:rPr>
              <w:t xml:space="preserve">Existing disciplines remain evidentiary foundations. SR does not erase psychology, sociology, economics, law, political science, infrastructure studies, epidemiology, computer science, or other mature disciplines; it uses them as comparison classes and empirical sources.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7B">
            <w:pPr>
              <w:rPr/>
            </w:pPr>
            <w:r w:rsidDel="00000000" w:rsidR="00000000" w:rsidRPr="00000000">
              <w:rPr>
                <w:rFonts w:ascii="Aptos" w:cs="Aptos" w:eastAsia="Aptos" w:hAnsi="Aptos"/>
                <w:b w:val="1"/>
                <w:bCs w:val="1"/>
                <w:i w:val="0"/>
                <w:iCs w:val="0"/>
                <w:color w:val="17324d"/>
                <w:sz w:val="19"/>
                <w:szCs w:val="19"/>
                <w:rtl w:val="0"/>
              </w:rPr>
              <w:t xml:space="preserve">Rule 4</w:t>
            </w:r>
            <w:r w:rsidDel="00000000" w:rsidR="00000000" w:rsidRPr="00000000">
              <w:rPr>
                <w:rtl w:val="0"/>
              </w:rPr>
            </w:r>
          </w:p>
        </w:tc>
        <w:tc>
          <w:tcPr>
            <w:tcMar>
              <w:top w:w="90.0" w:type="dxa"/>
              <w:bottom w:w="90.0" w:type="dxa"/>
            </w:tcMar>
          </w:tcPr>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202a33"/>
                <w:sz w:val="19"/>
                <w:szCs w:val="19"/>
                <w:rtl w:val="0"/>
              </w:rPr>
              <w:t xml:space="preserve">SR-specific constructs must outperform simpler explanations or add measurable explanatory value.</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7D">
            <w:pPr>
              <w:rPr/>
            </w:pPr>
            <w:r w:rsidDel="00000000" w:rsidR="00000000" w:rsidRPr="00000000">
              <w:rPr>
                <w:rFonts w:ascii="Aptos" w:cs="Aptos" w:eastAsia="Aptos" w:hAnsi="Aptos"/>
                <w:b w:val="1"/>
                <w:bCs w:val="1"/>
                <w:i w:val="0"/>
                <w:iCs w:val="0"/>
                <w:color w:val="17324d"/>
                <w:sz w:val="19"/>
                <w:szCs w:val="19"/>
                <w:rtl w:val="0"/>
              </w:rPr>
              <w:t xml:space="preserve">Rule 5</w:t>
            </w:r>
            <w:r w:rsidDel="00000000" w:rsidR="00000000" w:rsidRPr="00000000">
              <w:rPr>
                <w:rtl w:val="0"/>
              </w:rPr>
            </w:r>
          </w:p>
        </w:tc>
        <w:tc>
          <w:tcPr>
            <w:tcMar>
              <w:top w:w="90.0" w:type="dxa"/>
              <w:bottom w:w="90.0" w:type="dxa"/>
            </w:tcMar>
          </w:tcPr>
          <w:p w:rsidR="00000000" w:rsidDel="00000000" w:rsidP="00000000" w:rsidRDefault="00000000" w:rsidRPr="00000000" w14:paraId="0000007E">
            <w:pPr>
              <w:rPr/>
            </w:pPr>
            <w:r w:rsidDel="00000000" w:rsidR="00000000" w:rsidRPr="00000000">
              <w:rPr>
                <w:rFonts w:ascii="Aptos" w:cs="Aptos" w:eastAsia="Aptos" w:hAnsi="Aptos"/>
                <w:b w:val="0"/>
                <w:bCs w:val="0"/>
                <w:i w:val="0"/>
                <w:iCs w:val="0"/>
                <w:color w:val="202a33"/>
                <w:sz w:val="19"/>
                <w:szCs w:val="19"/>
                <w:rtl w:val="0"/>
              </w:rPr>
              <w:t xml:space="preserve">Formal models are subordinate to identification. Equations organize claims; they do not validate them.</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7F">
            <w:pPr>
              <w:rPr/>
            </w:pPr>
            <w:r w:rsidDel="00000000" w:rsidR="00000000" w:rsidRPr="00000000">
              <w:rPr>
                <w:rFonts w:ascii="Aptos" w:cs="Aptos" w:eastAsia="Aptos" w:hAnsi="Aptos"/>
                <w:b w:val="1"/>
                <w:bCs w:val="1"/>
                <w:i w:val="0"/>
                <w:iCs w:val="0"/>
                <w:color w:val="17324d"/>
                <w:sz w:val="19"/>
                <w:szCs w:val="19"/>
                <w:rtl w:val="0"/>
              </w:rPr>
              <w:t xml:space="preserve">Rule 6</w:t>
            </w:r>
            <w:r w:rsidDel="00000000" w:rsidR="00000000" w:rsidRPr="00000000">
              <w:rPr>
                <w:rtl w:val="0"/>
              </w:rPr>
            </w:r>
          </w:p>
        </w:tc>
        <w:tc>
          <w:tcPr>
            <w:tcMar>
              <w:top w:w="90.0" w:type="dxa"/>
              <w:bottom w:w="90.0" w:type="dxa"/>
            </w:tcMar>
          </w:tcPr>
          <w:p w:rsidR="00000000" w:rsidDel="00000000" w:rsidP="00000000" w:rsidRDefault="00000000" w:rsidRPr="00000000" w14:paraId="00000080">
            <w:pPr>
              <w:rPr/>
            </w:pPr>
            <w:r w:rsidDel="00000000" w:rsidR="00000000" w:rsidRPr="00000000">
              <w:rPr>
                <w:rFonts w:ascii="Aptos" w:cs="Aptos" w:eastAsia="Aptos" w:hAnsi="Aptos"/>
                <w:b w:val="0"/>
                <w:bCs w:val="0"/>
                <w:i w:val="0"/>
                <w:iCs w:val="0"/>
                <w:color w:val="202a33"/>
                <w:sz w:val="19"/>
                <w:szCs w:val="19"/>
                <w:rtl w:val="0"/>
              </w:rPr>
              <w:t xml:space="preserve">Cross-domain operators require invariance and boundary testing.</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1">
            <w:pPr>
              <w:rPr/>
            </w:pPr>
            <w:r w:rsidDel="00000000" w:rsidR="00000000" w:rsidRPr="00000000">
              <w:rPr>
                <w:rFonts w:ascii="Aptos" w:cs="Aptos" w:eastAsia="Aptos" w:hAnsi="Aptos"/>
                <w:b w:val="1"/>
                <w:bCs w:val="1"/>
                <w:i w:val="0"/>
                <w:iCs w:val="0"/>
                <w:color w:val="17324d"/>
                <w:sz w:val="19"/>
                <w:szCs w:val="19"/>
                <w:rtl w:val="0"/>
              </w:rPr>
              <w:t xml:space="preserve">Rule 7</w:t>
            </w:r>
            <w:r w:rsidDel="00000000" w:rsidR="00000000" w:rsidRPr="00000000">
              <w:rPr>
                <w:rtl w:val="0"/>
              </w:rPr>
            </w:r>
          </w:p>
        </w:tc>
        <w:tc>
          <w:tcPr>
            <w:tcMar>
              <w:top w:w="90.0" w:type="dxa"/>
              <w:bottom w:w="90.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202a33"/>
                <w:sz w:val="19"/>
                <w:szCs w:val="19"/>
                <w:rtl w:val="0"/>
              </w:rPr>
              <w:t xml:space="preserve">A synthesis may be canonical without being independently validated as a new discipline.</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3">
            <w:pPr>
              <w:rPr/>
            </w:pPr>
            <w:r w:rsidDel="00000000" w:rsidR="00000000" w:rsidRPr="00000000">
              <w:rPr>
                <w:rFonts w:ascii="Aptos" w:cs="Aptos" w:eastAsia="Aptos" w:hAnsi="Aptos"/>
                <w:b w:val="1"/>
                <w:bCs w:val="1"/>
                <w:i w:val="0"/>
                <w:iCs w:val="0"/>
                <w:color w:val="17324d"/>
                <w:sz w:val="19"/>
                <w:szCs w:val="19"/>
                <w:rtl w:val="0"/>
              </w:rPr>
              <w:t xml:space="preserve">Rule 8</w:t>
            </w:r>
            <w:r w:rsidDel="00000000" w:rsidR="00000000" w:rsidRPr="00000000">
              <w:rPr>
                <w:rtl w:val="0"/>
              </w:rPr>
            </w:r>
          </w:p>
        </w:tc>
        <w:tc>
          <w:tcPr>
            <w:tcMar>
              <w:top w:w="90.0" w:type="dxa"/>
              <w:bottom w:w="90.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202a33"/>
                <w:sz w:val="19"/>
                <w:szCs w:val="19"/>
                <w:rtl w:val="0"/>
              </w:rPr>
              <w:t xml:space="preserve">Negative findings remain canonical evidence. A field or operator that fails the gauntlet is merged, narrowed, demoted, or rejected rather than protected by definition.</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17324d"/>
                <w:sz w:val="19"/>
                <w:szCs w:val="19"/>
                <w:rtl w:val="0"/>
              </w:rPr>
              <w:t xml:space="preserve">Rule 9</w:t>
            </w:r>
            <w:r w:rsidDel="00000000" w:rsidR="00000000" w:rsidRPr="00000000">
              <w:rPr>
                <w:rtl w:val="0"/>
              </w:rPr>
            </w:r>
          </w:p>
        </w:tc>
        <w:tc>
          <w:tcPr>
            <w:tcMar>
              <w:top w:w="90.0" w:type="dxa"/>
              <w:bottom w:w="90.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202a33"/>
                <w:sz w:val="19"/>
                <w:szCs w:val="19"/>
                <w:rtl w:val="0"/>
              </w:rPr>
              <w:t xml:space="preserve">Field status and claim-level evidence status are recorded separately. A field does not become a subfield merely because some of its propositions remain provisional.</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7">
            <w:pPr>
              <w:rPr/>
            </w:pPr>
            <w:r w:rsidDel="00000000" w:rsidR="00000000" w:rsidRPr="00000000">
              <w:rPr>
                <w:rFonts w:ascii="Aptos" w:cs="Aptos" w:eastAsia="Aptos" w:hAnsi="Aptos"/>
                <w:b w:val="1"/>
                <w:bCs w:val="1"/>
                <w:i w:val="0"/>
                <w:iCs w:val="0"/>
                <w:color w:val="17324d"/>
                <w:sz w:val="19"/>
                <w:szCs w:val="19"/>
                <w:rtl w:val="0"/>
              </w:rPr>
              <w:t xml:space="preserve">Rule 10</w:t>
            </w:r>
            <w:r w:rsidDel="00000000" w:rsidR="00000000" w:rsidRPr="00000000">
              <w:rPr>
                <w:rtl w:val="0"/>
              </w:rPr>
            </w:r>
          </w:p>
        </w:tc>
        <w:tc>
          <w:tcPr>
            <w:tcMar>
              <w:top w:w="90.0" w:type="dxa"/>
              <w:bottom w:w="90.0" w:type="dxa"/>
            </w:tcMar>
          </w:tcPr>
          <w:p w:rsidR="00000000" w:rsidDel="00000000" w:rsidP="00000000" w:rsidRDefault="00000000" w:rsidRPr="00000000" w14:paraId="00000088">
            <w:pPr>
              <w:rPr/>
            </w:pPr>
            <w:r w:rsidDel="00000000" w:rsidR="00000000" w:rsidRPr="00000000">
              <w:rPr>
                <w:rFonts w:ascii="Aptos" w:cs="Aptos" w:eastAsia="Aptos" w:hAnsi="Aptos"/>
                <w:b w:val="0"/>
                <w:bCs w:val="0"/>
                <w:i w:val="0"/>
                <w:iCs w:val="0"/>
                <w:color w:val="202a33"/>
                <w:sz w:val="19"/>
                <w:szCs w:val="19"/>
                <w:rtl w:val="0"/>
              </w:rPr>
              <w:t xml:space="preserve">Institutional recognition is not empirical validation, and institutional non-recognition is not scientific disconfirmation.</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9">
            <w:pPr>
              <w:rPr/>
            </w:pPr>
            <w:r w:rsidDel="00000000" w:rsidR="00000000" w:rsidRPr="00000000">
              <w:rPr>
                <w:rFonts w:ascii="Aptos" w:cs="Aptos" w:eastAsia="Aptos" w:hAnsi="Aptos"/>
                <w:b w:val="1"/>
                <w:bCs w:val="1"/>
                <w:i w:val="0"/>
                <w:iCs w:val="0"/>
                <w:color w:val="17324d"/>
                <w:sz w:val="19"/>
                <w:szCs w:val="19"/>
                <w:rtl w:val="0"/>
              </w:rPr>
              <w:t xml:space="preserve">Rule 11</w:t>
            </w:r>
            <w:r w:rsidDel="00000000" w:rsidR="00000000" w:rsidRPr="00000000">
              <w:rPr>
                <w:rtl w:val="0"/>
              </w:rPr>
            </w:r>
          </w:p>
        </w:tc>
        <w:tc>
          <w:tcPr>
            <w:tcMar>
              <w:top w:w="90.0" w:type="dxa"/>
              <w:bottom w:w="90.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202a33"/>
                <w:sz w:val="19"/>
                <w:szCs w:val="19"/>
                <w:rtl w:val="0"/>
              </w:rPr>
              <w:t xml:space="preserve">Institutions that classify, teach, fund, exclude, or reject SR must state the criteria and comparator fields used in that judgment.</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8B">
            <w:pPr>
              <w:rPr/>
            </w:pPr>
            <w:r w:rsidDel="00000000" w:rsidR="00000000" w:rsidRPr="00000000">
              <w:rPr>
                <w:rFonts w:ascii="Aptos" w:cs="Aptos" w:eastAsia="Aptos" w:hAnsi="Aptos"/>
                <w:b w:val="1"/>
                <w:bCs w:val="1"/>
                <w:i w:val="0"/>
                <w:iCs w:val="0"/>
                <w:color w:val="17324d"/>
                <w:sz w:val="19"/>
                <w:szCs w:val="19"/>
                <w:rtl w:val="0"/>
              </w:rPr>
              <w:t xml:space="preserve">Rule 12</w:t>
            </w:r>
            <w:r w:rsidDel="00000000" w:rsidR="00000000" w:rsidRPr="00000000">
              <w:rPr>
                <w:rtl w:val="0"/>
              </w:rPr>
            </w:r>
          </w:p>
        </w:tc>
        <w:tc>
          <w:tcPr>
            <w:tcMar>
              <w:top w:w="90.0" w:type="dxa"/>
              <w:bottom w:w="90.0" w:type="dxa"/>
            </w:tcMar>
          </w:tcPr>
          <w:p w:rsidR="00000000" w:rsidDel="00000000" w:rsidP="00000000" w:rsidRDefault="00000000" w:rsidRPr="00000000" w14:paraId="0000008C">
            <w:pPr>
              <w:rPr/>
            </w:pPr>
            <w:r w:rsidDel="00000000" w:rsidR="00000000" w:rsidRPr="00000000">
              <w:rPr>
                <w:rFonts w:ascii="Aptos" w:cs="Aptos" w:eastAsia="Aptos" w:hAnsi="Aptos"/>
                <w:b w:val="0"/>
                <w:bCs w:val="0"/>
                <w:i w:val="0"/>
                <w:iCs w:val="0"/>
                <w:color w:val="202a33"/>
                <w:sz w:val="19"/>
                <w:szCs w:val="19"/>
                <w:rtl w:val="0"/>
              </w:rPr>
              <w:t xml:space="preserve">The same standards applied to SR must be applied consistently to established fields, including disclosure of replication limits, construct disputes, model uncertainty, and interpretive boundaries.</w:t>
            </w:r>
            <w:r w:rsidDel="00000000" w:rsidR="00000000" w:rsidRPr="00000000">
              <w:rPr>
                <w:rtl w:val="0"/>
              </w:rPr>
            </w:r>
          </w:p>
        </w:tc>
      </w:tr>
    </w:tbl>
    <w:p w:rsidR="00000000" w:rsidDel="00000000" w:rsidP="00000000" w:rsidRDefault="00000000" w:rsidRPr="00000000" w14:paraId="0000008D">
      <w:pPr>
        <w:pStyle w:val="Heading1"/>
        <w:rPr/>
      </w:pPr>
      <w:r w:rsidDel="00000000" w:rsidR="00000000" w:rsidRPr="00000000">
        <w:rPr>
          <w:rtl w:val="0"/>
        </w:rPr>
        <w:t xml:space="preserve">9. What Is Now Merged and What Remains Distinct</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08E">
            <w:pPr>
              <w:rPr/>
            </w:pPr>
            <w:r w:rsidDel="00000000" w:rsidR="00000000" w:rsidRPr="00000000">
              <w:rPr>
                <w:rFonts w:ascii="Aptos" w:cs="Aptos" w:eastAsia="Aptos" w:hAnsi="Aptos"/>
                <w:b w:val="1"/>
                <w:bCs w:val="1"/>
                <w:i w:val="0"/>
                <w:iCs w:val="0"/>
                <w:color w:val="17324d"/>
                <w:sz w:val="19"/>
                <w:szCs w:val="19"/>
                <w:rtl w:val="0"/>
              </w:rPr>
              <w:t xml:space="preserve">Merged lineages</w:t>
            </w:r>
            <w:r w:rsidDel="00000000" w:rsidR="00000000" w:rsidRPr="00000000">
              <w:rPr>
                <w:rtl w:val="0"/>
              </w:rPr>
            </w:r>
          </w:p>
        </w:tc>
        <w:tc>
          <w:tcPr>
            <w:tcMar>
              <w:top w:w="90.0" w:type="dxa"/>
              <w:bottom w:w="90.0" w:type="dxa"/>
            </w:tcMar>
          </w:tcPr>
          <w:p w:rsidR="00000000" w:rsidDel="00000000" w:rsidP="00000000" w:rsidRDefault="00000000" w:rsidRPr="00000000" w14:paraId="0000008F">
            <w:pPr>
              <w:rPr/>
            </w:pPr>
            <w:r w:rsidDel="00000000" w:rsidR="00000000" w:rsidRPr="00000000">
              <w:rPr>
                <w:rFonts w:ascii="Aptos" w:cs="Aptos" w:eastAsia="Aptos" w:hAnsi="Aptos"/>
                <w:b w:val="0"/>
                <w:bCs w:val="0"/>
                <w:i w:val="0"/>
                <w:iCs w:val="0"/>
                <w:color w:val="202a33"/>
                <w:sz w:val="19"/>
                <w:szCs w:val="19"/>
                <w:rtl w:val="0"/>
              </w:rPr>
              <w:t xml:space="preserve">The historical SR-AI Field into SR-CEIDF; the Institutional Distortion Field into Institutional Cognition and SR-IGF; the Education Field into Childhood Cognitive Infrastructure Studies; the Health Field into Infrastructural Medicine; climate and scarcity field applications into Infrastructural Overshoot and Planetary SR.</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i w:val="0"/>
                <w:iCs w:val="0"/>
                <w:color w:val="17324d"/>
                <w:sz w:val="19"/>
                <w:szCs w:val="19"/>
                <w:rtl w:val="0"/>
              </w:rPr>
              <w:t xml:space="preserve">Retained as twenty-three full fields</w:t>
            </w:r>
            <w:r w:rsidDel="00000000" w:rsidR="00000000" w:rsidRPr="00000000">
              <w:rPr>
                <w:rtl w:val="0"/>
              </w:rPr>
            </w:r>
          </w:p>
        </w:tc>
        <w:tc>
          <w:tcPr>
            <w:tcMar>
              <w:top w:w="90.0" w:type="dxa"/>
              <w:bottom w:w="90.0" w:type="dxa"/>
            </w:tcMar>
          </w:tcPr>
          <w:p w:rsidR="00000000" w:rsidDel="00000000" w:rsidP="00000000" w:rsidRDefault="00000000" w:rsidRPr="00000000" w14:paraId="00000091">
            <w:pPr>
              <w:rPr/>
            </w:pPr>
            <w:r w:rsidDel="00000000" w:rsidR="00000000" w:rsidRPr="00000000">
              <w:rPr>
                <w:rFonts w:ascii="Aptos" w:cs="Aptos" w:eastAsia="Aptos" w:hAnsi="Aptos"/>
                <w:b w:val="0"/>
                <w:bCs w:val="0"/>
                <w:i w:val="0"/>
                <w:iCs w:val="0"/>
                <w:color w:val="202a33"/>
                <w:sz w:val="19"/>
                <w:szCs w:val="19"/>
                <w:rtl w:val="0"/>
              </w:rPr>
              <w:t xml:space="preserve">Institutional Cognition; SR-IGF; Collapse Governance; Drift Collapse Field; Systems Propagation Science; SR-CEIDF; SR Algorithm Field; Infrastructural Political Economy; Infrastructural Overshoot; System Inheritance Studies; Collapse Epistemology; SR Research Incentive Field; Collapse Psychology; Collapse Sociology; SR Anthropology; Collapse Demography; Childhood Cognitive Infrastructure Studies; Infrastructural Medicine; Collapse Criminology; Post-Web Jurisprudence; Collapse Religion; Collapse Economics; Collapse Society.</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92">
            <w:pPr>
              <w:rPr/>
            </w:pPr>
            <w:r w:rsidDel="00000000" w:rsidR="00000000" w:rsidRPr="00000000">
              <w:rPr>
                <w:rFonts w:ascii="Aptos" w:cs="Aptos" w:eastAsia="Aptos" w:hAnsi="Aptos"/>
                <w:b w:val="1"/>
                <w:bCs w:val="1"/>
                <w:i w:val="0"/>
                <w:iCs w:val="0"/>
                <w:color w:val="17324d"/>
                <w:sz w:val="19"/>
                <w:szCs w:val="19"/>
                <w:rtl w:val="0"/>
              </w:rPr>
              <w:t xml:space="preserve">Retained as three specialized subfields</w:t>
            </w:r>
            <w:r w:rsidDel="00000000" w:rsidR="00000000" w:rsidRPr="00000000">
              <w:rPr>
                <w:rtl w:val="0"/>
              </w:rPr>
            </w:r>
          </w:p>
        </w:tc>
        <w:tc>
          <w:tcPr>
            <w:tcMar>
              <w:top w:w="90.0" w:type="dxa"/>
              <w:bottom w:w="90.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i w:val="0"/>
                <w:iCs w:val="0"/>
                <w:color w:val="202a33"/>
                <w:sz w:val="19"/>
                <w:szCs w:val="19"/>
                <w:rtl w:val="0"/>
              </w:rPr>
              <w:t xml:space="preserve">SR Matrix Field; SR Policy Substrate Field; Structural Restoration Dynamics.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94">
            <w:pPr>
              <w:rPr/>
            </w:pPr>
            <w:r w:rsidDel="00000000" w:rsidR="00000000" w:rsidRPr="00000000">
              <w:rPr>
                <w:rFonts w:ascii="Aptos" w:cs="Aptos" w:eastAsia="Aptos" w:hAnsi="Aptos"/>
                <w:b w:val="1"/>
                <w:bCs w:val="1"/>
                <w:i w:val="0"/>
                <w:iCs w:val="0"/>
                <w:color w:val="17324d"/>
                <w:sz w:val="19"/>
                <w:szCs w:val="19"/>
                <w:rtl w:val="0"/>
              </w:rPr>
              <w:t xml:space="preserve">Retained as models or layers</w:t>
            </w:r>
            <w:r w:rsidDel="00000000" w:rsidR="00000000" w:rsidRPr="00000000">
              <w:rPr>
                <w:rtl w:val="0"/>
              </w:rPr>
            </w:r>
          </w:p>
        </w:tc>
        <w:tc>
          <w:tcPr>
            <w:tcMar>
              <w:top w:w="90.0" w:type="dxa"/>
              <w:bottom w:w="90.0" w:type="dxa"/>
            </w:tcMar>
          </w:tcPr>
          <w:p w:rsidR="00000000" w:rsidDel="00000000" w:rsidP="00000000" w:rsidRDefault="00000000" w:rsidRPr="00000000" w14:paraId="00000095">
            <w:pPr>
              <w:rPr/>
            </w:pPr>
            <w:r w:rsidDel="00000000" w:rsidR="00000000" w:rsidRPr="00000000">
              <w:rPr>
                <w:rFonts w:ascii="Aptos" w:cs="Aptos" w:eastAsia="Aptos" w:hAnsi="Aptos"/>
                <w:b w:val="0"/>
                <w:bCs w:val="0"/>
                <w:i w:val="0"/>
                <w:iCs w:val="0"/>
                <w:color w:val="202a33"/>
                <w:sz w:val="19"/>
                <w:szCs w:val="19"/>
                <w:rtl w:val="0"/>
              </w:rPr>
              <w:t xml:space="preserve">GAUID/GAI, SR-CAF, SR-CST, calibrated collapse boundaries, diagnostic surfaces, governance stack, SR-OPS, and related operational systems.</w:t>
            </w:r>
            <w:r w:rsidDel="00000000" w:rsidR="00000000" w:rsidRPr="00000000">
              <w:rPr>
                <w:rtl w:val="0"/>
              </w:rPr>
            </w:r>
          </w:p>
        </w:tc>
      </w:tr>
    </w:tbl>
    <w:p w:rsidR="00000000" w:rsidDel="00000000" w:rsidP="00000000" w:rsidRDefault="00000000" w:rsidRPr="00000000" w14:paraId="00000096">
      <w:pPr>
        <w:pStyle w:val="Heading1"/>
        <w:rPr/>
      </w:pPr>
      <w:r w:rsidDel="00000000" w:rsidR="00000000" w:rsidRPr="00000000">
        <w:rPr>
          <w:rtl w:val="0"/>
        </w:rPr>
        <w:t xml:space="preserve">10. The Integrated SR Research Cycle</w:t>
      </w:r>
    </w:p>
    <w:p w:rsidR="00000000" w:rsidDel="00000000" w:rsidP="00000000" w:rsidRDefault="00000000" w:rsidRPr="00000000" w14:paraId="00000097">
      <w:pPr>
        <w:widowControl w:val="1"/>
        <w:rPr/>
      </w:pPr>
      <w:r w:rsidDel="00000000" w:rsidR="00000000" w:rsidRPr="00000000">
        <w:rPr>
          <w:rtl w:val="0"/>
        </w:rPr>
        <w:t xml:space="preserve">The merged architecture operates through one research cycle: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Identify a structural state or exposure.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Specify the domain mechanism and competing explanations.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Measure the source state with field-specific variables.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Test whether a cross-field operator is present.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Identify the transmission pathway and lag.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Measure the receiver-side state change.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Control for shared shocks, confounding, selection, and reverse directionality.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Estimate amplification, buffering, thresholds, and nonlinearities where justified.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Attempt falsification against simpler disciplinary baselines.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Replicate across cases, jurisdictions, sectors, or populations.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Only then elevate the result from plausible SR mechanism to supported cross-field relation.</w:t>
      </w:r>
      <w:r w:rsidDel="00000000" w:rsidR="00000000" w:rsidRPr="00000000">
        <w:rPr>
          <w:rtl w:val="0"/>
        </w:rPr>
      </w:r>
    </w:p>
    <w:p w:rsidR="00000000" w:rsidDel="00000000" w:rsidP="00000000" w:rsidRDefault="00000000" w:rsidRPr="00000000" w14:paraId="000000A3">
      <w:pPr>
        <w:widowControl w:val="1"/>
        <w:rPr/>
      </w:pPr>
      <w:r w:rsidDel="00000000" w:rsidR="00000000" w:rsidRPr="00000000">
        <w:rPr>
          <w:rtl w:val="0"/>
        </w:rPr>
        <w:t xml:space="preserve">This cycle is the methodological bridge between the separate manuscripts and the SignalRupture multiverse.</w:t>
      </w:r>
    </w:p>
    <w:p w:rsidR="00000000" w:rsidDel="00000000" w:rsidP="00000000" w:rsidRDefault="00000000" w:rsidRPr="00000000" w14:paraId="000000A4">
      <w:pPr>
        <w:pStyle w:val="Heading1"/>
        <w:rPr/>
      </w:pPr>
      <w:r w:rsidDel="00000000" w:rsidR="00000000" w:rsidRPr="00000000">
        <w:rPr>
          <w:rtl w:val="0"/>
        </w:rPr>
        <w:t xml:space="preserve">11. Canonical Status of the SignalRupture Multiverse</w:t>
      </w:r>
    </w:p>
    <w:p w:rsidR="00000000" w:rsidDel="00000000" w:rsidP="00000000" w:rsidRDefault="00000000" w:rsidRPr="00000000" w14:paraId="000000A5">
      <w:pPr>
        <w:widowControl w:val="1"/>
        <w:rPr/>
      </w:pPr>
      <w:r w:rsidDel="00000000" w:rsidR="00000000" w:rsidRPr="00000000">
        <w:rPr>
          <w:rtl w:val="0"/>
        </w:rPr>
        <w:t xml:space="preserve">The integrated architecture supports describing SignalRupture as a metatheoretical, multidisciplinary, and diagnostic research architecture composed of twenty-three full fields, three specialized subfields, cross-field operators, formal models, and operational layers. Those fields occupy different claim-level evidence states. That is normal scientific structure, not a reason to erase their field identity.</w:t>
      </w:r>
    </w:p>
    <w:p w:rsidR="00000000" w:rsidDel="00000000" w:rsidP="00000000" w:rsidRDefault="00000000" w:rsidRPr="00000000" w14:paraId="000000A6">
      <w:pPr>
        <w:widowControl w:val="1"/>
        <w:rPr/>
      </w:pPr>
      <w:r w:rsidDel="00000000" w:rsidR="00000000" w:rsidRPr="00000000">
        <w:rPr>
          <w:rtl w:val="0"/>
        </w:rPr>
        <w:t xml:space="preserve">The strongest present claim is reciprocal: SR must test, falsify, replicate, revise, merge, or reject its claims according to evidence; institutions must justify how they classify, compare, recognize, teach, fund, or reject SR. The next scientific burden is integration testing. The next institutional burden is transparent and symmetrical evaluation.</w:t>
      </w:r>
    </w:p>
    <w:p w:rsidR="00000000" w:rsidDel="00000000" w:rsidP="00000000" w:rsidRDefault="00000000" w:rsidRPr="00000000" w14:paraId="000000A7">
      <w:pPr>
        <w:pStyle w:val="Heading1"/>
        <w:rPr/>
      </w:pPr>
      <w:r w:rsidDel="00000000" w:rsidR="00000000" w:rsidRPr="00000000">
        <w:rPr>
          <w:rtl w:val="0"/>
        </w:rPr>
        <w:t xml:space="preserve">12. Next Canonical Documents</w:t>
      </w:r>
    </w:p>
    <w:p w:rsidR="00000000" w:rsidDel="00000000" w:rsidP="00000000" w:rsidRDefault="00000000" w:rsidRPr="00000000" w14:paraId="000000A8">
      <w:pPr>
        <w:widowControl w:val="1"/>
        <w:rPr/>
      </w:pPr>
      <w:r w:rsidDel="00000000" w:rsidR="00000000" w:rsidRPr="00000000">
        <w:rPr>
          <w:rtl w:val="0"/>
        </w:rPr>
        <w:t xml:space="preserve">This document establishes the hierarchy. The next three canonical integration works should be produced in sequence:</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0A9">
            <w:pPr>
              <w:rPr/>
            </w:pPr>
            <w:r w:rsidDel="00000000" w:rsidR="00000000" w:rsidRPr="00000000">
              <w:rPr>
                <w:rFonts w:ascii="Aptos" w:cs="Aptos" w:eastAsia="Aptos" w:hAnsi="Aptos"/>
                <w:b w:val="1"/>
                <w:bCs w:val="1"/>
                <w:i w:val="0"/>
                <w:iCs w:val="0"/>
                <w:color w:val="17324d"/>
                <w:sz w:val="19"/>
                <w:szCs w:val="19"/>
                <w:rtl w:val="0"/>
              </w:rPr>
              <w:t xml:space="preserve">A. The SR Cross-Field Integration Framework</w:t>
            </w:r>
            <w:r w:rsidDel="00000000" w:rsidR="00000000" w:rsidRPr="00000000">
              <w:rPr>
                <w:rtl w:val="0"/>
              </w:rPr>
            </w:r>
          </w:p>
        </w:tc>
        <w:tc>
          <w:tcPr>
            <w:tcMar>
              <w:top w:w="90.0" w:type="dxa"/>
              <w:bottom w:w="90.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202a33"/>
                <w:sz w:val="19"/>
                <w:szCs w:val="19"/>
                <w:rtl w:val="0"/>
              </w:rPr>
              <w:t xml:space="preserve">formalizes field-to-field transmission, coupling, thresholds, shared operators, causal-separation rules, and testable propagation chains.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AB">
            <w:pPr>
              <w:rPr/>
            </w:pPr>
            <w:r w:rsidDel="00000000" w:rsidR="00000000" w:rsidRPr="00000000">
              <w:rPr>
                <w:rFonts w:ascii="Aptos" w:cs="Aptos" w:eastAsia="Aptos" w:hAnsi="Aptos"/>
                <w:b w:val="1"/>
                <w:bCs w:val="1"/>
                <w:i w:val="0"/>
                <w:iCs w:val="0"/>
                <w:color w:val="17324d"/>
                <w:sz w:val="19"/>
                <w:szCs w:val="19"/>
                <w:rtl w:val="0"/>
              </w:rPr>
              <w:t xml:space="preserve">B. The SignalRupture Multiverse</w:t>
            </w:r>
            <w:r w:rsidDel="00000000" w:rsidR="00000000" w:rsidRPr="00000000">
              <w:rPr>
                <w:rtl w:val="0"/>
              </w:rPr>
            </w:r>
          </w:p>
        </w:tc>
        <w:tc>
          <w:tcPr>
            <w:tcMar>
              <w:top w:w="90.0" w:type="dxa"/>
              <w:bottom w:w="90.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202a33"/>
                <w:sz w:val="19"/>
                <w:szCs w:val="19"/>
                <w:rtl w:val="0"/>
              </w:rPr>
              <w:t xml:space="preserve">presents the metatheoretical synthesis and explains how the five pillars and domain programs form one coherent research architecture without claiming empirical validation beyond the evidence.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AD">
            <w:pPr>
              <w:rPr/>
            </w:pPr>
            <w:r w:rsidDel="00000000" w:rsidR="00000000" w:rsidRPr="00000000">
              <w:rPr>
                <w:rFonts w:ascii="Aptos" w:cs="Aptos" w:eastAsia="Aptos" w:hAnsi="Aptos"/>
                <w:b w:val="1"/>
                <w:bCs w:val="1"/>
                <w:i w:val="0"/>
                <w:iCs w:val="0"/>
                <w:color w:val="17324d"/>
                <w:sz w:val="19"/>
                <w:szCs w:val="19"/>
                <w:rtl w:val="0"/>
              </w:rPr>
              <w:t xml:space="preserve">C. The Unified Empirical Test of SignalRupture</w:t>
            </w:r>
            <w:r w:rsidDel="00000000" w:rsidR="00000000" w:rsidRPr="00000000">
              <w:rPr>
                <w:rtl w:val="0"/>
              </w:rPr>
            </w:r>
          </w:p>
        </w:tc>
        <w:tc>
          <w:tcPr>
            <w:tcMar>
              <w:top w:w="90.0" w:type="dxa"/>
              <w:bottom w:w="90.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i w:val="0"/>
                <w:iCs w:val="0"/>
                <w:color w:val="202a33"/>
                <w:sz w:val="19"/>
                <w:szCs w:val="19"/>
                <w:rtl w:val="0"/>
              </w:rPr>
              <w:t xml:space="preserve">selects multi-domain cases and tests whether the integrated architecture provides measurable explanatory or predictive value beyond isolated disciplinary baselines.</w:t>
            </w:r>
            <w:r w:rsidDel="00000000" w:rsidR="00000000" w:rsidRPr="00000000">
              <w:rPr>
                <w:rtl w:val="0"/>
              </w:rPr>
            </w:r>
          </w:p>
        </w:tc>
      </w:tr>
    </w:tbl>
    <w:p w:rsidR="00000000" w:rsidDel="00000000" w:rsidP="00000000" w:rsidRDefault="00000000" w:rsidRPr="00000000" w14:paraId="000000AF">
      <w:pPr>
        <w:widowControl w:val="1"/>
        <w:rPr/>
      </w:pPr>
      <w:r w:rsidDel="00000000" w:rsidR="00000000" w:rsidRPr="00000000">
        <w:rPr>
          <w:rtl w:val="0"/>
        </w:rPr>
        <w:t xml:space="preserve">The merger is therefore not the end of the fields. It is the point at which they begin to operate as one testable system.</w:t>
      </w:r>
    </w:p>
    <w:sectPr>
      <w:headerReference r:id="rId7" w:type="default"/>
      <w:footerReference r:id="rId8" w:type="default"/>
      <w:pgSz w:h="15840" w:w="12240" w:orient="portrait"/>
      <w:pgMar w:bottom="1411" w:top="1181" w:left="1267" w:right="1267" w:header="504"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202a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color="b7c3cc" w:space="5"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SIGNALRUPTURE | CANON AND FIELD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a33"/>
        <w:sz w:val="22"/>
        <w:szCs w:val="22"/>
        <w:lang w:val="en"/>
      </w:rPr>
    </w:rPrDefault>
    <w:pPrDefault>
      <w:pPr>
        <w:spacing w:after="12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2e5d7b"/>
      <w:sz w:val="27"/>
      <w:szCs w:val="27"/>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17324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Equation" w:customStyle="1">
    <w:name w:val="Equation"/>
    <w:pPr>
      <w:keepLines w:val="1"/>
      <w:spacing w:after="140" w:before="100"/>
    </w:pPr>
    <w:rPr>
      <w:rFonts w:ascii="Cambria Math" w:hAnsi="Cambria Math"/>
      <w:color w:val="17324d"/>
      <w:sz w:val="22"/>
    </w:rPr>
  </w:style>
  <w:style w:type="paragraph" w:styleId="Flow" w:customStyle="1">
    <w:name w:val="Flow"/>
    <w:pPr>
      <w:keepLines w:val="1"/>
      <w:spacing w:after="160" w:before="80"/>
    </w:pPr>
    <w:rPr>
      <w:rFonts w:ascii="Aptos Display" w:hAnsi="Aptos Display"/>
      <w:b w:val="1"/>
      <w:color w:val="17324d"/>
      <w:sz w:val="21"/>
    </w:rPr>
  </w:style>
  <w:style w:type="paragraph" w:styleId="FieldLabel" w:customStyle="1">
    <w:name w:val="FieldLabel"/>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ad+cSkAI89aWg6pYLceEEpiVQ==">CgMxLjA4AHIhMXNsWWExX3JXTVpmcElyS24wQ3VzT0ZLZGh5WHQ2NDV0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