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jc w:val="center"/>
        <w:rPr/>
      </w:pPr>
      <w:r w:rsidDel="00000000" w:rsidR="00000000" w:rsidRPr="00000000">
        <w:rPr>
          <w:rFonts w:ascii="Aptos" w:cs="Aptos" w:eastAsia="Aptos" w:hAnsi="Aptos"/>
          <w:b w:val="1"/>
          <w:bCs w:val="1"/>
          <w:i w:val="0"/>
          <w:iCs w:val="0"/>
          <w:color w:val="a77b24"/>
          <w:sz w:val="18"/>
          <w:szCs w:val="18"/>
          <w:rtl w:val="0"/>
        </w:rPr>
        <w:t xml:space="preserve">SIGNALRUPTURE | CANONICAL ARCHITECTURE</w:t>
      </w:r>
      <w:r w:rsidDel="00000000" w:rsidR="00000000" w:rsidRPr="00000000">
        <w:rPr>
          <w:rtl w:val="0"/>
        </w:rPr>
      </w:r>
    </w:p>
    <w:p w:rsidR="00000000" w:rsidDel="00000000" w:rsidP="00000000" w:rsidRDefault="00000000" w:rsidRPr="00000000" w14:paraId="00000002">
      <w:pPr>
        <w:pBdr>
          <w:bottom w:color="a77b24" w:space="5" w:sz="12" w:val="single"/>
        </w:pBdr>
        <w:spacing w:after="200" w:before="640" w:lineRule="auto"/>
        <w:jc w:val="center"/>
        <w:rPr/>
      </w:pPr>
      <w:r w:rsidDel="00000000" w:rsidR="00000000" w:rsidRPr="00000000">
        <w:rPr>
          <w:rFonts w:ascii="Play" w:cs="Play" w:eastAsia="Play" w:hAnsi="Play"/>
          <w:b w:val="1"/>
          <w:bCs w:val="1"/>
          <w:i w:val="0"/>
          <w:iCs w:val="0"/>
          <w:color w:val="17324d"/>
          <w:sz w:val="58"/>
          <w:szCs w:val="58"/>
          <w:rtl w:val="0"/>
        </w:rPr>
        <w:t xml:space="preserve">THE SR CROSS-FIELD</w:t>
        <w:br w:type="textWrapping"/>
        <w:t xml:space="preserve">INTEGRATION FRAMEWORK</w:t>
      </w:r>
      <w:r w:rsidDel="00000000" w:rsidR="00000000" w:rsidRPr="00000000">
        <w:rPr>
          <w:rtl w:val="0"/>
        </w:rPr>
      </w:r>
    </w:p>
    <w:p w:rsidR="00000000" w:rsidDel="00000000" w:rsidP="00000000" w:rsidRDefault="00000000" w:rsidRPr="00000000" w14:paraId="00000003">
      <w:pPr>
        <w:spacing w:before="280" w:lineRule="auto"/>
        <w:jc w:val="center"/>
        <w:rPr/>
      </w:pPr>
      <w:r w:rsidDel="00000000" w:rsidR="00000000" w:rsidRPr="00000000">
        <w:rPr>
          <w:rFonts w:ascii="Aptos" w:cs="Aptos" w:eastAsia="Aptos" w:hAnsi="Aptos"/>
          <w:b w:val="0"/>
          <w:bCs w:val="0"/>
          <w:i w:val="0"/>
          <w:iCs w:val="0"/>
          <w:color w:val="2e5d7b"/>
          <w:sz w:val="28"/>
          <w:szCs w:val="28"/>
          <w:rtl w:val="0"/>
        </w:rPr>
        <w:t xml:space="preserve">Formal Architecture for Coupling, Propagation, Feedback,</w:t>
        <w:br w:type="textWrapping"/>
        <w:t xml:space="preserve">Causal Separation, and Empirical Testing Across the SignalRupture Canon</w:t>
      </w:r>
      <w:r w:rsidDel="00000000" w:rsidR="00000000" w:rsidRPr="00000000">
        <w:rPr>
          <w:rtl w:val="0"/>
        </w:rPr>
      </w:r>
    </w:p>
    <w:p w:rsidR="00000000" w:rsidDel="00000000" w:rsidP="00000000" w:rsidRDefault="00000000" w:rsidRPr="00000000" w14:paraId="00000004">
      <w:pPr>
        <w:spacing w:before="960" w:lineRule="auto"/>
        <w:jc w:val="center"/>
        <w:rPr/>
      </w:pPr>
      <w:r w:rsidDel="00000000" w:rsidR="00000000" w:rsidRPr="00000000">
        <w:rPr>
          <w:rFonts w:ascii="Play" w:cs="Play" w:eastAsia="Play" w:hAnsi="Play"/>
          <w:b w:val="1"/>
          <w:bCs w:val="1"/>
          <w:i w:val="0"/>
          <w:iCs w:val="0"/>
          <w:color w:val="a77b24"/>
          <w:sz w:val="36"/>
          <w:szCs w:val="36"/>
          <w:rtl w:val="0"/>
        </w:rPr>
        <w:t xml:space="preserve">SR-CFIF</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ptos" w:cs="Aptos" w:eastAsia="Aptos" w:hAnsi="Aptos"/>
          <w:b w:val="1"/>
          <w:bCs w:val="1"/>
          <w:i w:val="0"/>
          <w:iCs w:val="0"/>
          <w:color w:val="5e6b75"/>
          <w:sz w:val="18"/>
          <w:szCs w:val="18"/>
          <w:rtl w:val="0"/>
        </w:rPr>
        <w:t xml:space="preserve">FOUNDATIONAL SPECIFICATION FRAMEWORK</w:t>
      </w:r>
      <w:r w:rsidDel="00000000" w:rsidR="00000000" w:rsidRPr="00000000">
        <w:rPr>
          <w:rtl w:val="0"/>
        </w:rPr>
      </w:r>
    </w:p>
    <w:p w:rsidR="00000000" w:rsidDel="00000000" w:rsidP="00000000" w:rsidRDefault="00000000" w:rsidRPr="00000000" w14:paraId="00000006">
      <w:pPr>
        <w:spacing w:before="1800" w:lineRule="auto"/>
        <w:jc w:val="center"/>
        <w:rPr/>
      </w:pPr>
      <w:r w:rsidDel="00000000" w:rsidR="00000000" w:rsidRPr="00000000">
        <w:rPr>
          <w:rFonts w:ascii="Aptos" w:cs="Aptos" w:eastAsia="Aptos" w:hAnsi="Aptos"/>
          <w:b w:val="1"/>
          <w:bCs w:val="1"/>
          <w:i w:val="0"/>
          <w:iCs w:val="0"/>
          <w:color w:val="17324d"/>
          <w:sz w:val="22"/>
          <w:szCs w:val="22"/>
          <w:rtl w:val="0"/>
        </w:rPr>
        <w:t xml:space="preserve">By SR</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Framework Status</w:t>
      </w:r>
    </w:p>
    <w:tbl>
      <w:tblPr>
        <w:tblStyle w:val="Table1"/>
        <w:tblW w:w="9360.0" w:type="dxa"/>
        <w:jc w:val="left"/>
        <w:tblInd w:w="5.0" w:type="dxa"/>
        <w:tblLayout w:type="fixed"/>
        <w:tblLook w:val="0400"/>
      </w:tblPr>
      <w:tblGrid>
        <w:gridCol w:w="9360"/>
        <w:tblGridChange w:id="0">
          <w:tblGrid>
            <w:gridCol w:w="9360"/>
          </w:tblGrid>
        </w:tblGridChange>
      </w:tblGrid>
      <w:tr>
        <w:trPr>
          <w:cantSplit w:val="1"/>
          <w:tblHeader w:val="0"/>
        </w:trPr>
        <w:tc>
          <w:tcPr>
            <w:shd w:fill="eaf0f4" w:val="clear"/>
            <w:tcMar>
              <w:top w:w="90.0" w:type="dxa"/>
              <w:bottom w:w="90.0" w:type="dxa"/>
            </w:tcMar>
          </w:tcPr>
          <w:p w:rsidR="00000000" w:rsidDel="00000000" w:rsidP="00000000" w:rsidRDefault="00000000" w:rsidRPr="00000000" w14:paraId="0000000A">
            <w:pPr>
              <w:spacing w:after="0" w:lineRule="auto"/>
              <w:rPr/>
            </w:pPr>
            <w:r w:rsidDel="00000000" w:rsidR="00000000" w:rsidRPr="00000000">
              <w:rPr>
                <w:rFonts w:ascii="Aptos" w:cs="Aptos" w:eastAsia="Aptos" w:hAnsi="Aptos"/>
                <w:b w:val="1"/>
                <w:bCs w:val="1"/>
                <w:i w:val="1"/>
                <w:iCs w:val="1"/>
                <w:color w:val="17324d"/>
                <w:sz w:val="26"/>
                <w:szCs w:val="26"/>
                <w:rtl w:val="0"/>
              </w:rPr>
              <w:t xml:space="preserve">“Fields remain distinct at the level of mechanism; claims and judgments become accountable through measurable interfaces.”</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t xml:space="preserve">SR-CFIF specifies cross-field bridges, pressure transfers, substrate transitions, and the institutional judgments that affect recognition, teaching, funding, and exclusion. Every causal arrow, pressure-flow claim, theorem interface, and consequential classification remains accountable to evidence, comparators, uncertainty, and correction.</w:t>
      </w:r>
    </w:p>
    <w:p w:rsidR="00000000" w:rsidDel="00000000" w:rsidP="00000000" w:rsidRDefault="00000000" w:rsidRPr="00000000" w14:paraId="0000000C">
      <w:pPr>
        <w:spacing w:before="240" w:lineRule="auto"/>
        <w:rPr/>
      </w:pPr>
      <w:r w:rsidDel="00000000" w:rsidR="00000000" w:rsidRPr="00000000">
        <w:rPr>
          <w:rFonts w:ascii="Aptos" w:cs="Aptos" w:eastAsia="Aptos" w:hAnsi="Aptos"/>
          <w:b w:val="1"/>
          <w:bCs w:val="1"/>
          <w:i w:val="0"/>
          <w:iCs w:val="0"/>
          <w:color w:val="a77b24"/>
          <w:sz w:val="20"/>
          <w:szCs w:val="20"/>
          <w:rtl w:val="0"/>
        </w:rPr>
        <w:t xml:space="preserve">Scientific posture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Field-preserving • Mechanism-first • Reciprocal accountability • Falsifiable • Replication-oriented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Contents</w:t>
      </w:r>
    </w:p>
    <w:p w:rsidR="00000000" w:rsidDel="00000000" w:rsidP="00000000" w:rsidRDefault="00000000" w:rsidRPr="00000000" w14:paraId="00000011">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1. Purpose and Scientific Status</w:t>
      </w:r>
      <w:r w:rsidDel="00000000" w:rsidR="00000000" w:rsidRPr="00000000">
        <w:rPr>
          <w:rtl w:val="0"/>
        </w:rPr>
      </w:r>
    </w:p>
    <w:p w:rsidR="00000000" w:rsidDel="00000000" w:rsidP="00000000" w:rsidRDefault="00000000" w:rsidRPr="00000000" w14:paraId="00000012">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2. The Unit of Integration: Fields as State-Vector Nodes</w:t>
      </w:r>
      <w:r w:rsidDel="00000000" w:rsidR="00000000" w:rsidRPr="00000000">
        <w:rPr>
          <w:rtl w:val="0"/>
        </w:rPr>
      </w:r>
    </w:p>
    <w:p w:rsidR="00000000" w:rsidDel="00000000" w:rsidP="00000000" w:rsidRDefault="00000000" w:rsidRPr="00000000" w14:paraId="00000013">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3. Three Layers of Dynamics</w:t>
      </w:r>
      <w:r w:rsidDel="00000000" w:rsidR="00000000" w:rsidRPr="00000000">
        <w:rPr>
          <w:rtl w:val="0"/>
        </w:rPr>
      </w:r>
    </w:p>
    <w:p w:rsidR="00000000" w:rsidDel="00000000" w:rsidP="00000000" w:rsidRDefault="00000000" w:rsidRPr="00000000" w14:paraId="00000014">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4. The Canonical Cross-Field Transfer Operator</w:t>
      </w:r>
      <w:r w:rsidDel="00000000" w:rsidR="00000000" w:rsidRPr="00000000">
        <w:rPr>
          <w:rtl w:val="0"/>
        </w:rPr>
      </w:r>
    </w:p>
    <w:p w:rsidR="00000000" w:rsidDel="00000000" w:rsidP="00000000" w:rsidRDefault="00000000" w:rsidRPr="00000000" w14:paraId="00000015">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5. Relation Classes: What a Cross-Field Arrow Can Mean</w:t>
      </w:r>
      <w:r w:rsidDel="00000000" w:rsidR="00000000" w:rsidRPr="00000000">
        <w:rPr>
          <w:rtl w:val="0"/>
        </w:rPr>
      </w:r>
    </w:p>
    <w:p w:rsidR="00000000" w:rsidDel="00000000" w:rsidP="00000000" w:rsidRDefault="00000000" w:rsidRPr="00000000" w14:paraId="00000016">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6. Direction, Lag, Transformation, and Scale</w:t>
      </w:r>
      <w:r w:rsidDel="00000000" w:rsidR="00000000" w:rsidRPr="00000000">
        <w:rPr>
          <w:rtl w:val="0"/>
        </w:rPr>
      </w:r>
    </w:p>
    <w:p w:rsidR="00000000" w:rsidDel="00000000" w:rsidP="00000000" w:rsidRDefault="00000000" w:rsidRPr="00000000" w14:paraId="00000017">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7. The Canonical Interaction Architecture</w:t>
      </w:r>
      <w:r w:rsidDel="00000000" w:rsidR="00000000" w:rsidRPr="00000000">
        <w:rPr>
          <w:rtl w:val="0"/>
        </w:rPr>
      </w:r>
    </w:p>
    <w:p w:rsidR="00000000" w:rsidDel="00000000" w:rsidP="00000000" w:rsidRDefault="00000000" w:rsidRPr="00000000" w14:paraId="00000018">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8. High-Priority Canonical Bridges</w:t>
      </w:r>
      <w:r w:rsidDel="00000000" w:rsidR="00000000" w:rsidRPr="00000000">
        <w:rPr>
          <w:rtl w:val="0"/>
        </w:rPr>
      </w:r>
    </w:p>
    <w:p w:rsidR="00000000" w:rsidDel="00000000" w:rsidP="00000000" w:rsidRDefault="00000000" w:rsidRPr="00000000" w14:paraId="00000019">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9. Amplification, Buffering, and Substitution</w:t>
      </w:r>
      <w:r w:rsidDel="00000000" w:rsidR="00000000" w:rsidRPr="00000000">
        <w:rPr>
          <w:rtl w:val="0"/>
        </w:rPr>
      </w:r>
    </w:p>
    <w:p w:rsidR="00000000" w:rsidDel="00000000" w:rsidP="00000000" w:rsidRDefault="00000000" w:rsidRPr="00000000" w14:paraId="0000001A">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10. Thresholds and Nonlinear Propagation</w:t>
      </w:r>
      <w:r w:rsidDel="00000000" w:rsidR="00000000" w:rsidRPr="00000000">
        <w:rPr>
          <w:rtl w:val="0"/>
        </w:rPr>
      </w:r>
    </w:p>
    <w:p w:rsidR="00000000" w:rsidDel="00000000" w:rsidP="00000000" w:rsidRDefault="00000000" w:rsidRPr="00000000" w14:paraId="0000001B">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11. Recursive Coupling and System Regimes</w:t>
      </w:r>
      <w:r w:rsidDel="00000000" w:rsidR="00000000" w:rsidRPr="00000000">
        <w:rPr>
          <w:rtl w:val="0"/>
        </w:rPr>
      </w:r>
    </w:p>
    <w:p w:rsidR="00000000" w:rsidDel="00000000" w:rsidP="00000000" w:rsidRDefault="00000000" w:rsidRPr="00000000" w14:paraId="0000001C">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12. Integration With the SR Matrix and Measurement Architecture</w:t>
      </w:r>
      <w:r w:rsidDel="00000000" w:rsidR="00000000" w:rsidRPr="00000000">
        <w:rPr>
          <w:rtl w:val="0"/>
        </w:rPr>
      </w:r>
    </w:p>
    <w:p w:rsidR="00000000" w:rsidDel="00000000" w:rsidP="00000000" w:rsidRDefault="00000000" w:rsidRPr="00000000" w14:paraId="0000001D">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13. Causal Separation Protocol for Every Bridge</w:t>
      </w:r>
      <w:r w:rsidDel="00000000" w:rsidR="00000000" w:rsidRPr="00000000">
        <w:rPr>
          <w:rtl w:val="0"/>
        </w:rPr>
      </w:r>
    </w:p>
    <w:p w:rsidR="00000000" w:rsidDel="00000000" w:rsidP="00000000" w:rsidRDefault="00000000" w:rsidRPr="00000000" w14:paraId="0000001E">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13.1 Reciprocal Protocol for Institutional Judgments</w:t>
      </w:r>
      <w:r w:rsidDel="00000000" w:rsidR="00000000" w:rsidRPr="00000000">
        <w:rPr>
          <w:rtl w:val="0"/>
        </w:rPr>
      </w:r>
    </w:p>
    <w:p w:rsidR="00000000" w:rsidDel="00000000" w:rsidP="00000000" w:rsidRDefault="00000000" w:rsidRPr="00000000" w14:paraId="0000001F">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14. Evidence Ladder for Cross-Field Relations</w:t>
      </w:r>
      <w:r w:rsidDel="00000000" w:rsidR="00000000" w:rsidRPr="00000000">
        <w:rPr>
          <w:rtl w:val="0"/>
        </w:rPr>
      </w:r>
    </w:p>
    <w:p w:rsidR="00000000" w:rsidDel="00000000" w:rsidP="00000000" w:rsidRDefault="00000000" w:rsidRPr="00000000" w14:paraId="00000020">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15. Construct Invariance Across Fields</w:t>
      </w:r>
      <w:r w:rsidDel="00000000" w:rsidR="00000000" w:rsidRPr="00000000">
        <w:rPr>
          <w:rtl w:val="0"/>
        </w:rPr>
      </w:r>
    </w:p>
    <w:p w:rsidR="00000000" w:rsidDel="00000000" w:rsidP="00000000" w:rsidRDefault="00000000" w:rsidRPr="00000000" w14:paraId="00000021">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16. The Field Interface Contract</w:t>
      </w:r>
      <w:r w:rsidDel="00000000" w:rsidR="00000000" w:rsidRPr="00000000">
        <w:rPr>
          <w:rtl w:val="0"/>
        </w:rPr>
      </w:r>
    </w:p>
    <w:p w:rsidR="00000000" w:rsidDel="00000000" w:rsidP="00000000" w:rsidRDefault="00000000" w:rsidRPr="00000000" w14:paraId="00000022">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17. Canonical Bridge Registry</w:t>
      </w:r>
      <w:r w:rsidDel="00000000" w:rsidR="00000000" w:rsidRPr="00000000">
        <w:rPr>
          <w:rtl w:val="0"/>
        </w:rPr>
      </w:r>
    </w:p>
    <w:p w:rsidR="00000000" w:rsidDel="00000000" w:rsidP="00000000" w:rsidRDefault="00000000" w:rsidRPr="00000000" w14:paraId="00000023">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18. Integration Failure Modes</w:t>
      </w:r>
      <w:r w:rsidDel="00000000" w:rsidR="00000000" w:rsidRPr="00000000">
        <w:rPr>
          <w:rtl w:val="0"/>
        </w:rPr>
      </w:r>
    </w:p>
    <w:p w:rsidR="00000000" w:rsidDel="00000000" w:rsidP="00000000" w:rsidRDefault="00000000" w:rsidRPr="00000000" w14:paraId="00000024">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19. The Unified Empirical Test Architecture</w:t>
      </w:r>
      <w:r w:rsidDel="00000000" w:rsidR="00000000" w:rsidRPr="00000000">
        <w:rPr>
          <w:rtl w:val="0"/>
        </w:rPr>
      </w:r>
    </w:p>
    <w:p w:rsidR="00000000" w:rsidDel="00000000" w:rsidP="00000000" w:rsidRDefault="00000000" w:rsidRPr="00000000" w14:paraId="00000025">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20. What Would Falsify the Integrated Architecture</w:t>
      </w:r>
      <w:r w:rsidDel="00000000" w:rsidR="00000000" w:rsidRPr="00000000">
        <w:rPr>
          <w:rtl w:val="0"/>
        </w:rPr>
      </w:r>
    </w:p>
    <w:p w:rsidR="00000000" w:rsidDel="00000000" w:rsidP="00000000" w:rsidRDefault="00000000" w:rsidRPr="00000000" w14:paraId="00000026">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21. Canonical Integration Rules</w:t>
      </w:r>
      <w:r w:rsidDel="00000000" w:rsidR="00000000" w:rsidRPr="00000000">
        <w:rPr>
          <w:rtl w:val="0"/>
        </w:rPr>
      </w:r>
    </w:p>
    <w:p w:rsidR="00000000" w:rsidDel="00000000" w:rsidP="00000000" w:rsidRDefault="00000000" w:rsidRPr="00000000" w14:paraId="00000027">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22. The Canonical SR Cross-Field Cycle</w:t>
      </w:r>
      <w:r w:rsidDel="00000000" w:rsidR="00000000" w:rsidRPr="00000000">
        <w:rPr>
          <w:rtl w:val="0"/>
        </w:rPr>
      </w:r>
    </w:p>
    <w:p w:rsidR="00000000" w:rsidDel="00000000" w:rsidP="00000000" w:rsidRDefault="00000000" w:rsidRPr="00000000" w14:paraId="00000028">
      <w:pPr>
        <w:spacing w:after="60" w:lineRule="auto"/>
        <w:ind w:left="115" w:firstLine="0"/>
        <w:rPr/>
      </w:pPr>
      <w:r w:rsidDel="00000000" w:rsidR="00000000" w:rsidRPr="00000000">
        <w:rPr>
          <w:rFonts w:ascii="Aptos" w:cs="Aptos" w:eastAsia="Aptos" w:hAnsi="Aptos"/>
          <w:b w:val="0"/>
          <w:bCs w:val="0"/>
          <w:i w:val="0"/>
          <w:iCs w:val="0"/>
          <w:color w:val="202a33"/>
          <w:sz w:val="18"/>
          <w:szCs w:val="18"/>
          <w:rtl w:val="0"/>
        </w:rPr>
        <w:t xml:space="preserve">23. Relationship to the SignalRupture Multiverse</w:t>
      </w:r>
      <w:r w:rsidDel="00000000" w:rsidR="00000000" w:rsidRPr="00000000">
        <w:rPr>
          <w:rtl w:val="0"/>
        </w:rPr>
      </w:r>
    </w:p>
    <w:p w:rsidR="00000000" w:rsidDel="00000000" w:rsidP="00000000" w:rsidRDefault="00000000" w:rsidRPr="00000000" w14:paraId="00000029">
      <w:pPr>
        <w:spacing w:after="60" w:lineRule="auto"/>
        <w:ind w:left="115" w:firstLine="0"/>
        <w:rPr/>
      </w:pPr>
      <w:r w:rsidDel="00000000" w:rsidR="00000000" w:rsidRPr="00000000">
        <w:rPr>
          <w:rFonts w:ascii="Aptos" w:cs="Aptos" w:eastAsia="Aptos" w:hAnsi="Aptos"/>
          <w:b w:val="1"/>
          <w:bCs w:val="1"/>
          <w:i w:val="0"/>
          <w:iCs w:val="0"/>
          <w:color w:val="17324d"/>
          <w:sz w:val="18"/>
          <w:szCs w:val="18"/>
          <w:rtl w:val="0"/>
        </w:rPr>
        <w:t xml:space="preserve">Appendix A — Field Interface Template</w:t>
      </w:r>
      <w:r w:rsidDel="00000000" w:rsidR="00000000" w:rsidRPr="00000000">
        <w:rPr>
          <w:rtl w:val="0"/>
        </w:rPr>
      </w:r>
    </w:p>
    <w:p w:rsidR="00000000" w:rsidDel="00000000" w:rsidP="00000000" w:rsidRDefault="00000000" w:rsidRPr="00000000" w14:paraId="0000002A">
      <w:pPr>
        <w:spacing w:after="60" w:lineRule="auto"/>
        <w:ind w:left="115" w:firstLine="0"/>
        <w:rPr/>
      </w:pPr>
      <w:r w:rsidDel="00000000" w:rsidR="00000000" w:rsidRPr="00000000">
        <w:rPr>
          <w:rFonts w:ascii="Aptos" w:cs="Aptos" w:eastAsia="Aptos" w:hAnsi="Aptos"/>
          <w:b w:val="1"/>
          <w:bCs w:val="1"/>
          <w:i w:val="0"/>
          <w:iCs w:val="0"/>
          <w:color w:val="17324d"/>
          <w:sz w:val="18"/>
          <w:szCs w:val="18"/>
          <w:rtl w:val="0"/>
        </w:rPr>
        <w:t xml:space="preserve">Appendix B — Cross-Field Bridge Registration Template</w:t>
      </w:r>
      <w:r w:rsidDel="00000000" w:rsidR="00000000" w:rsidRPr="00000000">
        <w:rPr>
          <w:rtl w:val="0"/>
        </w:rPr>
      </w:r>
    </w:p>
    <w:p w:rsidR="00000000" w:rsidDel="00000000" w:rsidP="00000000" w:rsidRDefault="00000000" w:rsidRPr="00000000" w14:paraId="0000002B">
      <w:pPr>
        <w:spacing w:after="60" w:lineRule="auto"/>
        <w:ind w:left="115" w:firstLine="0"/>
        <w:rPr/>
      </w:pPr>
      <w:r w:rsidDel="00000000" w:rsidR="00000000" w:rsidRPr="00000000">
        <w:rPr>
          <w:rFonts w:ascii="Aptos" w:cs="Aptos" w:eastAsia="Aptos" w:hAnsi="Aptos"/>
          <w:b w:val="1"/>
          <w:bCs w:val="1"/>
          <w:i w:val="0"/>
          <w:iCs w:val="0"/>
          <w:color w:val="17324d"/>
          <w:sz w:val="18"/>
          <w:szCs w:val="18"/>
          <w:rtl w:val="0"/>
        </w:rPr>
        <w:t xml:space="preserve">Appendix C — Priority Empirical Test Suite</w:t>
      </w:r>
      <w:r w:rsidDel="00000000" w:rsidR="00000000" w:rsidRPr="00000000">
        <w:rPr>
          <w:rtl w:val="0"/>
        </w:rPr>
      </w:r>
    </w:p>
    <w:p w:rsidR="00000000" w:rsidDel="00000000" w:rsidP="00000000" w:rsidRDefault="00000000" w:rsidRPr="00000000" w14:paraId="0000002C">
      <w:pPr>
        <w:spacing w:after="60" w:lineRule="auto"/>
        <w:ind w:left="115" w:firstLine="0"/>
        <w:rPr/>
      </w:pPr>
      <w:r w:rsidDel="00000000" w:rsidR="00000000" w:rsidRPr="00000000">
        <w:rPr>
          <w:rFonts w:ascii="Aptos" w:cs="Aptos" w:eastAsia="Aptos" w:hAnsi="Aptos"/>
          <w:b w:val="1"/>
          <w:bCs w:val="1"/>
          <w:i w:val="0"/>
          <w:iCs w:val="0"/>
          <w:color w:val="17324d"/>
          <w:sz w:val="18"/>
          <w:szCs w:val="18"/>
          <w:rtl w:val="0"/>
        </w:rPr>
        <w:t xml:space="preserve">Appendix D — Institutional Judgment Registration Template</w:t>
      </w:r>
      <w:r w:rsidDel="00000000" w:rsidR="00000000" w:rsidRPr="00000000">
        <w:rPr>
          <w:rtl w:val="0"/>
        </w:rPr>
      </w:r>
    </w:p>
    <w:p w:rsidR="00000000" w:rsidDel="00000000" w:rsidP="00000000" w:rsidRDefault="00000000" w:rsidRPr="00000000" w14:paraId="0000002D">
      <w:pPr>
        <w:spacing w:after="60" w:lineRule="auto"/>
        <w:ind w:left="115" w:firstLine="0"/>
        <w:rPr/>
      </w:pPr>
      <w:r w:rsidDel="00000000" w:rsidR="00000000" w:rsidRPr="00000000">
        <w:rPr>
          <w:rFonts w:ascii="Aptos" w:cs="Aptos" w:eastAsia="Aptos" w:hAnsi="Aptos"/>
          <w:b w:val="1"/>
          <w:bCs w:val="1"/>
          <w:i w:val="0"/>
          <w:iCs w:val="0"/>
          <w:color w:val="17324d"/>
          <w:sz w:val="18"/>
          <w:szCs w:val="18"/>
          <w:rtl w:val="0"/>
        </w:rPr>
        <w:t xml:space="preserve">Closing Statement</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1. Purpose and Scientific Status</w:t>
      </w:r>
    </w:p>
    <w:p w:rsidR="00000000" w:rsidDel="00000000" w:rsidP="00000000" w:rsidRDefault="00000000" w:rsidRPr="00000000" w14:paraId="00000031">
      <w:pPr>
        <w:widowControl w:val="1"/>
        <w:rPr/>
      </w:pPr>
      <w:r w:rsidDel="00000000" w:rsidR="00000000" w:rsidRPr="00000000">
        <w:rPr>
          <w:rtl w:val="0"/>
        </w:rPr>
        <w:t xml:space="preserve">The SR Cross-Field Integration Framework (SR-CFIF) establishes the formal architecture through which the surviving SignalRupture fields, research programs, subfields, operators, and models can interact without being collapsed into one undifferentiated theory. Its object is not the existence of multiple SR domains. Its object is the structure of the relations among them.</w:t>
      </w:r>
    </w:p>
    <w:p w:rsidR="00000000" w:rsidDel="00000000" w:rsidP="00000000" w:rsidRDefault="00000000" w:rsidRPr="00000000" w14:paraId="00000032">
      <w:pPr>
        <w:widowControl w:val="1"/>
        <w:rPr/>
      </w:pPr>
      <w:r w:rsidDel="00000000" w:rsidR="00000000" w:rsidRPr="00000000">
        <w:rPr>
          <w:rtl w:val="0"/>
        </w:rPr>
        <w:t xml:space="preserve">SR-CFIF is a specification framework, not empirical confirmation that every proposed connection exists. A cross-field arrow is a hypothesis until the source state, transmission mechanism, temporal order, receiver state, competing explanations, and falsification conditions are operationalized and tested. The framework therefore converts the SR multiverse from a conceptual map into an empirically vulnerable network of candidate relations.</w:t>
      </w:r>
    </w:p>
    <w:p w:rsidR="00000000" w:rsidDel="00000000" w:rsidP="00000000" w:rsidRDefault="00000000" w:rsidRPr="00000000" w14:paraId="00000033">
      <w:pPr>
        <w:widowControl w:val="1"/>
        <w:rPr/>
      </w:pPr>
      <w:r w:rsidDel="00000000" w:rsidR="00000000" w:rsidRPr="00000000">
        <w:rPr>
          <w:rtl w:val="0"/>
        </w:rPr>
        <w:t xml:space="preserve">The central rule is simple: fields remain distinct at the level of mechanism, but become integrable at the level of measurable state exchange. The same architecture applies when an institution evaluates, teaches, funds, excludes, or recognizes a field: the judgment is a consequential state transition that requires an observable source, rule, evidence base, comparator, outcome, and correction pathway.</w:t>
      </w:r>
    </w:p>
    <w:p w:rsidR="00000000" w:rsidDel="00000000" w:rsidP="00000000" w:rsidRDefault="00000000" w:rsidRPr="00000000" w14:paraId="00000034">
      <w:pPr>
        <w:pStyle w:val="Heading1"/>
        <w:rPr/>
      </w:pPr>
      <w:r w:rsidDel="00000000" w:rsidR="00000000" w:rsidRPr="00000000">
        <w:rPr>
          <w:rtl w:val="0"/>
        </w:rPr>
        <w:t xml:space="preserve">2. The Unit of Integration: Fields as State-Vector Nodes</w:t>
      </w:r>
    </w:p>
    <w:p w:rsidR="00000000" w:rsidDel="00000000" w:rsidP="00000000" w:rsidRDefault="00000000" w:rsidRPr="00000000" w14:paraId="00000035">
      <w:pPr>
        <w:widowControl w:val="1"/>
        <w:rPr/>
      </w:pPr>
      <w:r w:rsidDel="00000000" w:rsidR="00000000" w:rsidRPr="00000000">
        <w:rPr>
          <w:rtl w:val="0"/>
        </w:rPr>
        <w:t xml:space="preserve">Each empirical SR field or research program is represented as a node i with a domain-specific state vector x_i(t). The vector contains only variables defensible inside that field. Psychology does not inherit governance variables merely because the fields interact; governance does not redefine psychological outcomes. Integration occurs through interfaces between state vectors.</w:t>
      </w:r>
    </w:p>
    <w:p w:rsidR="00000000" w:rsidDel="00000000" w:rsidP="00000000" w:rsidRDefault="00000000" w:rsidRPr="00000000" w14:paraId="00000036">
      <w:pPr>
        <w:keepNext w:val="0"/>
        <w:keepLines w:val="1"/>
        <w:pageBreakBefore w:val="0"/>
        <w:widowControl w:val="1"/>
        <w:pBdr>
          <w:top w:space="0" w:sz="0" w:val="nil"/>
          <w:left w:space="0" w:sz="0" w:val="nil"/>
          <w:bottom w:space="0" w:sz="0" w:val="nil"/>
          <w:right w:space="0" w:sz="0" w:val="nil"/>
          <w:between w:space="0" w:sz="0" w:val="nil"/>
        </w:pBdr>
        <w:shd w:fill="f4f7f9" w:val="clear"/>
        <w:spacing w:after="140" w:before="100" w:line="276" w:lineRule="auto"/>
        <w:ind w:left="0" w:right="0" w:firstLine="0"/>
        <w:jc w:val="center"/>
        <w:rPr>
          <w:rFonts w:ascii="Cambria Math" w:cs="Cambria Math" w:eastAsia="Cambria Math" w:hAnsi="Cambria Math"/>
          <w:b w:val="0"/>
          <w:bCs w:val="0"/>
          <w:i w:val="0"/>
          <w:iCs w:val="0"/>
          <w:smallCaps w:val="0"/>
          <w:strike w:val="0"/>
          <w:color w:val="17324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7324d"/>
          <w:sz w:val="22"/>
          <w:szCs w:val="22"/>
          <w:u w:val="none"/>
          <w:shd w:fill="auto" w:val="clear"/>
          <w:vertAlign w:val="baseline"/>
          <w:rtl w:val="0"/>
        </w:rPr>
        <w:t xml:space="preserve">x_i(t) = [x_i1(t), x_i2(t), …, x_ip(t)]ᵀ</w:t>
      </w:r>
    </w:p>
    <w:p w:rsidR="00000000" w:rsidDel="00000000" w:rsidP="00000000" w:rsidRDefault="00000000" w:rsidRPr="00000000" w14:paraId="00000037">
      <w:pPr>
        <w:widowControl w:val="1"/>
        <w:jc w:val="both"/>
        <w:rPr/>
      </w:pPr>
      <w:r w:rsidDel="00000000" w:rsidR="00000000" w:rsidRPr="00000000">
        <w:rPr>
          <w:rtl w:val="0"/>
        </w:rPr>
        <w:t xml:space="preserve">The complete SR state is the stacked vector of K domain states:</w:t>
      </w:r>
    </w:p>
    <w:p w:rsidR="00000000" w:rsidDel="00000000" w:rsidP="00000000" w:rsidRDefault="00000000" w:rsidRPr="00000000" w14:paraId="00000038">
      <w:pPr>
        <w:keepNext w:val="0"/>
        <w:keepLines w:val="1"/>
        <w:pageBreakBefore w:val="0"/>
        <w:widowControl w:val="1"/>
        <w:pBdr>
          <w:top w:space="0" w:sz="0" w:val="nil"/>
          <w:left w:space="0" w:sz="0" w:val="nil"/>
          <w:bottom w:space="0" w:sz="0" w:val="nil"/>
          <w:right w:space="0" w:sz="0" w:val="nil"/>
          <w:between w:space="0" w:sz="0" w:val="nil"/>
        </w:pBdr>
        <w:shd w:fill="f4f7f9" w:val="clear"/>
        <w:spacing w:after="140" w:before="100" w:line="276" w:lineRule="auto"/>
        <w:ind w:left="0" w:right="0" w:firstLine="0"/>
        <w:jc w:val="center"/>
        <w:rPr>
          <w:rFonts w:ascii="Cambria Math" w:cs="Cambria Math" w:eastAsia="Cambria Math" w:hAnsi="Cambria Math"/>
          <w:b w:val="0"/>
          <w:bCs w:val="0"/>
          <w:i w:val="0"/>
          <w:iCs w:val="0"/>
          <w:smallCaps w:val="0"/>
          <w:strike w:val="0"/>
          <w:color w:val="17324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7324d"/>
          <w:sz w:val="22"/>
          <w:szCs w:val="22"/>
          <w:u w:val="none"/>
          <w:shd w:fill="auto" w:val="clear"/>
          <w:vertAlign w:val="baseline"/>
          <w:rtl w:val="0"/>
        </w:rPr>
        <w:t xml:space="preserve">X(t) = [x_1(t)ᵀ, x_2(t)ᵀ, …, x_K(t)ᵀ]ᵀ</w:t>
      </w:r>
    </w:p>
    <w:p w:rsidR="00000000" w:rsidDel="00000000" w:rsidP="00000000" w:rsidRDefault="00000000" w:rsidRPr="00000000" w14:paraId="00000039">
      <w:pPr>
        <w:widowControl w:val="1"/>
        <w:rPr/>
      </w:pPr>
      <w:r w:rsidDel="00000000" w:rsidR="00000000" w:rsidRPr="00000000">
        <w:rPr>
          <w:rtl w:val="0"/>
        </w:rPr>
        <w:t xml:space="preserve">This representation allows different fields to retain different numbers, units, scales, and measurement models while still participating in one dynamic architecture. The framework does not require all variables to be reducible to a single index.</w:t>
      </w:r>
    </w:p>
    <w:p w:rsidR="00000000" w:rsidDel="00000000" w:rsidP="00000000" w:rsidRDefault="00000000" w:rsidRPr="00000000" w14:paraId="0000003A">
      <w:pPr>
        <w:pStyle w:val="Heading1"/>
        <w:rPr/>
      </w:pPr>
      <w:r w:rsidDel="00000000" w:rsidR="00000000" w:rsidRPr="00000000">
        <w:rPr>
          <w:rtl w:val="0"/>
        </w:rPr>
        <w:t xml:space="preserve">3. Three Layers of Dynamics</w:t>
      </w:r>
    </w:p>
    <w:p w:rsidR="00000000" w:rsidDel="00000000" w:rsidP="00000000" w:rsidRDefault="00000000" w:rsidRPr="00000000" w14:paraId="0000003B">
      <w:pPr>
        <w:pStyle w:val="Heading2"/>
        <w:rPr/>
      </w:pPr>
      <w:r w:rsidDel="00000000" w:rsidR="00000000" w:rsidRPr="00000000">
        <w:rPr>
          <w:rtl w:val="0"/>
        </w:rPr>
        <w:t xml:space="preserve">3.4 Pressure Ecology as the Cross-Scale Flow Layer</w:t>
      </w:r>
    </w:p>
    <w:p w:rsidR="00000000" w:rsidDel="00000000" w:rsidP="00000000" w:rsidRDefault="00000000" w:rsidRPr="00000000" w14:paraId="0000003C">
      <w:pPr>
        <w:rPr/>
      </w:pPr>
      <w:r w:rsidDel="00000000" w:rsidR="00000000" w:rsidRPr="00000000">
        <w:rPr>
          <w:rtl w:val="0"/>
        </w:rPr>
        <w:t xml:space="preserve">SR-CFIF now distinguishes field-to-field transfer from the broader Pressure Ecology in which those transfers occur. Pressure Ecology supplies seven mechanisms—generation, absorption, transformation, transfer, externalization, temporal displacement, and propagation. The fields remain state-vector nodes, but the ecology specifies how load and capacity move within and between those nodes, across scales, and across time.</w:t>
      </w:r>
    </w:p>
    <w:p w:rsidR="00000000" w:rsidDel="00000000" w:rsidP="00000000" w:rsidRDefault="00000000" w:rsidRPr="00000000" w14:paraId="0000003D">
      <w:pPr>
        <w:rPr/>
      </w:pPr>
      <w:r w:rsidDel="00000000" w:rsidR="00000000" w:rsidRPr="00000000">
        <w:rPr>
          <w:rtl w:val="0"/>
        </w:rPr>
        <w:t xml:space="preserve">For system i, a domain-specific pressure account may be represented conceptually as ΔP_i = internally generated pressure + imported pressure + returning deferred pressure − genuine absorption − outward transfer − future deferral, with transformation terms tracked separately. This is an accounting scaffold rather than a universal conserved quantity. Cross-field integration must preserve the heterogeneity of pressure domains and identify the unit in which each pressure is measured.</w:t>
      </w:r>
    </w:p>
    <w:p w:rsidR="00000000" w:rsidDel="00000000" w:rsidP="00000000" w:rsidRDefault="00000000" w:rsidRPr="00000000" w14:paraId="0000003E">
      <w:pPr>
        <w:rPr/>
      </w:pPr>
      <w:r w:rsidDel="00000000" w:rsidR="00000000" w:rsidRPr="00000000">
        <w:rPr>
          <w:rtl w:val="0"/>
        </w:rPr>
        <w:t xml:space="preserve">The integration rule is therefore strengthened: a receiver-side improvement cannot be narrated as system resolution until the analysis distinguishes capacity growth from transfer, externalization, transformation, or temporal displacement. This requirement connects SR-CFIF directly to household burden transfer, sovereign debt, infrastructural dependency, ecological externalization, trade propagation, and human buffering.</w:t>
      </w:r>
    </w:p>
    <w:p w:rsidR="00000000" w:rsidDel="00000000" w:rsidP="00000000" w:rsidRDefault="00000000" w:rsidRPr="00000000" w14:paraId="0000003F">
      <w:pPr>
        <w:pStyle w:val="Heading2"/>
        <w:rPr/>
      </w:pPr>
      <w:r w:rsidDel="00000000" w:rsidR="00000000" w:rsidRPr="00000000">
        <w:rPr>
          <w:rtl w:val="0"/>
        </w:rPr>
        <w:t xml:space="preserve">3.5 Dependency Topology and Substitution</w:t>
      </w:r>
    </w:p>
    <w:p w:rsidR="00000000" w:rsidDel="00000000" w:rsidP="00000000" w:rsidRDefault="00000000" w:rsidRPr="00000000" w14:paraId="00000040">
      <w:pPr>
        <w:rPr/>
      </w:pPr>
      <w:r w:rsidDel="00000000" w:rsidR="00000000" w:rsidRPr="00000000">
        <w:rPr>
          <w:rtl w:val="0"/>
        </w:rPr>
        <w:t xml:space="preserve">Cross-field and cross-national exposure is conditioned by dependency topology. A dependency edge must specify function, partner or provider, concentration, criticality, substitution horizon, redundancy, reciprocal leverage, and recovery time. High dependence can be resilient when substitution and redundancy are strong; modest dependence can be fragile when a narrow critical input has no timely substitute.</w:t>
      </w:r>
    </w:p>
    <w:p w:rsidR="00000000" w:rsidDel="00000000" w:rsidP="00000000" w:rsidRDefault="00000000" w:rsidRPr="00000000" w14:paraId="00000041">
      <w:pPr>
        <w:pStyle w:val="Heading2"/>
        <w:rPr/>
      </w:pPr>
      <w:r w:rsidDel="00000000" w:rsidR="00000000" w:rsidRPr="00000000">
        <w:rPr>
          <w:rtl w:val="0"/>
        </w:rPr>
        <w:t xml:space="preserve">3.1 Within-Field Dynamics</w:t>
      </w:r>
    </w:p>
    <w:p w:rsidR="00000000" w:rsidDel="00000000" w:rsidP="00000000" w:rsidRDefault="00000000" w:rsidRPr="00000000" w14:paraId="00000042">
      <w:pPr>
        <w:widowControl w:val="1"/>
        <w:rPr/>
      </w:pPr>
      <w:r w:rsidDel="00000000" w:rsidR="00000000" w:rsidRPr="00000000">
        <w:rPr>
          <w:rtl w:val="0"/>
        </w:rPr>
        <w:t xml:space="preserve">Every field first requires an internally defensible model. A generic local dynamic is:</w:t>
      </w:r>
    </w:p>
    <w:p w:rsidR="00000000" w:rsidDel="00000000" w:rsidP="00000000" w:rsidRDefault="00000000" w:rsidRPr="00000000" w14:paraId="00000043">
      <w:pPr>
        <w:keepNext w:val="0"/>
        <w:keepLines w:val="1"/>
        <w:pageBreakBefore w:val="0"/>
        <w:widowControl w:val="1"/>
        <w:pBdr>
          <w:top w:space="0" w:sz="0" w:val="nil"/>
          <w:left w:space="0" w:sz="0" w:val="nil"/>
          <w:bottom w:space="0" w:sz="0" w:val="nil"/>
          <w:right w:space="0" w:sz="0" w:val="nil"/>
          <w:between w:space="0" w:sz="0" w:val="nil"/>
        </w:pBdr>
        <w:shd w:fill="f4f7f9" w:val="clear"/>
        <w:spacing w:after="140" w:before="100" w:line="276" w:lineRule="auto"/>
        <w:ind w:left="0" w:right="0" w:firstLine="0"/>
        <w:jc w:val="center"/>
        <w:rPr>
          <w:rFonts w:ascii="Cambria Math" w:cs="Cambria Math" w:eastAsia="Cambria Math" w:hAnsi="Cambria Math"/>
          <w:b w:val="0"/>
          <w:bCs w:val="0"/>
          <w:i w:val="0"/>
          <w:iCs w:val="0"/>
          <w:smallCaps w:val="0"/>
          <w:strike w:val="0"/>
          <w:color w:val="17324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7324d"/>
          <w:sz w:val="22"/>
          <w:szCs w:val="22"/>
          <w:u w:val="none"/>
          <w:shd w:fill="auto" w:val="clear"/>
          <w:vertAlign w:val="baseline"/>
          <w:rtl w:val="0"/>
        </w:rPr>
        <w:t xml:space="preserve">x_i(t+1) = F_i x_i(t) + G_i z_i(t) + ε_i(t)</w:t>
      </w:r>
    </w:p>
    <w:p w:rsidR="00000000" w:rsidDel="00000000" w:rsidP="00000000" w:rsidRDefault="00000000" w:rsidRPr="00000000" w14:paraId="00000044">
      <w:pPr>
        <w:widowControl w:val="1"/>
        <w:rPr/>
      </w:pPr>
      <w:r w:rsidDel="00000000" w:rsidR="00000000" w:rsidRPr="00000000">
        <w:rPr>
          <w:rtl w:val="0"/>
        </w:rPr>
        <w:t xml:space="preserve">where F_i represents within-field persistence or recursion, z_i represents field-specific exogenous conditions or controls, and ε_i represents disturbance. Cross-field integration must never be used to rescue a field whose internal measurement model is not viable.</w:t>
      </w:r>
    </w:p>
    <w:p w:rsidR="00000000" w:rsidDel="00000000" w:rsidP="00000000" w:rsidRDefault="00000000" w:rsidRPr="00000000" w14:paraId="00000045">
      <w:pPr>
        <w:pStyle w:val="Heading2"/>
        <w:rPr/>
      </w:pPr>
      <w:r w:rsidDel="00000000" w:rsidR="00000000" w:rsidRPr="00000000">
        <w:rPr>
          <w:rtl w:val="0"/>
        </w:rPr>
        <w:t xml:space="preserve">3.2 Cross-Field Transfer</w:t>
      </w:r>
    </w:p>
    <w:p w:rsidR="00000000" w:rsidDel="00000000" w:rsidP="00000000" w:rsidRDefault="00000000" w:rsidRPr="00000000" w14:paraId="00000046">
      <w:pPr>
        <w:widowControl w:val="1"/>
        <w:jc w:val="both"/>
        <w:rPr/>
      </w:pPr>
      <w:r w:rsidDel="00000000" w:rsidR="00000000" w:rsidRPr="00000000">
        <w:rPr>
          <w:rtl w:val="0"/>
        </w:rPr>
        <w:t xml:space="preserve">A candidate transfer from source field i to receiver field j is represented by:</w:t>
      </w:r>
    </w:p>
    <w:p w:rsidR="00000000" w:rsidDel="00000000" w:rsidP="00000000" w:rsidRDefault="00000000" w:rsidRPr="00000000" w14:paraId="00000047">
      <w:pPr>
        <w:keepNext w:val="0"/>
        <w:keepLines w:val="1"/>
        <w:pageBreakBefore w:val="0"/>
        <w:widowControl w:val="1"/>
        <w:pBdr>
          <w:top w:space="0" w:sz="0" w:val="nil"/>
          <w:left w:space="0" w:sz="0" w:val="nil"/>
          <w:bottom w:space="0" w:sz="0" w:val="nil"/>
          <w:right w:space="0" w:sz="0" w:val="nil"/>
          <w:between w:space="0" w:sz="0" w:val="nil"/>
        </w:pBdr>
        <w:shd w:fill="f4f7f9" w:val="clear"/>
        <w:spacing w:after="140" w:before="100" w:line="276" w:lineRule="auto"/>
        <w:ind w:left="0" w:right="0" w:firstLine="0"/>
        <w:jc w:val="center"/>
        <w:rPr>
          <w:rFonts w:ascii="Cambria Math" w:cs="Cambria Math" w:eastAsia="Cambria Math" w:hAnsi="Cambria Math"/>
          <w:b w:val="0"/>
          <w:bCs w:val="0"/>
          <w:i w:val="0"/>
          <w:iCs w:val="0"/>
          <w:smallCaps w:val="0"/>
          <w:strike w:val="0"/>
          <w:color w:val="17324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7324d"/>
          <w:sz w:val="22"/>
          <w:szCs w:val="22"/>
          <w:u w:val="none"/>
          <w:shd w:fill="auto" w:val="clear"/>
          <w:vertAlign w:val="baseline"/>
          <w:rtl w:val="0"/>
        </w:rPr>
        <w:t xml:space="preserve">x_i(t) → M_ij(t, τ_ij) → x_j(t+τ_ij)</w:t>
      </w:r>
    </w:p>
    <w:p w:rsidR="00000000" w:rsidDel="00000000" w:rsidP="00000000" w:rsidRDefault="00000000" w:rsidRPr="00000000" w14:paraId="00000048">
      <w:pPr>
        <w:widowControl w:val="1"/>
        <w:jc w:val="both"/>
        <w:rPr/>
      </w:pPr>
      <w:r w:rsidDel="00000000" w:rsidR="00000000" w:rsidRPr="00000000">
        <w:rPr>
          <w:rtl w:val="0"/>
        </w:rPr>
        <w:t xml:space="preserve">where M_ij is the transmission mechanism and τ_ij is the theoretically justified lag. The mechanism is mandatory. A statistically associated pair of fields without a plausible and observable transfer process is not yet an SR propagation relation.</w:t>
      </w:r>
    </w:p>
    <w:p w:rsidR="00000000" w:rsidDel="00000000" w:rsidP="00000000" w:rsidRDefault="00000000" w:rsidRPr="00000000" w14:paraId="00000049">
      <w:pPr>
        <w:pStyle w:val="Heading2"/>
        <w:rPr/>
      </w:pPr>
      <w:r w:rsidDel="00000000" w:rsidR="00000000" w:rsidRPr="00000000">
        <w:rPr>
          <w:rtl w:val="0"/>
        </w:rPr>
        <w:t xml:space="preserve">3.3 Full Coupled System</w:t>
      </w:r>
    </w:p>
    <w:p w:rsidR="00000000" w:rsidDel="00000000" w:rsidP="00000000" w:rsidRDefault="00000000" w:rsidRPr="00000000" w14:paraId="0000004A">
      <w:pPr>
        <w:widowControl w:val="1"/>
        <w:jc w:val="both"/>
        <w:rPr/>
      </w:pPr>
      <w:r w:rsidDel="00000000" w:rsidR="00000000" w:rsidRPr="00000000">
        <w:rPr>
          <w:rtl w:val="0"/>
        </w:rPr>
        <w:t xml:space="preserve">The integrated linearized form is:</w:t>
      </w:r>
    </w:p>
    <w:p w:rsidR="00000000" w:rsidDel="00000000" w:rsidP="00000000" w:rsidRDefault="00000000" w:rsidRPr="00000000" w14:paraId="0000004B">
      <w:pPr>
        <w:keepNext w:val="0"/>
        <w:keepLines w:val="1"/>
        <w:pageBreakBefore w:val="0"/>
        <w:widowControl w:val="1"/>
        <w:pBdr>
          <w:top w:space="0" w:sz="0" w:val="nil"/>
          <w:left w:space="0" w:sz="0" w:val="nil"/>
          <w:bottom w:space="0" w:sz="0" w:val="nil"/>
          <w:right w:space="0" w:sz="0" w:val="nil"/>
          <w:between w:space="0" w:sz="0" w:val="nil"/>
        </w:pBdr>
        <w:shd w:fill="f4f7f9" w:val="clear"/>
        <w:spacing w:after="140" w:before="100" w:line="276" w:lineRule="auto"/>
        <w:ind w:left="0" w:right="0" w:firstLine="0"/>
        <w:jc w:val="center"/>
        <w:rPr>
          <w:rFonts w:ascii="Cambria Math" w:cs="Cambria Math" w:eastAsia="Cambria Math" w:hAnsi="Cambria Math"/>
          <w:b w:val="0"/>
          <w:bCs w:val="0"/>
          <w:i w:val="0"/>
          <w:iCs w:val="0"/>
          <w:smallCaps w:val="0"/>
          <w:strike w:val="0"/>
          <w:color w:val="17324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7324d"/>
          <w:sz w:val="22"/>
          <w:szCs w:val="22"/>
          <w:u w:val="none"/>
          <w:shd w:fill="auto" w:val="clear"/>
          <w:vertAlign w:val="baseline"/>
          <w:rtl w:val="0"/>
        </w:rPr>
        <w:t xml:space="preserve">X(t+1) = A X(t) + G Z(t) + L Ω(t) + ε(t)</w:t>
      </w:r>
    </w:p>
    <w:p w:rsidR="00000000" w:rsidDel="00000000" w:rsidP="00000000" w:rsidRDefault="00000000" w:rsidRPr="00000000" w14:paraId="0000004C">
      <w:pPr>
        <w:widowControl w:val="1"/>
        <w:rPr/>
      </w:pPr>
      <w:r w:rsidDel="00000000" w:rsidR="00000000" w:rsidRPr="00000000">
        <w:rPr>
          <w:rtl w:val="0"/>
        </w:rPr>
        <w:t xml:space="preserve">A is a block matrix. Diagonal blocks A_ii represent within-field dynamics; off-diagonal blocks A_ji represent candidate transfer from field i into field j. Z contains measured external shocks and controls. Ω contains structured visibility, recognition, or blind-system conditions where those constructs are independently operationalized. This equation is a model class, not a claim that the true SR system is linear.</w:t>
      </w:r>
    </w:p>
    <w:p w:rsidR="00000000" w:rsidDel="00000000" w:rsidP="00000000" w:rsidRDefault="00000000" w:rsidRPr="00000000" w14:paraId="0000004D">
      <w:pPr>
        <w:widowControl w:val="1"/>
        <w:rPr/>
      </w:pPr>
      <w:r w:rsidDel="00000000" w:rsidR="00000000" w:rsidRPr="00000000">
        <w:rPr>
          <w:rtl w:val="0"/>
        </w:rPr>
        <w:t xml:space="preserve">The block form is the mathematical merger of the canon: the fields do not disappear. They become identifiable blocks in one testable dynamic system.</w:t>
      </w:r>
    </w:p>
    <w:p w:rsidR="00000000" w:rsidDel="00000000" w:rsidP="00000000" w:rsidRDefault="00000000" w:rsidRPr="00000000" w14:paraId="0000004E">
      <w:pPr>
        <w:pStyle w:val="Heading1"/>
        <w:rPr/>
      </w:pPr>
      <w:r w:rsidDel="00000000" w:rsidR="00000000" w:rsidRPr="00000000">
        <w:rPr>
          <w:rtl w:val="0"/>
        </w:rPr>
        <w:t xml:space="preserve">4. The Canonical Cross-Field Transfer Operator</w:t>
      </w:r>
    </w:p>
    <w:p w:rsidR="00000000" w:rsidDel="00000000" w:rsidP="00000000" w:rsidRDefault="00000000" w:rsidRPr="00000000" w14:paraId="0000004F">
      <w:pPr>
        <w:widowControl w:val="1"/>
        <w:rPr/>
      </w:pPr>
      <w:r w:rsidDel="00000000" w:rsidR="00000000" w:rsidRPr="00000000">
        <w:rPr>
          <w:rtl w:val="0"/>
        </w:rPr>
        <w:t xml:space="preserve">For a specific bridge i → j, SR-CFIF decomposes transfer into six empirically separable components: source change, exposure, transmission strength, amplification, buffering, and receiver susceptibility or receptivity.</w:t>
      </w:r>
    </w:p>
    <w:p w:rsidR="00000000" w:rsidDel="00000000" w:rsidP="00000000" w:rsidRDefault="00000000" w:rsidRPr="00000000" w14:paraId="00000050">
      <w:pPr>
        <w:keepNext w:val="0"/>
        <w:keepLines w:val="1"/>
        <w:pageBreakBefore w:val="0"/>
        <w:widowControl w:val="1"/>
        <w:pBdr>
          <w:top w:space="0" w:sz="0" w:val="nil"/>
          <w:left w:space="0" w:sz="0" w:val="nil"/>
          <w:bottom w:space="0" w:sz="0" w:val="nil"/>
          <w:right w:space="0" w:sz="0" w:val="nil"/>
          <w:between w:space="0" w:sz="0" w:val="nil"/>
        </w:pBdr>
        <w:shd w:fill="f4f7f9" w:val="clear"/>
        <w:spacing w:after="140" w:before="100" w:line="276" w:lineRule="auto"/>
        <w:ind w:left="0" w:right="0" w:firstLine="0"/>
        <w:jc w:val="center"/>
        <w:rPr>
          <w:rFonts w:ascii="Cambria Math" w:cs="Cambria Math" w:eastAsia="Cambria Math" w:hAnsi="Cambria Math"/>
          <w:b w:val="0"/>
          <w:bCs w:val="0"/>
          <w:i w:val="0"/>
          <w:iCs w:val="0"/>
          <w:smallCaps w:val="0"/>
          <w:strike w:val="0"/>
          <w:color w:val="17324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7324d"/>
          <w:sz w:val="22"/>
          <w:szCs w:val="22"/>
          <w:u w:val="none"/>
          <w:shd w:fill="auto" w:val="clear"/>
          <w:vertAlign w:val="baseline"/>
          <w:rtl w:val="0"/>
        </w:rPr>
        <w:t xml:space="preserve">Δx_j(t+τ) = H_ij[φ_ij E_ij Δx_i(t), a_ij, b_ij, v_j] + C(t) + ε_j(t)</w:t>
      </w:r>
    </w:p>
    <w:p w:rsidR="00000000" w:rsidDel="00000000" w:rsidP="00000000" w:rsidRDefault="00000000" w:rsidRPr="00000000" w14:paraId="00000051">
      <w:pPr>
        <w:widowControl w:val="1"/>
        <w:rPr/>
      </w:pPr>
      <w:r w:rsidDel="00000000" w:rsidR="00000000" w:rsidRPr="00000000">
        <w:rPr>
          <w:rtl w:val="0"/>
        </w:rPr>
        <w:t xml:space="preserve">E_ij is the receiver's exposure to the source-domain change; φ_ij is the transmission coefficient conditional on the specified mechanism; a_ij represents amplification; b_ij represents blocking, buffering, substitution, or attenuation; v_j represents receiver-side susceptibility or capacity; H_ij is the transformation function; C(t) contains shared shocks and confounders.</w:t>
      </w:r>
    </w:p>
    <w:p w:rsidR="00000000" w:rsidDel="00000000" w:rsidP="00000000" w:rsidRDefault="00000000" w:rsidRPr="00000000" w14:paraId="00000052">
      <w:pPr>
        <w:widowControl w:val="1"/>
        <w:rPr/>
      </w:pPr>
      <w:r w:rsidDel="00000000" w:rsidR="00000000" w:rsidRPr="00000000">
        <w:rPr>
          <w:rtl w:val="0"/>
        </w:rPr>
        <w:t xml:space="preserve">When all components are normalized to interpretable bounded scales, a descriptive net-transfer term may be written as:</w:t>
      </w:r>
    </w:p>
    <w:p w:rsidR="00000000" w:rsidDel="00000000" w:rsidP="00000000" w:rsidRDefault="00000000" w:rsidRPr="00000000" w14:paraId="00000053">
      <w:pPr>
        <w:keepNext w:val="0"/>
        <w:keepLines w:val="1"/>
        <w:pageBreakBefore w:val="0"/>
        <w:widowControl w:val="1"/>
        <w:pBdr>
          <w:top w:space="0" w:sz="0" w:val="nil"/>
          <w:left w:space="0" w:sz="0" w:val="nil"/>
          <w:bottom w:space="0" w:sz="0" w:val="nil"/>
          <w:right w:space="0" w:sz="0" w:val="nil"/>
          <w:between w:space="0" w:sz="0" w:val="nil"/>
        </w:pBdr>
        <w:shd w:fill="f4f7f9" w:val="clear"/>
        <w:spacing w:after="140" w:before="100" w:line="276" w:lineRule="auto"/>
        <w:ind w:left="0" w:right="0" w:firstLine="0"/>
        <w:jc w:val="center"/>
        <w:rPr>
          <w:rFonts w:ascii="Cambria Math" w:cs="Cambria Math" w:eastAsia="Cambria Math" w:hAnsi="Cambria Math"/>
          <w:b w:val="0"/>
          <w:bCs w:val="0"/>
          <w:i w:val="0"/>
          <w:iCs w:val="0"/>
          <w:smallCaps w:val="0"/>
          <w:strike w:val="0"/>
          <w:color w:val="17324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7324d"/>
          <w:sz w:val="22"/>
          <w:szCs w:val="22"/>
          <w:u w:val="none"/>
          <w:shd w:fill="auto" w:val="clear"/>
          <w:vertAlign w:val="baseline"/>
          <w:rtl w:val="0"/>
        </w:rPr>
        <w:t xml:space="preserve">κ_ij(t) = φ_ij(t) · E_ij(t) · a_ij(t) · v_j(t) · [1 − b_ij(t)]</w:t>
      </w:r>
    </w:p>
    <w:p w:rsidR="00000000" w:rsidDel="00000000" w:rsidP="00000000" w:rsidRDefault="00000000" w:rsidRPr="00000000" w14:paraId="00000054">
      <w:pPr>
        <w:widowControl w:val="1"/>
        <w:rPr/>
      </w:pPr>
      <w:r w:rsidDel="00000000" w:rsidR="00000000" w:rsidRPr="00000000">
        <w:rPr>
          <w:rtl w:val="0"/>
        </w:rPr>
        <w:t xml:space="preserve">κ_ij is not a universal SR constant. Its value can vary by jurisdiction, population, institution, historical period, and measurement design. The same named bridge may therefore be strong in one system, weak in another, or absent altogether.</w:t>
      </w:r>
    </w:p>
    <w:p w:rsidR="00000000" w:rsidDel="00000000" w:rsidP="00000000" w:rsidRDefault="00000000" w:rsidRPr="00000000" w14:paraId="00000055">
      <w:pPr>
        <w:pStyle w:val="Heading1"/>
        <w:rPr/>
      </w:pPr>
      <w:r w:rsidDel="00000000" w:rsidR="00000000" w:rsidRPr="00000000">
        <w:rPr>
          <w:rtl w:val="0"/>
        </w:rPr>
        <w:t xml:space="preserve">5. Relation Classes: What a Cross-Field Arrow Can Mean</w:t>
      </w:r>
    </w:p>
    <w:p w:rsidR="00000000" w:rsidDel="00000000" w:rsidP="00000000" w:rsidRDefault="00000000" w:rsidRPr="00000000" w14:paraId="00000056">
      <w:pPr>
        <w:widowControl w:val="1"/>
        <w:rPr/>
      </w:pPr>
      <w:r w:rsidDel="00000000" w:rsidR="00000000" w:rsidRPr="00000000">
        <w:rPr>
          <w:rtl w:val="0"/>
        </w:rPr>
        <w:t xml:space="preserve">SR-CFIF distinguishes five relation classes because treating all co-movement as propagation would invalidate the architecture.</w:t>
      </w:r>
    </w:p>
    <w:tbl>
      <w:tblPr>
        <w:tblStyle w:val="Table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2500"/>
        <w:gridCol w:w="5760"/>
        <w:tblGridChange w:id="0">
          <w:tblGrid>
            <w:gridCol w:w="1100"/>
            <w:gridCol w:w="2500"/>
            <w:gridCol w:w="5760"/>
          </w:tblGrid>
        </w:tblGridChange>
      </w:tblGrid>
      <w:tr>
        <w:trPr>
          <w:cantSplit w:val="1"/>
          <w:tblHeader w:val="1"/>
        </w:trPr>
        <w:tc>
          <w:tcPr>
            <w:shd w:fill="17324d" w:val="clear"/>
            <w:tcMar>
              <w:top w:w="90.0" w:type="dxa"/>
              <w:bottom w:w="90.0" w:type="dxa"/>
            </w:tcMar>
          </w:tcPr>
          <w:p w:rsidR="00000000" w:rsidDel="00000000" w:rsidP="00000000" w:rsidRDefault="00000000" w:rsidRPr="00000000" w14:paraId="00000057">
            <w:pPr>
              <w:rPr/>
            </w:pPr>
            <w:r w:rsidDel="00000000" w:rsidR="00000000" w:rsidRPr="00000000">
              <w:rPr>
                <w:rFonts w:ascii="Aptos" w:cs="Aptos" w:eastAsia="Aptos" w:hAnsi="Aptos"/>
                <w:b w:val="1"/>
                <w:bCs w:val="1"/>
                <w:i w:val="0"/>
                <w:iCs w:val="0"/>
                <w:color w:val="ffffff"/>
                <w:sz w:val="18"/>
                <w:szCs w:val="18"/>
                <w:rtl w:val="0"/>
              </w:rPr>
              <w:t xml:space="preserve">Class</w:t>
            </w:r>
            <w:r w:rsidDel="00000000" w:rsidR="00000000" w:rsidRPr="00000000">
              <w:rPr>
                <w:rtl w:val="0"/>
              </w:rPr>
            </w:r>
          </w:p>
        </w:tc>
        <w:tc>
          <w:tcPr>
            <w:shd w:fill="17324d" w:val="clear"/>
            <w:tcMar>
              <w:top w:w="90.0" w:type="dxa"/>
              <w:bottom w:w="90.0" w:type="dxa"/>
            </w:tcMar>
          </w:tcPr>
          <w:p w:rsidR="00000000" w:rsidDel="00000000" w:rsidP="00000000" w:rsidRDefault="00000000" w:rsidRPr="00000000" w14:paraId="00000058">
            <w:pPr>
              <w:rPr/>
            </w:pPr>
            <w:r w:rsidDel="00000000" w:rsidR="00000000" w:rsidRPr="00000000">
              <w:rPr>
                <w:rFonts w:ascii="Aptos" w:cs="Aptos" w:eastAsia="Aptos" w:hAnsi="Aptos"/>
                <w:b w:val="1"/>
                <w:bCs w:val="1"/>
                <w:i w:val="0"/>
                <w:iCs w:val="0"/>
                <w:color w:val="ffffff"/>
                <w:sz w:val="18"/>
                <w:szCs w:val="18"/>
                <w:rtl w:val="0"/>
              </w:rPr>
              <w:t xml:space="preserve">Meaning</w:t>
            </w:r>
            <w:r w:rsidDel="00000000" w:rsidR="00000000" w:rsidRPr="00000000">
              <w:rPr>
                <w:rtl w:val="0"/>
              </w:rPr>
            </w:r>
          </w:p>
        </w:tc>
        <w:tc>
          <w:tcPr>
            <w:shd w:fill="17324d" w:val="clear"/>
            <w:tcMar>
              <w:top w:w="90.0" w:type="dxa"/>
              <w:bottom w:w="90.0" w:type="dxa"/>
            </w:tcMar>
          </w:tcPr>
          <w:p w:rsidR="00000000" w:rsidDel="00000000" w:rsidP="00000000" w:rsidRDefault="00000000" w:rsidRPr="00000000" w14:paraId="00000059">
            <w:pPr>
              <w:rPr/>
            </w:pPr>
            <w:r w:rsidDel="00000000" w:rsidR="00000000" w:rsidRPr="00000000">
              <w:rPr>
                <w:rFonts w:ascii="Aptos" w:cs="Aptos" w:eastAsia="Aptos" w:hAnsi="Aptos"/>
                <w:b w:val="1"/>
                <w:bCs w:val="1"/>
                <w:i w:val="0"/>
                <w:iCs w:val="0"/>
                <w:color w:val="ffffff"/>
                <w:sz w:val="18"/>
                <w:szCs w:val="18"/>
                <w:rtl w:val="0"/>
              </w:rPr>
              <w:t xml:space="preserve">Empirical interpretation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5A">
            <w:pPr>
              <w:rPr/>
            </w:pPr>
            <w:r w:rsidDel="00000000" w:rsidR="00000000" w:rsidRPr="00000000">
              <w:rPr>
                <w:rFonts w:ascii="Aptos" w:cs="Aptos" w:eastAsia="Aptos" w:hAnsi="Aptos"/>
                <w:b w:val="1"/>
                <w:bCs w:val="1"/>
                <w:i w:val="0"/>
                <w:iCs w:val="0"/>
                <w:color w:val="202a33"/>
                <w:sz w:val="17"/>
                <w:szCs w:val="17"/>
                <w:rtl w:val="0"/>
              </w:rPr>
              <w:t xml:space="preserve">Class 0</w:t>
            </w:r>
            <w:r w:rsidDel="00000000" w:rsidR="00000000" w:rsidRPr="00000000">
              <w:rPr>
                <w:rtl w:val="0"/>
              </w:rPr>
            </w:r>
          </w:p>
        </w:tc>
        <w:tc>
          <w:tcPr>
            <w:tcMar>
              <w:top w:w="90.0" w:type="dxa"/>
              <w:bottom w:w="90.0" w:type="dxa"/>
            </w:tcMar>
          </w:tcPr>
          <w:p w:rsidR="00000000" w:rsidDel="00000000" w:rsidP="00000000" w:rsidRDefault="00000000" w:rsidRPr="00000000" w14:paraId="0000005B">
            <w:pPr>
              <w:rPr/>
            </w:pPr>
            <w:r w:rsidDel="00000000" w:rsidR="00000000" w:rsidRPr="00000000">
              <w:rPr>
                <w:rFonts w:ascii="Aptos" w:cs="Aptos" w:eastAsia="Aptos" w:hAnsi="Aptos"/>
                <w:b w:val="0"/>
                <w:bCs w:val="0"/>
                <w:i w:val="0"/>
                <w:iCs w:val="0"/>
                <w:color w:val="202a33"/>
                <w:sz w:val="17"/>
                <w:szCs w:val="17"/>
                <w:rtl w:val="0"/>
              </w:rPr>
              <w:t xml:space="preserve">No relation</w:t>
            </w:r>
            <w:r w:rsidDel="00000000" w:rsidR="00000000" w:rsidRPr="00000000">
              <w:rPr>
                <w:rtl w:val="0"/>
              </w:rPr>
            </w:r>
          </w:p>
        </w:tc>
        <w:tc>
          <w:tcPr>
            <w:tcMar>
              <w:top w:w="90.0" w:type="dxa"/>
              <w:bottom w:w="90.0" w:type="dxa"/>
            </w:tcMar>
          </w:tcPr>
          <w:p w:rsidR="00000000" w:rsidDel="00000000" w:rsidP="00000000" w:rsidRDefault="00000000" w:rsidRPr="00000000" w14:paraId="0000005C">
            <w:pPr>
              <w:rPr/>
            </w:pPr>
            <w:r w:rsidDel="00000000" w:rsidR="00000000" w:rsidRPr="00000000">
              <w:rPr>
                <w:rFonts w:ascii="Aptos" w:cs="Aptos" w:eastAsia="Aptos" w:hAnsi="Aptos"/>
                <w:b w:val="0"/>
                <w:bCs w:val="0"/>
                <w:i w:val="0"/>
                <w:iCs w:val="0"/>
                <w:color w:val="202a33"/>
                <w:sz w:val="17"/>
                <w:szCs w:val="17"/>
                <w:rtl w:val="0"/>
              </w:rPr>
              <w:t xml:space="preserve">Changes in two fields are empirically independent within the tested design.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5D">
            <w:pPr>
              <w:rPr/>
            </w:pPr>
            <w:r w:rsidDel="00000000" w:rsidR="00000000" w:rsidRPr="00000000">
              <w:rPr>
                <w:rFonts w:ascii="Aptos" w:cs="Aptos" w:eastAsia="Aptos" w:hAnsi="Aptos"/>
                <w:b w:val="1"/>
                <w:bCs w:val="1"/>
                <w:i w:val="0"/>
                <w:iCs w:val="0"/>
                <w:color w:val="202a33"/>
                <w:sz w:val="17"/>
                <w:szCs w:val="17"/>
                <w:rtl w:val="0"/>
              </w:rPr>
              <w:t xml:space="preserve">Class 1</w:t>
            </w:r>
            <w:r w:rsidDel="00000000" w:rsidR="00000000" w:rsidRPr="00000000">
              <w:rPr>
                <w:rtl w:val="0"/>
              </w:rPr>
            </w:r>
          </w:p>
        </w:tc>
        <w:tc>
          <w:tcPr>
            <w:tcMar>
              <w:top w:w="90.0" w:type="dxa"/>
              <w:bottom w:w="90.0" w:type="dxa"/>
            </w:tcMar>
          </w:tcPr>
          <w:p w:rsidR="00000000" w:rsidDel="00000000" w:rsidP="00000000" w:rsidRDefault="00000000" w:rsidRPr="00000000" w14:paraId="0000005E">
            <w:pPr>
              <w:rPr/>
            </w:pPr>
            <w:r w:rsidDel="00000000" w:rsidR="00000000" w:rsidRPr="00000000">
              <w:rPr>
                <w:rFonts w:ascii="Aptos" w:cs="Aptos" w:eastAsia="Aptos" w:hAnsi="Aptos"/>
                <w:b w:val="0"/>
                <w:bCs w:val="0"/>
                <w:i w:val="0"/>
                <w:iCs w:val="0"/>
                <w:color w:val="202a33"/>
                <w:sz w:val="17"/>
                <w:szCs w:val="17"/>
                <w:rtl w:val="0"/>
              </w:rPr>
              <w:t xml:space="preserve">Common-shock co-movement</w:t>
            </w:r>
            <w:r w:rsidDel="00000000" w:rsidR="00000000" w:rsidRPr="00000000">
              <w:rPr>
                <w:rtl w:val="0"/>
              </w:rPr>
            </w:r>
          </w:p>
        </w:tc>
        <w:tc>
          <w:tcPr>
            <w:tcMar>
              <w:top w:w="90.0" w:type="dxa"/>
              <w:bottom w:w="90.0" w:type="dxa"/>
            </w:tcMar>
          </w:tcPr>
          <w:p w:rsidR="00000000" w:rsidDel="00000000" w:rsidP="00000000" w:rsidRDefault="00000000" w:rsidRPr="00000000" w14:paraId="0000005F">
            <w:pPr>
              <w:rPr/>
            </w:pPr>
            <w:r w:rsidDel="00000000" w:rsidR="00000000" w:rsidRPr="00000000">
              <w:rPr>
                <w:rFonts w:ascii="Aptos" w:cs="Aptos" w:eastAsia="Aptos" w:hAnsi="Aptos"/>
                <w:b w:val="0"/>
                <w:bCs w:val="0"/>
                <w:i w:val="0"/>
                <w:iCs w:val="0"/>
                <w:color w:val="202a33"/>
                <w:sz w:val="17"/>
                <w:szCs w:val="17"/>
                <w:rtl w:val="0"/>
              </w:rPr>
              <w:t xml:space="preserve">Two fields change because both respond to C(t), not because one transmits into the other.</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60">
            <w:pPr>
              <w:rPr/>
            </w:pPr>
            <w:r w:rsidDel="00000000" w:rsidR="00000000" w:rsidRPr="00000000">
              <w:rPr>
                <w:rFonts w:ascii="Aptos" w:cs="Aptos" w:eastAsia="Aptos" w:hAnsi="Aptos"/>
                <w:b w:val="1"/>
                <w:bCs w:val="1"/>
                <w:i w:val="0"/>
                <w:iCs w:val="0"/>
                <w:color w:val="202a33"/>
                <w:sz w:val="17"/>
                <w:szCs w:val="17"/>
                <w:rtl w:val="0"/>
              </w:rPr>
              <w:t xml:space="preserve">Class 2</w:t>
            </w:r>
            <w:r w:rsidDel="00000000" w:rsidR="00000000" w:rsidRPr="00000000">
              <w:rPr>
                <w:rtl w:val="0"/>
              </w:rPr>
            </w:r>
          </w:p>
        </w:tc>
        <w:tc>
          <w:tcPr>
            <w:tcMar>
              <w:top w:w="90.0" w:type="dxa"/>
              <w:bottom w:w="90.0" w:type="dxa"/>
            </w:tcMar>
          </w:tcPr>
          <w:p w:rsidR="00000000" w:rsidDel="00000000" w:rsidP="00000000" w:rsidRDefault="00000000" w:rsidRPr="00000000" w14:paraId="00000061">
            <w:pPr>
              <w:rPr/>
            </w:pPr>
            <w:r w:rsidDel="00000000" w:rsidR="00000000" w:rsidRPr="00000000">
              <w:rPr>
                <w:rFonts w:ascii="Aptos" w:cs="Aptos" w:eastAsia="Aptos" w:hAnsi="Aptos"/>
                <w:b w:val="0"/>
                <w:bCs w:val="0"/>
                <w:i w:val="0"/>
                <w:iCs w:val="0"/>
                <w:color w:val="202a33"/>
                <w:sz w:val="17"/>
                <w:szCs w:val="17"/>
                <w:rtl w:val="0"/>
              </w:rPr>
              <w:t xml:space="preserve">Association</w:t>
            </w:r>
            <w:r w:rsidDel="00000000" w:rsidR="00000000" w:rsidRPr="00000000">
              <w:rPr>
                <w:rtl w:val="0"/>
              </w:rPr>
            </w:r>
          </w:p>
        </w:tc>
        <w:tc>
          <w:tcPr>
            <w:tcMar>
              <w:top w:w="90.0" w:type="dxa"/>
              <w:bottom w:w="90.0" w:type="dxa"/>
            </w:tcMar>
          </w:tcPr>
          <w:p w:rsidR="00000000" w:rsidDel="00000000" w:rsidP="00000000" w:rsidRDefault="00000000" w:rsidRPr="00000000" w14:paraId="00000062">
            <w:pPr>
              <w:rPr/>
            </w:pPr>
            <w:r w:rsidDel="00000000" w:rsidR="00000000" w:rsidRPr="00000000">
              <w:rPr>
                <w:rFonts w:ascii="Aptos" w:cs="Aptos" w:eastAsia="Aptos" w:hAnsi="Aptos"/>
                <w:b w:val="0"/>
                <w:bCs w:val="0"/>
                <w:i w:val="0"/>
                <w:iCs w:val="0"/>
                <w:color w:val="202a33"/>
                <w:sz w:val="17"/>
                <w:szCs w:val="17"/>
                <w:rtl w:val="0"/>
              </w:rPr>
              <w:t xml:space="preserve">The fields covary after basic controls, but direction and mechanism remain unresolved.</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63">
            <w:pPr>
              <w:rPr/>
            </w:pPr>
            <w:r w:rsidDel="00000000" w:rsidR="00000000" w:rsidRPr="00000000">
              <w:rPr>
                <w:rFonts w:ascii="Aptos" w:cs="Aptos" w:eastAsia="Aptos" w:hAnsi="Aptos"/>
                <w:b w:val="1"/>
                <w:bCs w:val="1"/>
                <w:i w:val="0"/>
                <w:iCs w:val="0"/>
                <w:color w:val="202a33"/>
                <w:sz w:val="17"/>
                <w:szCs w:val="17"/>
                <w:rtl w:val="0"/>
              </w:rPr>
              <w:t xml:space="preserve">Class 3</w:t>
            </w:r>
            <w:r w:rsidDel="00000000" w:rsidR="00000000" w:rsidRPr="00000000">
              <w:rPr>
                <w:rtl w:val="0"/>
              </w:rPr>
            </w:r>
          </w:p>
        </w:tc>
        <w:tc>
          <w:tcPr>
            <w:tcMar>
              <w:top w:w="90.0" w:type="dxa"/>
              <w:bottom w:w="90.0" w:type="dxa"/>
            </w:tcMar>
          </w:tcPr>
          <w:p w:rsidR="00000000" w:rsidDel="00000000" w:rsidP="00000000" w:rsidRDefault="00000000" w:rsidRPr="00000000" w14:paraId="00000064">
            <w:pPr>
              <w:rPr/>
            </w:pPr>
            <w:r w:rsidDel="00000000" w:rsidR="00000000" w:rsidRPr="00000000">
              <w:rPr>
                <w:rFonts w:ascii="Aptos" w:cs="Aptos" w:eastAsia="Aptos" w:hAnsi="Aptos"/>
                <w:b w:val="0"/>
                <w:bCs w:val="0"/>
                <w:i w:val="0"/>
                <w:iCs w:val="0"/>
                <w:color w:val="202a33"/>
                <w:sz w:val="17"/>
                <w:szCs w:val="17"/>
                <w:rtl w:val="0"/>
              </w:rPr>
              <w:t xml:space="preserve">Mediated transmission</w:t>
            </w:r>
            <w:r w:rsidDel="00000000" w:rsidR="00000000" w:rsidRPr="00000000">
              <w:rPr>
                <w:rtl w:val="0"/>
              </w:rPr>
            </w:r>
          </w:p>
        </w:tc>
        <w:tc>
          <w:tcPr>
            <w:tcMar>
              <w:top w:w="90.0" w:type="dxa"/>
              <w:bottom w:w="90.0" w:type="dxa"/>
            </w:tcMar>
          </w:tcPr>
          <w:p w:rsidR="00000000" w:rsidDel="00000000" w:rsidP="00000000" w:rsidRDefault="00000000" w:rsidRPr="00000000" w14:paraId="00000065">
            <w:pPr>
              <w:rPr/>
            </w:pPr>
            <w:r w:rsidDel="00000000" w:rsidR="00000000" w:rsidRPr="00000000">
              <w:rPr>
                <w:rFonts w:ascii="Aptos" w:cs="Aptos" w:eastAsia="Aptos" w:hAnsi="Aptos"/>
                <w:b w:val="0"/>
                <w:bCs w:val="0"/>
                <w:i w:val="0"/>
                <w:iCs w:val="0"/>
                <w:color w:val="202a33"/>
                <w:sz w:val="17"/>
                <w:szCs w:val="17"/>
                <w:rtl w:val="0"/>
              </w:rPr>
              <w:t xml:space="preserve">Temporal ordering and a measurable M_ij connect source and receiver, with evidence that the intermediate mechanism changes as predicted.</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66">
            <w:pPr>
              <w:rPr/>
            </w:pPr>
            <w:r w:rsidDel="00000000" w:rsidR="00000000" w:rsidRPr="00000000">
              <w:rPr>
                <w:rFonts w:ascii="Aptos" w:cs="Aptos" w:eastAsia="Aptos" w:hAnsi="Aptos"/>
                <w:b w:val="1"/>
                <w:bCs w:val="1"/>
                <w:i w:val="0"/>
                <w:iCs w:val="0"/>
                <w:color w:val="202a33"/>
                <w:sz w:val="17"/>
                <w:szCs w:val="17"/>
                <w:rtl w:val="0"/>
              </w:rPr>
              <w:t xml:space="preserve">Class 4</w:t>
            </w:r>
            <w:r w:rsidDel="00000000" w:rsidR="00000000" w:rsidRPr="00000000">
              <w:rPr>
                <w:rtl w:val="0"/>
              </w:rPr>
            </w:r>
          </w:p>
        </w:tc>
        <w:tc>
          <w:tcPr>
            <w:tcMar>
              <w:top w:w="90.0" w:type="dxa"/>
              <w:bottom w:w="90.0" w:type="dxa"/>
            </w:tcMar>
          </w:tcPr>
          <w:p w:rsidR="00000000" w:rsidDel="00000000" w:rsidP="00000000" w:rsidRDefault="00000000" w:rsidRPr="00000000" w14:paraId="00000067">
            <w:pPr>
              <w:rPr/>
            </w:pPr>
            <w:r w:rsidDel="00000000" w:rsidR="00000000" w:rsidRPr="00000000">
              <w:rPr>
                <w:rFonts w:ascii="Aptos" w:cs="Aptos" w:eastAsia="Aptos" w:hAnsi="Aptos"/>
                <w:b w:val="0"/>
                <w:bCs w:val="0"/>
                <w:i w:val="0"/>
                <w:iCs w:val="0"/>
                <w:color w:val="202a33"/>
                <w:sz w:val="17"/>
                <w:szCs w:val="17"/>
                <w:rtl w:val="0"/>
              </w:rPr>
              <w:t xml:space="preserve">Recursive coupling</w:t>
            </w:r>
            <w:r w:rsidDel="00000000" w:rsidR="00000000" w:rsidRPr="00000000">
              <w:rPr>
                <w:rtl w:val="0"/>
              </w:rPr>
            </w:r>
          </w:p>
        </w:tc>
        <w:tc>
          <w:tcPr>
            <w:tcMar>
              <w:top w:w="90.0" w:type="dxa"/>
              <w:bottom w:w="90.0" w:type="dxa"/>
            </w:tcMar>
          </w:tcPr>
          <w:p w:rsidR="00000000" w:rsidDel="00000000" w:rsidP="00000000" w:rsidRDefault="00000000" w:rsidRPr="00000000" w14:paraId="00000068">
            <w:pPr>
              <w:rPr/>
            </w:pPr>
            <w:r w:rsidDel="00000000" w:rsidR="00000000" w:rsidRPr="00000000">
              <w:rPr>
                <w:rFonts w:ascii="Aptos" w:cs="Aptos" w:eastAsia="Aptos" w:hAnsi="Aptos"/>
                <w:b w:val="0"/>
                <w:bCs w:val="0"/>
                <w:i w:val="0"/>
                <w:iCs w:val="0"/>
                <w:color w:val="202a33"/>
                <w:sz w:val="17"/>
                <w:szCs w:val="17"/>
                <w:rtl w:val="0"/>
              </w:rPr>
              <w:t xml:space="preserve">i affects j and a later state of j feeds back into i, producing a loop that survives identification and robustness tests.</w:t>
            </w:r>
            <w:r w:rsidDel="00000000" w:rsidR="00000000" w:rsidRPr="00000000">
              <w:rPr>
                <w:rtl w:val="0"/>
              </w:rPr>
            </w:r>
          </w:p>
        </w:tc>
      </w:tr>
    </w:tbl>
    <w:p w:rsidR="00000000" w:rsidDel="00000000" w:rsidP="00000000" w:rsidRDefault="00000000" w:rsidRPr="00000000" w14:paraId="00000069">
      <w:pPr>
        <w:widowControl w:val="1"/>
        <w:rPr/>
      </w:pPr>
      <w:r w:rsidDel="00000000" w:rsidR="00000000" w:rsidRPr="00000000">
        <w:rPr>
          <w:rtl w:val="0"/>
        </w:rPr>
        <w:t xml:space="preserve">Only Classes 3 and 4 qualify as strong propagation claims. Class 2 can motivate research but cannot be narrated as a causal chain.</w:t>
      </w:r>
    </w:p>
    <w:p w:rsidR="00000000" w:rsidDel="00000000" w:rsidP="00000000" w:rsidRDefault="00000000" w:rsidRPr="00000000" w14:paraId="0000006A">
      <w:pPr>
        <w:pStyle w:val="Heading1"/>
        <w:rPr/>
      </w:pPr>
      <w:r w:rsidDel="00000000" w:rsidR="00000000" w:rsidRPr="00000000">
        <w:rPr>
          <w:rtl w:val="0"/>
        </w:rPr>
        <w:t xml:space="preserve">6. Direction, Lag, Transformation, and Scale</w:t>
      </w:r>
    </w:p>
    <w:p w:rsidR="00000000" w:rsidDel="00000000" w:rsidP="00000000" w:rsidRDefault="00000000" w:rsidRPr="00000000" w14:paraId="0000006B">
      <w:pPr>
        <w:pStyle w:val="Heading2"/>
        <w:rPr/>
      </w:pPr>
      <w:r w:rsidDel="00000000" w:rsidR="00000000" w:rsidRPr="00000000">
        <w:rPr>
          <w:rtl w:val="0"/>
        </w:rPr>
        <w:t xml:space="preserve">6.1 Direction</w:t>
      </w:r>
    </w:p>
    <w:p w:rsidR="00000000" w:rsidDel="00000000" w:rsidP="00000000" w:rsidRDefault="00000000" w:rsidRPr="00000000" w14:paraId="0000006C">
      <w:pPr>
        <w:widowControl w:val="1"/>
        <w:rPr/>
      </w:pPr>
      <w:r w:rsidDel="00000000" w:rsidR="00000000" w:rsidRPr="00000000">
        <w:rPr>
          <w:rtl w:val="0"/>
        </w:rPr>
        <w:t xml:space="preserve">Every registered bridge has an ordered source and receiver. Bidirectionality must be demonstrated as two directional relations, not inferred from correlation.</w:t>
      </w:r>
    </w:p>
    <w:p w:rsidR="00000000" w:rsidDel="00000000" w:rsidP="00000000" w:rsidRDefault="00000000" w:rsidRPr="00000000" w14:paraId="0000006D">
      <w:pPr>
        <w:keepNext w:val="0"/>
        <w:keepLines w:val="1"/>
        <w:pageBreakBefore w:val="0"/>
        <w:widowControl w:val="1"/>
        <w:pBdr>
          <w:top w:space="0" w:sz="0" w:val="nil"/>
          <w:left w:space="0" w:sz="0" w:val="nil"/>
          <w:bottom w:space="0" w:sz="0" w:val="nil"/>
          <w:right w:space="0" w:sz="0" w:val="nil"/>
          <w:between w:space="0" w:sz="0" w:val="nil"/>
        </w:pBdr>
        <w:shd w:fill="f4f7f9" w:val="clear"/>
        <w:spacing w:after="140" w:before="100" w:line="276" w:lineRule="auto"/>
        <w:ind w:left="0" w:right="0" w:firstLine="0"/>
        <w:jc w:val="center"/>
        <w:rPr>
          <w:rFonts w:ascii="Cambria Math" w:cs="Cambria Math" w:eastAsia="Cambria Math" w:hAnsi="Cambria Math"/>
          <w:b w:val="0"/>
          <w:bCs w:val="0"/>
          <w:i w:val="0"/>
          <w:iCs w:val="0"/>
          <w:smallCaps w:val="0"/>
          <w:strike w:val="0"/>
          <w:color w:val="17324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7324d"/>
          <w:sz w:val="22"/>
          <w:szCs w:val="22"/>
          <w:u w:val="none"/>
          <w:shd w:fill="auto" w:val="clear"/>
          <w:vertAlign w:val="baseline"/>
          <w:rtl w:val="0"/>
        </w:rPr>
        <w:t xml:space="preserve">i → j ≠ i ↔ j</w:t>
      </w:r>
    </w:p>
    <w:p w:rsidR="00000000" w:rsidDel="00000000" w:rsidP="00000000" w:rsidRDefault="00000000" w:rsidRPr="00000000" w14:paraId="0000006E">
      <w:pPr>
        <w:pStyle w:val="Heading2"/>
        <w:rPr/>
      </w:pPr>
      <w:r w:rsidDel="00000000" w:rsidR="00000000" w:rsidRPr="00000000">
        <w:rPr>
          <w:rtl w:val="0"/>
        </w:rPr>
        <w:t xml:space="preserve">6.2 Lag</w:t>
      </w:r>
    </w:p>
    <w:p w:rsidR="00000000" w:rsidDel="00000000" w:rsidP="00000000" w:rsidRDefault="00000000" w:rsidRPr="00000000" w14:paraId="0000006F">
      <w:pPr>
        <w:pStyle w:val="Heading2"/>
        <w:rPr/>
      </w:pPr>
      <w:r w:rsidDel="00000000" w:rsidR="00000000" w:rsidRPr="00000000">
        <w:rPr>
          <w:rtl w:val="0"/>
        </w:rPr>
        <w:t xml:space="preserve">6.3 Transformation</w:t>
      </w:r>
    </w:p>
    <w:p w:rsidR="00000000" w:rsidDel="00000000" w:rsidP="00000000" w:rsidRDefault="00000000" w:rsidRPr="00000000" w14:paraId="00000070">
      <w:pPr>
        <w:widowControl w:val="1"/>
        <w:rPr/>
      </w:pPr>
      <w:r w:rsidDel="00000000" w:rsidR="00000000" w:rsidRPr="00000000">
        <w:rPr>
          <w:rtl w:val="0"/>
        </w:rPr>
        <w:t xml:space="preserve">Propagation does not require the downstream variable to resemble the upstream variable. Financial pressure can propagate into time scarcity; time scarcity into cognitive load; cognitive load into learning conditions. The invariant is the transmission mechanism, not semantic similarity of outcomes.</w:t>
      </w:r>
    </w:p>
    <w:p w:rsidR="00000000" w:rsidDel="00000000" w:rsidP="00000000" w:rsidRDefault="00000000" w:rsidRPr="00000000" w14:paraId="00000071">
      <w:pPr>
        <w:pStyle w:val="Heading2"/>
        <w:rPr/>
      </w:pPr>
      <w:r w:rsidDel="00000000" w:rsidR="00000000" w:rsidRPr="00000000">
        <w:rPr>
          <w:rtl w:val="0"/>
        </w:rPr>
        <w:t xml:space="preserve">6.4 Scale</w:t>
      </w:r>
    </w:p>
    <w:p w:rsidR="00000000" w:rsidDel="00000000" w:rsidP="00000000" w:rsidRDefault="00000000" w:rsidRPr="00000000" w14:paraId="00000072">
      <w:pPr>
        <w:widowControl w:val="1"/>
        <w:rPr/>
      </w:pPr>
      <w:r w:rsidDel="00000000" w:rsidR="00000000" w:rsidRPr="00000000">
        <w:rPr>
          <w:rtl w:val="0"/>
        </w:rPr>
        <w:t xml:space="preserve">A bridge must specify its unit of analysis. Individual, household, institution, municipality, province, country, industry, and platform-level processes cannot be mixed without an explicit multilevel model. Ecological and atomistic fallacies count as integration failures.</w:t>
      </w:r>
    </w:p>
    <w:p w:rsidR="00000000" w:rsidDel="00000000" w:rsidP="00000000" w:rsidRDefault="00000000" w:rsidRPr="00000000" w14:paraId="00000073">
      <w:pPr>
        <w:pStyle w:val="Heading1"/>
        <w:rPr/>
      </w:pPr>
      <w:r w:rsidDel="00000000" w:rsidR="00000000" w:rsidRPr="00000000">
        <w:rPr>
          <w:rtl w:val="0"/>
        </w:rPr>
        <w:t xml:space="preserve">7. The Canonical Interaction Architecture</w:t>
      </w:r>
    </w:p>
    <w:p w:rsidR="00000000" w:rsidDel="00000000" w:rsidP="00000000" w:rsidRDefault="00000000" w:rsidRPr="00000000" w14:paraId="00000074">
      <w:pPr>
        <w:widowControl w:val="1"/>
        <w:rPr/>
      </w:pPr>
      <w:r w:rsidDel="00000000" w:rsidR="00000000" w:rsidRPr="00000000">
        <w:rPr>
          <w:rtl w:val="0"/>
        </w:rPr>
        <w:t xml:space="preserve">The post-gauntlet canon is organized as twenty-three full fields and three specialized subfields. The full-field nodes are Institutional Cognition; SR-IGF; Collapse Governance; Drift Collapse Field; Systems Propagation Science; SR-CEIDF; SR Algorithm Field; Infrastructural Political Economy; Infrastructural Overshoot; System Inheritance Studies; Collapse Epistemology; SR Research Incentive Field; Collapse Psychology; Collapse Sociology; SR Anthropology; Collapse Demography; Childhood Cognitive Infrastructure Studies; Infrastructural Medicine; Collapse Criminology; Post-Web Jurisprudence; Collapse Religion; Collapse Economics; and Collapse Society. The specialized subfields are the SR Matrix Field, the SR Policy Substrate Field, and Structural Restoration Dynamics.</w:t>
      </w:r>
    </w:p>
    <w:p w:rsidR="00000000" w:rsidDel="00000000" w:rsidP="00000000" w:rsidRDefault="00000000" w:rsidRPr="00000000" w14:paraId="00000075">
      <w:pPr>
        <w:widowControl w:val="1"/>
        <w:rPr/>
      </w:pPr>
      <w:r w:rsidDel="00000000" w:rsidR="00000000" w:rsidRPr="00000000">
        <w:rPr>
          <w:rtl w:val="0"/>
        </w:rPr>
        <w:t xml:space="preserve">Causal Separation and Measurement is not treated as an ordinary causal node. It governs identification across every edge. Systems Propagation Science is the formal study of the edges themselves. The remaining fields can function as sources, receivers, mediators, moderators, or feedback nodes depending on the case. Pillar membership groups interfaces; it does not merge field identity.</w:t>
      </w:r>
    </w:p>
    <w:p w:rsidR="00000000" w:rsidDel="00000000" w:rsidP="00000000" w:rsidRDefault="00000000" w:rsidRPr="00000000" w14:paraId="00000076">
      <w:pPr>
        <w:pStyle w:val="Heading1"/>
        <w:rPr/>
      </w:pPr>
      <w:r w:rsidDel="00000000" w:rsidR="00000000" w:rsidRPr="00000000">
        <w:rPr>
          <w:rtl w:val="0"/>
        </w:rPr>
        <w:t xml:space="preserve">8. High-Priority Canonical Bridges</w:t>
      </w:r>
    </w:p>
    <w:p w:rsidR="00000000" w:rsidDel="00000000" w:rsidP="00000000" w:rsidRDefault="00000000" w:rsidRPr="00000000" w14:paraId="00000077">
      <w:pPr>
        <w:pStyle w:val="Heading2"/>
        <w:rPr/>
      </w:pPr>
      <w:sdt>
        <w:sdtPr>
          <w:id w:val="1777045755"/>
          <w:tag w:val="goog_rdk_0"/>
        </w:sdtPr>
        <w:sdtContent>
          <w:r w:rsidDel="00000000" w:rsidR="00000000" w:rsidRPr="00000000">
            <w:rPr>
              <w:rFonts w:ascii="Arial Unicode MS" w:cs="Arial Unicode MS" w:eastAsia="Arial Unicode MS" w:hAnsi="Arial Unicode MS"/>
              <w:rtl w:val="0"/>
            </w:rPr>
            <w:t xml:space="preserve">8.1 Infrastructure Dependency → Effective Agency → Governance Capacity</w:t>
          </w:r>
        </w:sdtContent>
      </w:sdt>
    </w:p>
    <w:p w:rsidR="00000000" w:rsidDel="00000000" w:rsidP="00000000" w:rsidRDefault="00000000" w:rsidRPr="00000000" w14:paraId="00000078">
      <w:pPr>
        <w:keepNext w:val="0"/>
        <w:keepLines w:val="1"/>
        <w:pageBreakBefore w:val="0"/>
        <w:widowControl w:val="1"/>
        <w:pBdr>
          <w:top w:space="0" w:sz="0" w:val="nil"/>
          <w:left w:space="0" w:sz="0" w:val="nil"/>
          <w:bottom w:space="0" w:sz="0" w:val="nil"/>
          <w:right w:space="0" w:sz="0" w:val="nil"/>
          <w:between w:space="0" w:sz="0" w:val="nil"/>
        </w:pBdr>
        <w:shd w:fill="eaf0f4" w:val="clear"/>
        <w:spacing w:after="160" w:before="80" w:line="276" w:lineRule="auto"/>
        <w:ind w:left="0" w:right="0" w:firstLine="0"/>
        <w:jc w:val="center"/>
        <w:rPr>
          <w:rFonts w:ascii="Play" w:cs="Play" w:eastAsia="Play" w:hAnsi="Play"/>
          <w:b w:val="1"/>
          <w:bCs w:val="1"/>
          <w:i w:val="0"/>
          <w:iCs w:val="0"/>
          <w:smallCaps w:val="0"/>
          <w:strike w:val="0"/>
          <w:color w:val="17324d"/>
          <w:sz w:val="21"/>
          <w:szCs w:val="21"/>
          <w:u w:val="none"/>
          <w:shd w:fill="auto" w:val="clear"/>
          <w:vertAlign w:val="baseline"/>
        </w:rPr>
      </w:pPr>
      <w:sdt>
        <w:sdtPr>
          <w:id w:val="2120161405"/>
          <w:tag w:val="goog_rdk_1"/>
        </w:sdtPr>
        <w:sdtContent>
          <w:r w:rsidDel="00000000" w:rsidR="00000000" w:rsidRPr="00000000">
            <w:rPr>
              <w:rFonts w:ascii="Arial Unicode MS" w:cs="Arial Unicode MS" w:eastAsia="Arial Unicode MS" w:hAnsi="Arial Unicode MS"/>
              <w:b w:val="1"/>
              <w:bCs w:val="1"/>
              <w:i w:val="0"/>
              <w:iCs w:val="0"/>
              <w:smallCaps w:val="0"/>
              <w:strike w:val="0"/>
              <w:color w:val="17324d"/>
              <w:sz w:val="21"/>
              <w:szCs w:val="21"/>
              <w:u w:val="none"/>
              <w:shd w:fill="auto" w:val="clear"/>
              <w:vertAlign w:val="baseline"/>
              <w:rtl w:val="0"/>
            </w:rPr>
            <w:t xml:space="preserve">Infrastructure Dependency ↑ → Substitution Capacity ↓ → Effective Agency ↓ → Implementation Vulnerability ↑</w:t>
          </w:r>
        </w:sdtContent>
      </w:sdt>
    </w:p>
    <w:p w:rsidR="00000000" w:rsidDel="00000000" w:rsidP="00000000" w:rsidRDefault="00000000" w:rsidRPr="00000000" w14:paraId="00000079">
      <w:pPr>
        <w:widowControl w:val="1"/>
        <w:rPr/>
      </w:pPr>
      <w:r w:rsidDel="00000000" w:rsidR="00000000" w:rsidRPr="00000000">
        <w:rPr>
          <w:rtl w:val="0"/>
        </w:rPr>
        <w:t xml:space="preserve">This bridge connects Infrastructural Political Economy to governance. The empirical test requires dependency measures, substitution capacity, observed policy or service execution, and comparison against formal legal authority. A failure to observe lower effective agency under otherwise comparable dependency conditions weakens the bridge.</w:t>
      </w:r>
    </w:p>
    <w:p w:rsidR="00000000" w:rsidDel="00000000" w:rsidP="00000000" w:rsidRDefault="00000000" w:rsidRPr="00000000" w14:paraId="0000007A">
      <w:pPr>
        <w:pStyle w:val="Heading2"/>
        <w:rPr/>
      </w:pPr>
      <w:sdt>
        <w:sdtPr>
          <w:id w:val="721110717"/>
          <w:tag w:val="goog_rdk_2"/>
        </w:sdtPr>
        <w:sdtContent>
          <w:r w:rsidDel="00000000" w:rsidR="00000000" w:rsidRPr="00000000">
            <w:rPr>
              <w:rFonts w:ascii="Arial Unicode MS" w:cs="Arial Unicode MS" w:eastAsia="Arial Unicode MS" w:hAnsi="Arial Unicode MS"/>
              <w:rtl w:val="0"/>
            </w:rPr>
            <w:t xml:space="preserve">8.2 AI/Visibility Infrastructure → Knowledge Selection → Institutional Cognition</w:t>
          </w:r>
        </w:sdtContent>
      </w:sdt>
    </w:p>
    <w:p w:rsidR="00000000" w:rsidDel="00000000" w:rsidP="00000000" w:rsidRDefault="00000000" w:rsidRPr="00000000" w14:paraId="0000007B">
      <w:pPr>
        <w:keepNext w:val="0"/>
        <w:keepLines w:val="1"/>
        <w:pageBreakBefore w:val="0"/>
        <w:widowControl w:val="1"/>
        <w:pBdr>
          <w:top w:space="0" w:sz="0" w:val="nil"/>
          <w:left w:space="0" w:sz="0" w:val="nil"/>
          <w:bottom w:space="0" w:sz="0" w:val="nil"/>
          <w:right w:space="0" w:sz="0" w:val="nil"/>
          <w:between w:space="0" w:sz="0" w:val="nil"/>
        </w:pBdr>
        <w:shd w:fill="eaf0f4" w:val="clear"/>
        <w:spacing w:after="160" w:before="80" w:line="276" w:lineRule="auto"/>
        <w:ind w:left="0" w:right="0" w:firstLine="0"/>
        <w:jc w:val="center"/>
        <w:rPr>
          <w:rFonts w:ascii="Play" w:cs="Play" w:eastAsia="Play" w:hAnsi="Play"/>
          <w:b w:val="1"/>
          <w:bCs w:val="1"/>
          <w:i w:val="0"/>
          <w:iCs w:val="0"/>
          <w:smallCaps w:val="0"/>
          <w:strike w:val="0"/>
          <w:color w:val="17324d"/>
          <w:sz w:val="21"/>
          <w:szCs w:val="21"/>
          <w:u w:val="none"/>
          <w:shd w:fill="auto" w:val="clear"/>
          <w:vertAlign w:val="baseline"/>
        </w:rPr>
      </w:pPr>
      <w:sdt>
        <w:sdtPr>
          <w:id w:val="711810447"/>
          <w:tag w:val="goog_rdk_3"/>
        </w:sdtPr>
        <w:sdtContent>
          <w:r w:rsidDel="00000000" w:rsidR="00000000" w:rsidRPr="00000000">
            <w:rPr>
              <w:rFonts w:ascii="Arial Unicode MS" w:cs="Arial Unicode MS" w:eastAsia="Arial Unicode MS" w:hAnsi="Arial Unicode MS"/>
              <w:b w:val="1"/>
              <w:bCs w:val="1"/>
              <w:i w:val="0"/>
              <w:iCs w:val="0"/>
              <w:smallCaps w:val="0"/>
              <w:strike w:val="0"/>
              <w:color w:val="17324d"/>
              <w:sz w:val="21"/>
              <w:szCs w:val="21"/>
              <w:u w:val="none"/>
              <w:shd w:fill="auto" w:val="clear"/>
              <w:vertAlign w:val="baseline"/>
              <w:rtl w:val="0"/>
            </w:rPr>
            <w:t xml:space="preserve">Platform/Model Mediation → Visibility or Selection Change → Institutional Information Set → Decision Encoding</w:t>
          </w:r>
        </w:sdtContent>
      </w:sdt>
    </w:p>
    <w:p w:rsidR="00000000" w:rsidDel="00000000" w:rsidP="00000000" w:rsidRDefault="00000000" w:rsidRPr="00000000" w14:paraId="0000007C">
      <w:pPr>
        <w:widowControl w:val="1"/>
        <w:rPr/>
      </w:pPr>
      <w:r w:rsidDel="00000000" w:rsidR="00000000" w:rsidRPr="00000000">
        <w:rPr>
          <w:rtl w:val="0"/>
        </w:rPr>
        <w:t xml:space="preserve">This chain tests whether changes in indexing, ranking, model mediation, or algorithmic selection alter what institutions can see and subsequently how they classify or respond. Evidence must distinguish platform effects from broader media, organizational, or political changes.</w:t>
      </w:r>
    </w:p>
    <w:p w:rsidR="00000000" w:rsidDel="00000000" w:rsidP="00000000" w:rsidRDefault="00000000" w:rsidRPr="00000000" w14:paraId="0000007D">
      <w:pPr>
        <w:pStyle w:val="Heading2"/>
        <w:rPr/>
      </w:pPr>
      <w:sdt>
        <w:sdtPr>
          <w:id w:val="-1771807341"/>
          <w:tag w:val="goog_rdk_4"/>
        </w:sdtPr>
        <w:sdtContent>
          <w:r w:rsidDel="00000000" w:rsidR="00000000" w:rsidRPr="00000000">
            <w:rPr>
              <w:rFonts w:ascii="Arial Unicode MS" w:cs="Arial Unicode MS" w:eastAsia="Arial Unicode MS" w:hAnsi="Arial Unicode MS"/>
              <w:rtl w:val="0"/>
            </w:rPr>
            <w:t xml:space="preserve">8.3 Material/Economic Pressure → Household Constraint → Human Capacity</w:t>
          </w:r>
        </w:sdtContent>
      </w:sdt>
    </w:p>
    <w:p w:rsidR="00000000" w:rsidDel="00000000" w:rsidP="00000000" w:rsidRDefault="00000000" w:rsidRPr="00000000" w14:paraId="0000007E">
      <w:pPr>
        <w:keepNext w:val="0"/>
        <w:keepLines w:val="1"/>
        <w:pageBreakBefore w:val="0"/>
        <w:widowControl w:val="1"/>
        <w:pBdr>
          <w:top w:space="0" w:sz="0" w:val="nil"/>
          <w:left w:space="0" w:sz="0" w:val="nil"/>
          <w:bottom w:space="0" w:sz="0" w:val="nil"/>
          <w:right w:space="0" w:sz="0" w:val="nil"/>
          <w:between w:space="0" w:sz="0" w:val="nil"/>
        </w:pBdr>
        <w:shd w:fill="eaf0f4" w:val="clear"/>
        <w:spacing w:after="160" w:before="80" w:line="276" w:lineRule="auto"/>
        <w:ind w:left="0" w:right="0" w:firstLine="0"/>
        <w:jc w:val="center"/>
        <w:rPr>
          <w:rFonts w:ascii="Play" w:cs="Play" w:eastAsia="Play" w:hAnsi="Play"/>
          <w:b w:val="1"/>
          <w:bCs w:val="1"/>
          <w:i w:val="0"/>
          <w:iCs w:val="0"/>
          <w:smallCaps w:val="0"/>
          <w:strike w:val="0"/>
          <w:color w:val="17324d"/>
          <w:sz w:val="21"/>
          <w:szCs w:val="21"/>
          <w:u w:val="none"/>
          <w:shd w:fill="auto" w:val="clear"/>
          <w:vertAlign w:val="baseline"/>
        </w:rPr>
      </w:pPr>
      <w:sdt>
        <w:sdtPr>
          <w:id w:val="-1726183498"/>
          <w:tag w:val="goog_rdk_5"/>
        </w:sdtPr>
        <w:sdtContent>
          <w:r w:rsidDel="00000000" w:rsidR="00000000" w:rsidRPr="00000000">
            <w:rPr>
              <w:rFonts w:ascii="Arial Unicode MS" w:cs="Arial Unicode MS" w:eastAsia="Arial Unicode MS" w:hAnsi="Arial Unicode MS"/>
              <w:b w:val="1"/>
              <w:bCs w:val="1"/>
              <w:i w:val="0"/>
              <w:iCs w:val="0"/>
              <w:smallCaps w:val="0"/>
              <w:strike w:val="0"/>
              <w:color w:val="17324d"/>
              <w:sz w:val="21"/>
              <w:szCs w:val="21"/>
              <w:u w:val="none"/>
              <w:shd w:fill="auto" w:val="clear"/>
              <w:vertAlign w:val="baseline"/>
              <w:rtl w:val="0"/>
            </w:rPr>
            <w:t xml:space="preserve">Material Pressure → Budget/Time Constraint → Compensatory Labor → Cognitive or Temporal Depletion</w:t>
          </w:r>
        </w:sdtContent>
      </w:sdt>
    </w:p>
    <w:p w:rsidR="00000000" w:rsidDel="00000000" w:rsidP="00000000" w:rsidRDefault="00000000" w:rsidRPr="00000000" w14:paraId="0000007F">
      <w:pPr>
        <w:widowControl w:val="1"/>
        <w:rPr/>
      </w:pPr>
      <w:r w:rsidDel="00000000" w:rsidR="00000000" w:rsidRPr="00000000">
        <w:rPr>
          <w:rtl w:val="0"/>
        </w:rPr>
        <w:t xml:space="preserve">This bridge links economic and infrastructural conditions to Collapse Psychology without naturalizing debt, scarcity, or overwork as individual traits. The mechanism must be observed at household or person level; aggregate inflation and aggregate distress alone are insufficient.</w:t>
      </w:r>
    </w:p>
    <w:p w:rsidR="00000000" w:rsidDel="00000000" w:rsidP="00000000" w:rsidRDefault="00000000" w:rsidRPr="00000000" w14:paraId="00000080">
      <w:pPr>
        <w:pStyle w:val="Heading2"/>
        <w:rPr/>
      </w:pPr>
      <w:sdt>
        <w:sdtPr>
          <w:id w:val="-728698533"/>
          <w:tag w:val="goog_rdk_6"/>
        </w:sdtPr>
        <w:sdtContent>
          <w:r w:rsidDel="00000000" w:rsidR="00000000" w:rsidRPr="00000000">
            <w:rPr>
              <w:rFonts w:ascii="Arial Unicode MS" w:cs="Arial Unicode MS" w:eastAsia="Arial Unicode MS" w:hAnsi="Arial Unicode MS"/>
              <w:rtl w:val="0"/>
            </w:rPr>
            <w:t xml:space="preserve">8.4 Human Capacity → Childhood and Education</w:t>
          </w:r>
        </w:sdtContent>
      </w:sdt>
    </w:p>
    <w:p w:rsidR="00000000" w:rsidDel="00000000" w:rsidP="00000000" w:rsidRDefault="00000000" w:rsidRPr="00000000" w14:paraId="00000081">
      <w:pPr>
        <w:keepNext w:val="0"/>
        <w:keepLines w:val="1"/>
        <w:pageBreakBefore w:val="0"/>
        <w:widowControl w:val="1"/>
        <w:pBdr>
          <w:top w:space="0" w:sz="0" w:val="nil"/>
          <w:left w:space="0" w:sz="0" w:val="nil"/>
          <w:bottom w:space="0" w:sz="0" w:val="nil"/>
          <w:right w:space="0" w:sz="0" w:val="nil"/>
          <w:between w:space="0" w:sz="0" w:val="nil"/>
        </w:pBdr>
        <w:shd w:fill="eaf0f4" w:val="clear"/>
        <w:spacing w:after="160" w:before="80" w:line="276" w:lineRule="auto"/>
        <w:ind w:left="0" w:right="0" w:firstLine="0"/>
        <w:jc w:val="center"/>
        <w:rPr>
          <w:rFonts w:ascii="Play" w:cs="Play" w:eastAsia="Play" w:hAnsi="Play"/>
          <w:b w:val="1"/>
          <w:bCs w:val="1"/>
          <w:i w:val="0"/>
          <w:iCs w:val="0"/>
          <w:smallCaps w:val="0"/>
          <w:strike w:val="0"/>
          <w:color w:val="17324d"/>
          <w:sz w:val="21"/>
          <w:szCs w:val="21"/>
          <w:u w:val="none"/>
          <w:shd w:fill="auto" w:val="clear"/>
          <w:vertAlign w:val="baseline"/>
        </w:rPr>
      </w:pPr>
      <w:sdt>
        <w:sdtPr>
          <w:id w:val="550579880"/>
          <w:tag w:val="goog_rdk_7"/>
        </w:sdtPr>
        <w:sdtContent>
          <w:r w:rsidDel="00000000" w:rsidR="00000000" w:rsidRPr="00000000">
            <w:rPr>
              <w:rFonts w:ascii="Arial Unicode MS" w:cs="Arial Unicode MS" w:eastAsia="Arial Unicode MS" w:hAnsi="Arial Unicode MS"/>
              <w:b w:val="1"/>
              <w:bCs w:val="1"/>
              <w:i w:val="0"/>
              <w:iCs w:val="0"/>
              <w:smallCaps w:val="0"/>
              <w:strike w:val="0"/>
              <w:color w:val="17324d"/>
              <w:sz w:val="21"/>
              <w:szCs w:val="21"/>
              <w:u w:val="none"/>
              <w:shd w:fill="auto" w:val="clear"/>
              <w:vertAlign w:val="baseline"/>
              <w:rtl w:val="0"/>
            </w:rPr>
            <w:t xml:space="preserve">Household Time/Cognitive Capacity → Support Conditions → Learning Exposure → Educational Outcome</w:t>
          </w:r>
        </w:sdtContent>
      </w:sdt>
    </w:p>
    <w:p w:rsidR="00000000" w:rsidDel="00000000" w:rsidP="00000000" w:rsidRDefault="00000000" w:rsidRPr="00000000" w14:paraId="00000082">
      <w:pPr>
        <w:widowControl w:val="1"/>
        <w:rPr/>
      </w:pPr>
      <w:r w:rsidDel="00000000" w:rsidR="00000000" w:rsidRPr="00000000">
        <w:rPr>
          <w:rtl w:val="0"/>
        </w:rPr>
        <w:t xml:space="preserve">The bridge allows family time, exhaustion, digital exposure, school design, and compensatory labor to interact, but it requires controls for curriculum, socioeconomic status, demographic change, pandemic disruption, special education needs, and measurement changes. Technology cannot be assigned causal primacy by assumption.</w:t>
      </w:r>
    </w:p>
    <w:p w:rsidR="00000000" w:rsidDel="00000000" w:rsidP="00000000" w:rsidRDefault="00000000" w:rsidRPr="00000000" w14:paraId="00000083">
      <w:pPr>
        <w:pStyle w:val="Heading2"/>
        <w:rPr/>
      </w:pPr>
      <w:sdt>
        <w:sdtPr>
          <w:id w:val="-648102351"/>
          <w:tag w:val="goog_rdk_8"/>
        </w:sdtPr>
        <w:sdtContent>
          <w:r w:rsidDel="00000000" w:rsidR="00000000" w:rsidRPr="00000000">
            <w:rPr>
              <w:rFonts w:ascii="Arial Unicode MS" w:cs="Arial Unicode MS" w:eastAsia="Arial Unicode MS" w:hAnsi="Arial Unicode MS"/>
              <w:rtl w:val="0"/>
            </w:rPr>
            <w:t xml:space="preserve">8.5 Knowledge Selection → Governance Misdiagnosis → Drift</w:t>
          </w:r>
        </w:sdtContent>
      </w:sdt>
    </w:p>
    <w:p w:rsidR="00000000" w:rsidDel="00000000" w:rsidP="00000000" w:rsidRDefault="00000000" w:rsidRPr="00000000" w14:paraId="00000084">
      <w:pPr>
        <w:keepNext w:val="0"/>
        <w:keepLines w:val="1"/>
        <w:pageBreakBefore w:val="0"/>
        <w:widowControl w:val="1"/>
        <w:pBdr>
          <w:top w:space="0" w:sz="0" w:val="nil"/>
          <w:left w:space="0" w:sz="0" w:val="nil"/>
          <w:bottom w:space="0" w:sz="0" w:val="nil"/>
          <w:right w:space="0" w:sz="0" w:val="nil"/>
          <w:between w:space="0" w:sz="0" w:val="nil"/>
        </w:pBdr>
        <w:shd w:fill="eaf0f4" w:val="clear"/>
        <w:spacing w:after="160" w:before="80" w:line="276" w:lineRule="auto"/>
        <w:ind w:left="0" w:right="0" w:firstLine="0"/>
        <w:jc w:val="center"/>
        <w:rPr>
          <w:rFonts w:ascii="Play" w:cs="Play" w:eastAsia="Play" w:hAnsi="Play"/>
          <w:b w:val="1"/>
          <w:bCs w:val="1"/>
          <w:i w:val="0"/>
          <w:iCs w:val="0"/>
          <w:smallCaps w:val="0"/>
          <w:strike w:val="0"/>
          <w:color w:val="17324d"/>
          <w:sz w:val="21"/>
          <w:szCs w:val="21"/>
          <w:u w:val="none"/>
          <w:shd w:fill="auto" w:val="clear"/>
          <w:vertAlign w:val="baseline"/>
        </w:rPr>
      </w:pPr>
      <w:sdt>
        <w:sdtPr>
          <w:id w:val="-1313183441"/>
          <w:tag w:val="goog_rdk_9"/>
        </w:sdtPr>
        <w:sdtContent>
          <w:r w:rsidDel="00000000" w:rsidR="00000000" w:rsidRPr="00000000">
            <w:rPr>
              <w:rFonts w:ascii="Arial Unicode MS" w:cs="Arial Unicode MS" w:eastAsia="Arial Unicode MS" w:hAnsi="Arial Unicode MS"/>
              <w:b w:val="1"/>
              <w:bCs w:val="1"/>
              <w:i w:val="0"/>
              <w:iCs w:val="0"/>
              <w:smallCaps w:val="0"/>
              <w:strike w:val="0"/>
              <w:color w:val="17324d"/>
              <w:sz w:val="21"/>
              <w:szCs w:val="21"/>
              <w:u w:val="none"/>
              <w:shd w:fill="auto" w:val="clear"/>
              <w:vertAlign w:val="baseline"/>
              <w:rtl w:val="0"/>
            </w:rPr>
            <w:t xml:space="preserve">Exposure/Silo Restriction → Incomplete Problem Representation → Policy Mismatch → Persistent Unresolved State</w:t>
          </w:r>
        </w:sdtContent>
      </w:sdt>
    </w:p>
    <w:p w:rsidR="00000000" w:rsidDel="00000000" w:rsidP="00000000" w:rsidRDefault="00000000" w:rsidRPr="00000000" w14:paraId="00000085">
      <w:pPr>
        <w:widowControl w:val="1"/>
        <w:rPr/>
      </w:pPr>
      <w:r w:rsidDel="00000000" w:rsidR="00000000" w:rsidRPr="00000000">
        <w:rPr>
          <w:rtl w:val="0"/>
        </w:rPr>
        <w:t xml:space="preserve">Exposure Silo Bias becomes testable here. The claim is supported only when omitted exposure or causal pathways can be identified, the institutional framing can be documented, and the omission predicts a meaningful policy or diagnostic failure.</w:t>
      </w:r>
    </w:p>
    <w:p w:rsidR="00000000" w:rsidDel="00000000" w:rsidP="00000000" w:rsidRDefault="00000000" w:rsidRPr="00000000" w14:paraId="00000086">
      <w:pPr>
        <w:pStyle w:val="Heading2"/>
        <w:rPr/>
      </w:pPr>
      <w:sdt>
        <w:sdtPr>
          <w:id w:val="1786360197"/>
          <w:tag w:val="goog_rdk_10"/>
        </w:sdtPr>
        <w:sdtContent>
          <w:r w:rsidDel="00000000" w:rsidR="00000000" w:rsidRPr="00000000">
            <w:rPr>
              <w:rFonts w:ascii="Arial Unicode MS" w:cs="Arial Unicode MS" w:eastAsia="Arial Unicode MS" w:hAnsi="Arial Unicode MS"/>
              <w:rtl w:val="0"/>
            </w:rPr>
            <w:t xml:space="preserve">8.6 Administrative or Legal Burden → Human and Social Consequences</w:t>
          </w:r>
        </w:sdtContent>
      </w:sdt>
    </w:p>
    <w:p w:rsidR="00000000" w:rsidDel="00000000" w:rsidP="00000000" w:rsidRDefault="00000000" w:rsidRPr="00000000" w14:paraId="00000087">
      <w:pPr>
        <w:keepNext w:val="0"/>
        <w:keepLines w:val="1"/>
        <w:pageBreakBefore w:val="0"/>
        <w:widowControl w:val="1"/>
        <w:pBdr>
          <w:top w:space="0" w:sz="0" w:val="nil"/>
          <w:left w:space="0" w:sz="0" w:val="nil"/>
          <w:bottom w:space="0" w:sz="0" w:val="nil"/>
          <w:right w:space="0" w:sz="0" w:val="nil"/>
          <w:between w:space="0" w:sz="0" w:val="nil"/>
        </w:pBdr>
        <w:shd w:fill="eaf0f4" w:val="clear"/>
        <w:spacing w:after="160" w:before="80" w:line="276" w:lineRule="auto"/>
        <w:ind w:left="0" w:right="0" w:firstLine="0"/>
        <w:jc w:val="center"/>
        <w:rPr>
          <w:rFonts w:ascii="Play" w:cs="Play" w:eastAsia="Play" w:hAnsi="Play"/>
          <w:b w:val="1"/>
          <w:bCs w:val="1"/>
          <w:i w:val="0"/>
          <w:iCs w:val="0"/>
          <w:smallCaps w:val="0"/>
          <w:strike w:val="0"/>
          <w:color w:val="17324d"/>
          <w:sz w:val="21"/>
          <w:szCs w:val="21"/>
          <w:u w:val="none"/>
          <w:shd w:fill="auto" w:val="clear"/>
          <w:vertAlign w:val="baseline"/>
        </w:rPr>
      </w:pPr>
      <w:sdt>
        <w:sdtPr>
          <w:id w:val="337564446"/>
          <w:tag w:val="goog_rdk_11"/>
        </w:sdtPr>
        <w:sdtContent>
          <w:r w:rsidDel="00000000" w:rsidR="00000000" w:rsidRPr="00000000">
            <w:rPr>
              <w:rFonts w:ascii="Arial Unicode MS" w:cs="Arial Unicode MS" w:eastAsia="Arial Unicode MS" w:hAnsi="Arial Unicode MS"/>
              <w:b w:val="1"/>
              <w:bCs w:val="1"/>
              <w:i w:val="0"/>
              <w:iCs w:val="0"/>
              <w:smallCaps w:val="0"/>
              <w:strike w:val="0"/>
              <w:color w:val="17324d"/>
              <w:sz w:val="21"/>
              <w:szCs w:val="21"/>
              <w:u w:val="none"/>
              <w:shd w:fill="auto" w:val="clear"/>
              <w:vertAlign w:val="baseline"/>
              <w:rtl w:val="0"/>
            </w:rPr>
            <w:t xml:space="preserve">Procedural Burden/Enforcement Exposure → Time/Resource Loss → Human Capacity Change → Social Consequence</w:t>
          </w:r>
        </w:sdtContent>
      </w:sdt>
    </w:p>
    <w:p w:rsidR="00000000" w:rsidDel="00000000" w:rsidP="00000000" w:rsidRDefault="00000000" w:rsidRPr="00000000" w14:paraId="00000088">
      <w:pPr>
        <w:widowControl w:val="1"/>
        <w:rPr/>
      </w:pPr>
      <w:r w:rsidDel="00000000" w:rsidR="00000000" w:rsidRPr="00000000">
        <w:rPr>
          <w:rtl w:val="0"/>
        </w:rPr>
        <w:t xml:space="preserve">Collapse Criminology, administrative harm, Post-Web Jurisprudence, and human-consequence programs can meet at this interface. Legal classification itself is not evidence of harm transmission; the pathway must identify exposure, burden, resource loss, behavioral or health response, and relevant alternatives.</w:t>
      </w:r>
    </w:p>
    <w:p w:rsidR="00000000" w:rsidDel="00000000" w:rsidP="00000000" w:rsidRDefault="00000000" w:rsidRPr="00000000" w14:paraId="00000089">
      <w:pPr>
        <w:pStyle w:val="Heading2"/>
        <w:rPr/>
      </w:pPr>
      <w:sdt>
        <w:sdtPr>
          <w:id w:val="617104432"/>
          <w:tag w:val="goog_rdk_12"/>
        </w:sdtPr>
        <w:sdtContent>
          <w:r w:rsidDel="00000000" w:rsidR="00000000" w:rsidRPr="00000000">
            <w:rPr>
              <w:rFonts w:ascii="Arial Unicode MS" w:cs="Arial Unicode MS" w:eastAsia="Arial Unicode MS" w:hAnsi="Arial Unicode MS"/>
              <w:rtl w:val="0"/>
            </w:rPr>
            <w:t xml:space="preserve">8.7 Climate and Scarcity → Infrastructure → Political Economy → Human Consequences</w:t>
          </w:r>
        </w:sdtContent>
      </w:sdt>
    </w:p>
    <w:p w:rsidR="00000000" w:rsidDel="00000000" w:rsidP="00000000" w:rsidRDefault="00000000" w:rsidRPr="00000000" w14:paraId="0000008A">
      <w:pPr>
        <w:keepNext w:val="0"/>
        <w:keepLines w:val="1"/>
        <w:pageBreakBefore w:val="0"/>
        <w:widowControl w:val="1"/>
        <w:pBdr>
          <w:top w:space="0" w:sz="0" w:val="nil"/>
          <w:left w:space="0" w:sz="0" w:val="nil"/>
          <w:bottom w:space="0" w:sz="0" w:val="nil"/>
          <w:right w:space="0" w:sz="0" w:val="nil"/>
          <w:between w:space="0" w:sz="0" w:val="nil"/>
        </w:pBdr>
        <w:shd w:fill="eaf0f4" w:val="clear"/>
        <w:spacing w:after="160" w:before="80" w:line="276" w:lineRule="auto"/>
        <w:ind w:left="0" w:right="0" w:firstLine="0"/>
        <w:jc w:val="center"/>
        <w:rPr>
          <w:rFonts w:ascii="Play" w:cs="Play" w:eastAsia="Play" w:hAnsi="Play"/>
          <w:b w:val="1"/>
          <w:bCs w:val="1"/>
          <w:i w:val="0"/>
          <w:iCs w:val="0"/>
          <w:smallCaps w:val="0"/>
          <w:strike w:val="0"/>
          <w:color w:val="17324d"/>
          <w:sz w:val="21"/>
          <w:szCs w:val="21"/>
          <w:u w:val="none"/>
          <w:shd w:fill="auto" w:val="clear"/>
          <w:vertAlign w:val="baseline"/>
        </w:rPr>
      </w:pPr>
      <w:sdt>
        <w:sdtPr>
          <w:id w:val="-1899546121"/>
          <w:tag w:val="goog_rdk_13"/>
        </w:sdtPr>
        <w:sdtContent>
          <w:r w:rsidDel="00000000" w:rsidR="00000000" w:rsidRPr="00000000">
            <w:rPr>
              <w:rFonts w:ascii="Arial Unicode MS" w:cs="Arial Unicode MS" w:eastAsia="Arial Unicode MS" w:hAnsi="Arial Unicode MS"/>
              <w:b w:val="1"/>
              <w:bCs w:val="1"/>
              <w:i w:val="0"/>
              <w:iCs w:val="0"/>
              <w:smallCaps w:val="0"/>
              <w:strike w:val="0"/>
              <w:color w:val="17324d"/>
              <w:sz w:val="21"/>
              <w:szCs w:val="21"/>
              <w:u w:val="none"/>
              <w:shd w:fill="auto" w:val="clear"/>
              <w:vertAlign w:val="baseline"/>
              <w:rtl w:val="0"/>
            </w:rPr>
            <w:t xml:space="preserve">Climate/Scarcity Shock → Infrastructure Strain → Price/Access/Capacity Change → Distributional Exposure → Receiver Harm or Adaptation</w:t>
          </w:r>
        </w:sdtContent>
      </w:sdt>
    </w:p>
    <w:p w:rsidR="00000000" w:rsidDel="00000000" w:rsidP="00000000" w:rsidRDefault="00000000" w:rsidRPr="00000000" w14:paraId="0000008B">
      <w:pPr>
        <w:widowControl w:val="1"/>
        <w:rPr/>
      </w:pPr>
      <w:r w:rsidDel="00000000" w:rsidR="00000000" w:rsidRPr="00000000">
        <w:rPr>
          <w:rtl w:val="0"/>
        </w:rPr>
        <w:t xml:space="preserve">SR's contribution here is integration and propagation rather than replacing climate science, economics, epidemiology, or infrastructure engineering. The cross-field value is demonstrated only if the integrated pathway improves explanation, prediction, or intervention targeting.</w:t>
      </w:r>
    </w:p>
    <w:p w:rsidR="00000000" w:rsidDel="00000000" w:rsidP="00000000" w:rsidRDefault="00000000" w:rsidRPr="00000000" w14:paraId="0000008C">
      <w:pPr>
        <w:pStyle w:val="Heading2"/>
        <w:rPr/>
      </w:pPr>
      <w:sdt>
        <w:sdtPr>
          <w:id w:val="911596779"/>
          <w:tag w:val="goog_rdk_14"/>
        </w:sdtPr>
        <w:sdtContent>
          <w:r w:rsidDel="00000000" w:rsidR="00000000" w:rsidRPr="00000000">
            <w:rPr>
              <w:rFonts w:ascii="Arial Unicode MS" w:cs="Arial Unicode MS" w:eastAsia="Arial Unicode MS" w:hAnsi="Arial Unicode MS"/>
              <w:rtl w:val="0"/>
            </w:rPr>
            <w:t xml:space="preserve">8.8 Human Erosion → Institutional Capacity → Further Drift</w:t>
          </w:r>
        </w:sdtContent>
      </w:sdt>
    </w:p>
    <w:p w:rsidR="00000000" w:rsidDel="00000000" w:rsidP="00000000" w:rsidRDefault="00000000" w:rsidRPr="00000000" w14:paraId="0000008D">
      <w:pPr>
        <w:keepNext w:val="0"/>
        <w:keepLines w:val="1"/>
        <w:pageBreakBefore w:val="0"/>
        <w:widowControl w:val="1"/>
        <w:pBdr>
          <w:top w:space="0" w:sz="0" w:val="nil"/>
          <w:left w:space="0" w:sz="0" w:val="nil"/>
          <w:bottom w:space="0" w:sz="0" w:val="nil"/>
          <w:right w:space="0" w:sz="0" w:val="nil"/>
          <w:between w:space="0" w:sz="0" w:val="nil"/>
        </w:pBdr>
        <w:shd w:fill="eaf0f4" w:val="clear"/>
        <w:spacing w:after="160" w:before="80" w:line="276" w:lineRule="auto"/>
        <w:ind w:left="0" w:right="0" w:firstLine="0"/>
        <w:jc w:val="center"/>
        <w:rPr>
          <w:rFonts w:ascii="Play" w:cs="Play" w:eastAsia="Play" w:hAnsi="Play"/>
          <w:b w:val="1"/>
          <w:bCs w:val="1"/>
          <w:i w:val="0"/>
          <w:iCs w:val="0"/>
          <w:smallCaps w:val="0"/>
          <w:strike w:val="0"/>
          <w:color w:val="17324d"/>
          <w:sz w:val="21"/>
          <w:szCs w:val="21"/>
          <w:u w:val="none"/>
          <w:shd w:fill="auto" w:val="clear"/>
          <w:vertAlign w:val="baseline"/>
        </w:rPr>
      </w:pPr>
      <w:sdt>
        <w:sdtPr>
          <w:id w:val="429312982"/>
          <w:tag w:val="goog_rdk_15"/>
        </w:sdtPr>
        <w:sdtContent>
          <w:r w:rsidDel="00000000" w:rsidR="00000000" w:rsidRPr="00000000">
            <w:rPr>
              <w:rFonts w:ascii="Arial Unicode MS" w:cs="Arial Unicode MS" w:eastAsia="Arial Unicode MS" w:hAnsi="Arial Unicode MS"/>
              <w:b w:val="1"/>
              <w:bCs w:val="1"/>
              <w:i w:val="0"/>
              <w:iCs w:val="0"/>
              <w:smallCaps w:val="0"/>
              <w:strike w:val="0"/>
              <w:color w:val="17324d"/>
              <w:sz w:val="21"/>
              <w:szCs w:val="21"/>
              <w:u w:val="none"/>
              <w:shd w:fill="auto" w:val="clear"/>
              <w:vertAlign w:val="baseline"/>
              <w:rtl w:val="0"/>
            </w:rPr>
            <w:t xml:space="preserve">Human Capacity Loss → Staffing/Decision Capacity Loss → Institutional Performance Decline → Greater Exposure → Further Human Capacity Loss</w:t>
          </w:r>
        </w:sdtContent>
      </w:sdt>
    </w:p>
    <w:p w:rsidR="00000000" w:rsidDel="00000000" w:rsidP="00000000" w:rsidRDefault="00000000" w:rsidRPr="00000000" w14:paraId="0000008E">
      <w:pPr>
        <w:widowControl w:val="1"/>
        <w:rPr/>
      </w:pPr>
      <w:r w:rsidDel="00000000" w:rsidR="00000000" w:rsidRPr="00000000">
        <w:rPr>
          <w:rtl w:val="0"/>
        </w:rPr>
        <w:t xml:space="preserve">This is a candidate recursive loop central to the multiverse. It must be tested with temporal ordering and organizational measures; it cannot be inferred from simultaneous workforce strain and public distress.</w:t>
      </w:r>
    </w:p>
    <w:p w:rsidR="00000000" w:rsidDel="00000000" w:rsidP="00000000" w:rsidRDefault="00000000" w:rsidRPr="00000000" w14:paraId="0000008F">
      <w:pPr>
        <w:pStyle w:val="Heading1"/>
        <w:rPr/>
      </w:pPr>
      <w:r w:rsidDel="00000000" w:rsidR="00000000" w:rsidRPr="00000000">
        <w:rPr>
          <w:rtl w:val="0"/>
        </w:rPr>
        <w:t xml:space="preserve">9. Amplification, Buffering, and Substitution</w:t>
      </w:r>
    </w:p>
    <w:p w:rsidR="00000000" w:rsidDel="00000000" w:rsidP="00000000" w:rsidRDefault="00000000" w:rsidRPr="00000000" w14:paraId="00000090">
      <w:pPr>
        <w:widowControl w:val="1"/>
        <w:rPr/>
      </w:pPr>
      <w:r w:rsidDel="00000000" w:rsidR="00000000" w:rsidRPr="00000000">
        <w:rPr>
          <w:rtl w:val="0"/>
        </w:rPr>
        <w:t xml:space="preserve">SR-CFIF rejects the idea that exposure produces identical outcomes. Propagation depends on system conditions that amplify or interrupt transfer.</w:t>
      </w:r>
    </w:p>
    <w:p w:rsidR="00000000" w:rsidDel="00000000" w:rsidP="00000000" w:rsidRDefault="00000000" w:rsidRPr="00000000" w14:paraId="00000091">
      <w:pPr>
        <w:widowControl w:val="1"/>
        <w:rPr/>
      </w:pPr>
      <w:r w:rsidDel="00000000" w:rsidR="00000000" w:rsidRPr="00000000">
        <w:rPr>
          <w:rtl w:val="0"/>
        </w:rPr>
        <w:t xml:space="preserve">Amplifiers can include concentration, overload, repeated exposure, interoperability failure, scarcity, algorithmic scaling, administrative recursion, and low recovery capacity. Buffers can include redundancy, substitution capacity, social support, legal remedy, institutional slack, public provisioning, interoperability, independent expertise, and recovery resources.</w:t>
      </w:r>
    </w:p>
    <w:p w:rsidR="00000000" w:rsidDel="00000000" w:rsidP="00000000" w:rsidRDefault="00000000" w:rsidRPr="00000000" w14:paraId="00000092">
      <w:pPr>
        <w:keepNext w:val="0"/>
        <w:keepLines w:val="1"/>
        <w:pageBreakBefore w:val="0"/>
        <w:widowControl w:val="1"/>
        <w:pBdr>
          <w:top w:space="0" w:sz="0" w:val="nil"/>
          <w:left w:space="0" w:sz="0" w:val="nil"/>
          <w:bottom w:space="0" w:sz="0" w:val="nil"/>
          <w:right w:space="0" w:sz="0" w:val="nil"/>
          <w:between w:space="0" w:sz="0" w:val="nil"/>
        </w:pBdr>
        <w:shd w:fill="f4f7f9" w:val="clear"/>
        <w:spacing w:after="140" w:before="100" w:line="276" w:lineRule="auto"/>
        <w:ind w:left="0" w:right="0" w:firstLine="0"/>
        <w:jc w:val="center"/>
        <w:rPr>
          <w:rFonts w:ascii="Cambria Math" w:cs="Cambria Math" w:eastAsia="Cambria Math" w:hAnsi="Cambria Math"/>
          <w:b w:val="0"/>
          <w:bCs w:val="0"/>
          <w:i w:val="0"/>
          <w:iCs w:val="0"/>
          <w:smallCaps w:val="0"/>
          <w:strike w:val="0"/>
          <w:color w:val="17324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7324d"/>
          <w:sz w:val="22"/>
          <w:szCs w:val="22"/>
          <w:u w:val="none"/>
          <w:shd w:fill="auto" w:val="clear"/>
          <w:vertAlign w:val="baseline"/>
          <w:rtl w:val="0"/>
        </w:rPr>
        <w:t xml:space="preserve">Net Effect_ij ∝ Source Change × Exposure × Transmission × Amplification × (1 − Buffering)</w:t>
      </w:r>
    </w:p>
    <w:p w:rsidR="00000000" w:rsidDel="00000000" w:rsidP="00000000" w:rsidRDefault="00000000" w:rsidRPr="00000000" w14:paraId="00000093">
      <w:pPr>
        <w:widowControl w:val="1"/>
        <w:rPr/>
      </w:pPr>
      <w:r w:rsidDel="00000000" w:rsidR="00000000" w:rsidRPr="00000000">
        <w:rPr>
          <w:rtl w:val="0"/>
        </w:rPr>
        <w:t xml:space="preserve">A valid integration study should attempt to measure at least one plausible blocker or buffer. If the predicted downstream effect disappears where the buffer is strong, that can strengthen the mechanism claim rather than count as a failure.</w:t>
      </w:r>
    </w:p>
    <w:p w:rsidR="00000000" w:rsidDel="00000000" w:rsidP="00000000" w:rsidRDefault="00000000" w:rsidRPr="00000000" w14:paraId="00000094">
      <w:pPr>
        <w:pStyle w:val="Heading1"/>
        <w:rPr/>
      </w:pPr>
      <w:r w:rsidDel="00000000" w:rsidR="00000000" w:rsidRPr="00000000">
        <w:rPr>
          <w:rtl w:val="0"/>
        </w:rPr>
        <w:t xml:space="preserve">10. Thresholds and Nonlinear Propagation</w:t>
      </w:r>
    </w:p>
    <w:p w:rsidR="00000000" w:rsidDel="00000000" w:rsidP="00000000" w:rsidRDefault="00000000" w:rsidRPr="00000000" w14:paraId="00000095">
      <w:pPr>
        <w:keepNext w:val="0"/>
        <w:keepLines w:val="1"/>
        <w:pageBreakBefore w:val="0"/>
        <w:widowControl w:val="1"/>
        <w:pBdr>
          <w:top w:space="0" w:sz="0" w:val="nil"/>
          <w:left w:space="0" w:sz="0" w:val="nil"/>
          <w:bottom w:space="0" w:sz="0" w:val="nil"/>
          <w:right w:space="0" w:sz="0" w:val="nil"/>
          <w:between w:space="0" w:sz="0" w:val="nil"/>
        </w:pBdr>
        <w:shd w:fill="f4f7f9" w:val="clear"/>
        <w:spacing w:after="140" w:before="100" w:line="276" w:lineRule="auto"/>
        <w:ind w:left="0" w:right="0" w:firstLine="0"/>
        <w:jc w:val="center"/>
        <w:rPr>
          <w:rFonts w:ascii="Cambria Math" w:cs="Cambria Math" w:eastAsia="Cambria Math" w:hAnsi="Cambria Math"/>
          <w:b w:val="0"/>
          <w:bCs w:val="0"/>
          <w:i w:val="0"/>
          <w:iCs w:val="0"/>
          <w:smallCaps w:val="0"/>
          <w:strike w:val="0"/>
          <w:color w:val="17324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7324d"/>
          <w:sz w:val="22"/>
          <w:szCs w:val="22"/>
          <w:u w:val="none"/>
          <w:shd w:fill="auto" w:val="clear"/>
          <w:vertAlign w:val="baseline"/>
          <w:rtl w:val="0"/>
        </w:rPr>
        <w:t xml:space="preserve">Δx_j = β_1 Δx_i · I(q ≤ q*) + β_2 Δx_i · I(q &gt; q*) + ε</w:t>
      </w:r>
    </w:p>
    <w:p w:rsidR="00000000" w:rsidDel="00000000" w:rsidP="00000000" w:rsidRDefault="00000000" w:rsidRPr="00000000" w14:paraId="00000096">
      <w:pPr>
        <w:widowControl w:val="1"/>
        <w:rPr/>
      </w:pPr>
      <w:r w:rsidDel="00000000" w:rsidR="00000000" w:rsidRPr="00000000">
        <w:rPr>
          <w:rtl w:val="0"/>
        </w:rPr>
        <w:t xml:space="preserve">q is a measured conditioning variable and q* is a candidate threshold estimated or externally justified. Thresholds must not be chosen after observing the desired result without correction for model selection. Smooth-transition and spline approaches may be preferable when discontinuity is not theoretically warranted.</w:t>
      </w:r>
    </w:p>
    <w:p w:rsidR="00000000" w:rsidDel="00000000" w:rsidP="00000000" w:rsidRDefault="00000000" w:rsidRPr="00000000" w14:paraId="00000097">
      <w:pPr>
        <w:pStyle w:val="Heading1"/>
        <w:rPr/>
      </w:pPr>
      <w:r w:rsidDel="00000000" w:rsidR="00000000" w:rsidRPr="00000000">
        <w:rPr>
          <w:rtl w:val="0"/>
        </w:rPr>
        <w:t xml:space="preserve">11. Recursive Coupling and System Regimes</w:t>
      </w:r>
    </w:p>
    <w:p w:rsidR="00000000" w:rsidDel="00000000" w:rsidP="00000000" w:rsidRDefault="00000000" w:rsidRPr="00000000" w14:paraId="00000098">
      <w:pPr>
        <w:widowControl w:val="1"/>
        <w:jc w:val="both"/>
        <w:rPr/>
      </w:pPr>
      <w:r w:rsidDel="00000000" w:rsidR="00000000" w:rsidRPr="00000000">
        <w:rPr>
          <w:rtl w:val="0"/>
        </w:rPr>
        <w:t xml:space="preserve">When several empirically supported bridges form a feedback system, the block transition matrix A can be examined for persistence and amplification. For a linearized stationary system:</w:t>
      </w:r>
    </w:p>
    <w:p w:rsidR="00000000" w:rsidDel="00000000" w:rsidP="00000000" w:rsidRDefault="00000000" w:rsidRPr="00000000" w14:paraId="00000099">
      <w:pPr>
        <w:keepNext w:val="0"/>
        <w:keepLines w:val="1"/>
        <w:pageBreakBefore w:val="0"/>
        <w:widowControl w:val="1"/>
        <w:pBdr>
          <w:top w:space="0" w:sz="0" w:val="nil"/>
          <w:left w:space="0" w:sz="0" w:val="nil"/>
          <w:bottom w:space="0" w:sz="0" w:val="nil"/>
          <w:right w:space="0" w:sz="0" w:val="nil"/>
          <w:between w:space="0" w:sz="0" w:val="nil"/>
        </w:pBdr>
        <w:shd w:fill="f4f7f9" w:val="clear"/>
        <w:spacing w:after="140" w:before="100" w:line="276" w:lineRule="auto"/>
        <w:ind w:left="0" w:right="0" w:firstLine="0"/>
        <w:jc w:val="center"/>
        <w:rPr>
          <w:rFonts w:ascii="Cambria Math" w:cs="Cambria Math" w:eastAsia="Cambria Math" w:hAnsi="Cambria Math"/>
          <w:b w:val="0"/>
          <w:bCs w:val="0"/>
          <w:i w:val="0"/>
          <w:iCs w:val="0"/>
          <w:smallCaps w:val="0"/>
          <w:strike w:val="0"/>
          <w:color w:val="17324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7324d"/>
          <w:sz w:val="22"/>
          <w:szCs w:val="22"/>
          <w:u w:val="none"/>
          <w:shd w:fill="auto" w:val="clear"/>
          <w:vertAlign w:val="baseline"/>
          <w:rtl w:val="0"/>
        </w:rPr>
        <w:t xml:space="preserve">ρ(A) = max_r |λ_r(A)|</w:t>
      </w:r>
    </w:p>
    <w:p w:rsidR="00000000" w:rsidDel="00000000" w:rsidP="00000000" w:rsidRDefault="00000000" w:rsidRPr="00000000" w14:paraId="0000009A">
      <w:pPr>
        <w:widowControl w:val="1"/>
        <w:rPr/>
      </w:pPr>
      <w:r w:rsidDel="00000000" w:rsidR="00000000" w:rsidRPr="00000000">
        <w:rPr>
          <w:rtl w:val="0"/>
        </w:rPr>
        <w:t xml:space="preserve">If ρ(A) &lt; 1, shocks in the estimated linear system tend to decay under stable assumptions; values near 1 imply high persistence; values above 1 imply an unstable linear recursion. This is a mathematical property of the fitted model, not a direct synonym for societal collapse.</w:t>
      </w:r>
    </w:p>
    <w:p w:rsidR="00000000" w:rsidDel="00000000" w:rsidP="00000000" w:rsidRDefault="00000000" w:rsidRPr="00000000" w14:paraId="0000009B">
      <w:pPr>
        <w:widowControl w:val="1"/>
        <w:rPr/>
      </w:pPr>
      <w:r w:rsidDel="00000000" w:rsidR="00000000" w:rsidRPr="00000000">
        <w:rPr>
          <w:rtl w:val="0"/>
        </w:rPr>
        <w:t xml:space="preserve">For a candidate cycle c with normalized edge coefficients, a descriptive cycle-gain diagnostic can be written:</w:t>
      </w:r>
    </w:p>
    <w:p w:rsidR="00000000" w:rsidDel="00000000" w:rsidP="00000000" w:rsidRDefault="00000000" w:rsidRPr="00000000" w14:paraId="0000009C">
      <w:pPr>
        <w:keepNext w:val="0"/>
        <w:keepLines w:val="1"/>
        <w:pageBreakBefore w:val="0"/>
        <w:widowControl w:val="1"/>
        <w:pBdr>
          <w:top w:space="0" w:sz="0" w:val="nil"/>
          <w:left w:space="0" w:sz="0" w:val="nil"/>
          <w:bottom w:space="0" w:sz="0" w:val="nil"/>
          <w:right w:space="0" w:sz="0" w:val="nil"/>
          <w:between w:space="0" w:sz="0" w:val="nil"/>
        </w:pBdr>
        <w:shd w:fill="f4f7f9" w:val="clear"/>
        <w:spacing w:after="140" w:before="100" w:line="276" w:lineRule="auto"/>
        <w:ind w:left="0" w:right="0" w:firstLine="0"/>
        <w:jc w:val="center"/>
        <w:rPr>
          <w:rFonts w:ascii="Cambria Math" w:cs="Cambria Math" w:eastAsia="Cambria Math" w:hAnsi="Cambria Math"/>
          <w:b w:val="0"/>
          <w:bCs w:val="0"/>
          <w:i w:val="0"/>
          <w:iCs w:val="0"/>
          <w:smallCaps w:val="0"/>
          <w:strike w:val="0"/>
          <w:color w:val="17324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7324d"/>
          <w:sz w:val="22"/>
          <w:szCs w:val="22"/>
          <w:u w:val="none"/>
          <w:shd w:fill="auto" w:val="clear"/>
          <w:vertAlign w:val="baseline"/>
          <w:rtl w:val="0"/>
        </w:rPr>
        <w:t xml:space="preserve">G_c = ∏_(e∈c) |κ_e|</w:t>
      </w:r>
    </w:p>
    <w:p w:rsidR="00000000" w:rsidDel="00000000" w:rsidP="00000000" w:rsidRDefault="00000000" w:rsidRPr="00000000" w14:paraId="0000009D">
      <w:pPr>
        <w:widowControl w:val="1"/>
        <w:rPr/>
      </w:pPr>
      <w:r w:rsidDel="00000000" w:rsidR="00000000" w:rsidRPr="00000000">
        <w:rPr>
          <w:rtl w:val="0"/>
        </w:rPr>
        <w:t xml:space="preserve">Cycle gain is a diagnostic heuristic unless the full dynamic model and units make multiplicative interpretation defensible. It is useful for locating loops that deserve direct empirical testing, not for declaring inevitability.</w:t>
      </w:r>
    </w:p>
    <w:p w:rsidR="00000000" w:rsidDel="00000000" w:rsidP="00000000" w:rsidRDefault="00000000" w:rsidRPr="00000000" w14:paraId="0000009E">
      <w:pPr>
        <w:pStyle w:val="Heading1"/>
        <w:rPr/>
      </w:pPr>
      <w:r w:rsidDel="00000000" w:rsidR="00000000" w:rsidRPr="00000000">
        <w:rPr>
          <w:rtl w:val="0"/>
        </w:rPr>
        <w:t xml:space="preserve">12. Integration With the SR Matrix and Measurement Architecture</w:t>
      </w:r>
    </w:p>
    <w:p w:rsidR="00000000" w:rsidDel="00000000" w:rsidP="00000000" w:rsidRDefault="00000000" w:rsidRPr="00000000" w14:paraId="0000009F">
      <w:pPr>
        <w:widowControl w:val="1"/>
        <w:rPr/>
      </w:pPr>
      <w:r w:rsidDel="00000000" w:rsidR="00000000" w:rsidRPr="00000000">
        <w:rPr>
          <w:rtl w:val="0"/>
        </w:rPr>
        <w:t xml:space="preserve">The earlier SR Matrix and SMS architecture separates observable indicators, latent infrastructural conditions, endogenous states, recursive relations, structured blindness, and temporal accumulation. SR-CFIF retains that discipline but generalizes the state space across the full canon.</w:t>
      </w:r>
    </w:p>
    <w:p w:rsidR="00000000" w:rsidDel="00000000" w:rsidP="00000000" w:rsidRDefault="00000000" w:rsidRPr="00000000" w14:paraId="000000A0">
      <w:pPr>
        <w:widowControl w:val="1"/>
        <w:rPr/>
      </w:pPr>
      <w:r w:rsidDel="00000000" w:rsidR="00000000" w:rsidRPr="00000000">
        <w:rPr>
          <w:rtl w:val="0"/>
        </w:rPr>
        <w:t xml:space="preserve">The original domain form can be nested inside the cross-field model:</w:t>
      </w:r>
    </w:p>
    <w:p w:rsidR="00000000" w:rsidDel="00000000" w:rsidP="00000000" w:rsidRDefault="00000000" w:rsidRPr="00000000" w14:paraId="000000A1">
      <w:pPr>
        <w:keepNext w:val="0"/>
        <w:keepLines w:val="1"/>
        <w:pageBreakBefore w:val="0"/>
        <w:widowControl w:val="1"/>
        <w:pBdr>
          <w:top w:space="0" w:sz="0" w:val="nil"/>
          <w:left w:space="0" w:sz="0" w:val="nil"/>
          <w:bottom w:space="0" w:sz="0" w:val="nil"/>
          <w:right w:space="0" w:sz="0" w:val="nil"/>
          <w:between w:space="0" w:sz="0" w:val="nil"/>
        </w:pBdr>
        <w:shd w:fill="f4f7f9" w:val="clear"/>
        <w:spacing w:after="140" w:before="100" w:line="276" w:lineRule="auto"/>
        <w:ind w:left="0" w:right="0" w:firstLine="0"/>
        <w:jc w:val="center"/>
        <w:rPr>
          <w:rFonts w:ascii="Cambria Math" w:cs="Cambria Math" w:eastAsia="Cambria Math" w:hAnsi="Cambria Math"/>
          <w:b w:val="0"/>
          <w:bCs w:val="0"/>
          <w:i w:val="0"/>
          <w:iCs w:val="0"/>
          <w:smallCaps w:val="0"/>
          <w:strike w:val="0"/>
          <w:color w:val="17324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7324d"/>
          <w:sz w:val="22"/>
          <w:szCs w:val="22"/>
          <w:u w:val="none"/>
          <w:shd w:fill="auto" w:val="clear"/>
          <w:vertAlign w:val="baseline"/>
          <w:rtl w:val="0"/>
        </w:rPr>
        <w:t xml:space="preserve">η_t = Bη_(t−1) + Γξ_t + Λ_zω_t + ζ_t</w:t>
      </w:r>
    </w:p>
    <w:p w:rsidR="00000000" w:rsidDel="00000000" w:rsidP="00000000" w:rsidRDefault="00000000" w:rsidRPr="00000000" w14:paraId="000000A2">
      <w:pPr>
        <w:widowControl w:val="1"/>
        <w:jc w:val="both"/>
        <w:rPr/>
      </w:pPr>
      <w:r w:rsidDel="00000000" w:rsidR="00000000" w:rsidRPr="00000000">
        <w:rPr>
          <w:rtl w:val="0"/>
        </w:rPr>
        <w:t xml:space="preserve">The cross-field generalization is:</w:t>
      </w:r>
    </w:p>
    <w:p w:rsidR="00000000" w:rsidDel="00000000" w:rsidP="00000000" w:rsidRDefault="00000000" w:rsidRPr="00000000" w14:paraId="000000A3">
      <w:pPr>
        <w:keepNext w:val="0"/>
        <w:keepLines w:val="1"/>
        <w:pageBreakBefore w:val="0"/>
        <w:widowControl w:val="1"/>
        <w:pBdr>
          <w:top w:space="0" w:sz="0" w:val="nil"/>
          <w:left w:space="0" w:sz="0" w:val="nil"/>
          <w:bottom w:space="0" w:sz="0" w:val="nil"/>
          <w:right w:space="0" w:sz="0" w:val="nil"/>
          <w:between w:space="0" w:sz="0" w:val="nil"/>
        </w:pBdr>
        <w:shd w:fill="f4f7f9" w:val="clear"/>
        <w:spacing w:after="140" w:before="100" w:line="276" w:lineRule="auto"/>
        <w:ind w:left="0" w:right="0" w:firstLine="0"/>
        <w:jc w:val="center"/>
        <w:rPr>
          <w:rFonts w:ascii="Cambria Math" w:cs="Cambria Math" w:eastAsia="Cambria Math" w:hAnsi="Cambria Math"/>
          <w:b w:val="0"/>
          <w:bCs w:val="0"/>
          <w:i w:val="0"/>
          <w:iCs w:val="0"/>
          <w:smallCaps w:val="0"/>
          <w:strike w:val="0"/>
          <w:color w:val="17324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7324d"/>
          <w:sz w:val="22"/>
          <w:szCs w:val="22"/>
          <w:u w:val="none"/>
          <w:shd w:fill="auto" w:val="clear"/>
          <w:vertAlign w:val="baseline"/>
          <w:rtl w:val="0"/>
        </w:rPr>
        <w:t xml:space="preserve">X_t = A X_(t−1) + Q U_t + L Ω_t + ε_t</w:t>
      </w:r>
    </w:p>
    <w:p w:rsidR="00000000" w:rsidDel="00000000" w:rsidP="00000000" w:rsidRDefault="00000000" w:rsidRPr="00000000" w14:paraId="000000A4">
      <w:pPr>
        <w:widowControl w:val="1"/>
        <w:rPr/>
      </w:pPr>
      <w:r w:rsidDel="00000000" w:rsidR="00000000" w:rsidRPr="00000000">
        <w:rPr>
          <w:rtl w:val="0"/>
        </w:rPr>
        <w:t xml:space="preserve">where X contains field-specific latent or observed state vectors, A is the block transition matrix, U contains exogenous inputs, and Ω contains independently measured visibility or recognition conditions. Existing ξ, η, Γ, and B constructs can occupy specific blocks where appropriate rather than being forced onto every domain.</w:t>
      </w:r>
    </w:p>
    <w:p w:rsidR="00000000" w:rsidDel="00000000" w:rsidP="00000000" w:rsidRDefault="00000000" w:rsidRPr="00000000" w14:paraId="000000A5">
      <w:pPr>
        <w:widowControl w:val="1"/>
        <w:rPr/>
      </w:pPr>
      <w:r w:rsidDel="00000000" w:rsidR="00000000" w:rsidRPr="00000000">
        <w:rPr>
          <w:rtl w:val="0"/>
        </w:rPr>
        <w:t xml:space="preserve">A cross-field structural fingerprint may be reported as:</w:t>
      </w:r>
    </w:p>
    <w:p w:rsidR="00000000" w:rsidDel="00000000" w:rsidP="00000000" w:rsidRDefault="00000000" w:rsidRPr="00000000" w14:paraId="000000A6">
      <w:pPr>
        <w:keepNext w:val="0"/>
        <w:keepLines w:val="1"/>
        <w:pageBreakBefore w:val="0"/>
        <w:widowControl w:val="1"/>
        <w:pBdr>
          <w:top w:space="0" w:sz="0" w:val="nil"/>
          <w:left w:space="0" w:sz="0" w:val="nil"/>
          <w:bottom w:space="0" w:sz="0" w:val="nil"/>
          <w:right w:space="0" w:sz="0" w:val="nil"/>
          <w:between w:space="0" w:sz="0" w:val="nil"/>
        </w:pBdr>
        <w:shd w:fill="f4f7f9" w:val="clear"/>
        <w:spacing w:after="140" w:before="100" w:line="276" w:lineRule="auto"/>
        <w:ind w:left="0" w:right="0" w:firstLine="0"/>
        <w:jc w:val="center"/>
        <w:rPr>
          <w:rFonts w:ascii="Cambria Math" w:cs="Cambria Math" w:eastAsia="Cambria Math" w:hAnsi="Cambria Math"/>
          <w:b w:val="0"/>
          <w:bCs w:val="0"/>
          <w:i w:val="0"/>
          <w:iCs w:val="0"/>
          <w:smallCaps w:val="0"/>
          <w:strike w:val="0"/>
          <w:color w:val="17324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7324d"/>
          <w:sz w:val="22"/>
          <w:szCs w:val="22"/>
          <w:u w:val="none"/>
          <w:shd w:fill="auto" w:val="clear"/>
          <w:vertAlign w:val="baseline"/>
          <w:rtl w:val="0"/>
        </w:rPr>
        <w:t xml:space="preserve">F_CF = {Â, τ̂, M̂, ρ(Â), R, V}</w:t>
      </w:r>
    </w:p>
    <w:p w:rsidR="00000000" w:rsidDel="00000000" w:rsidP="00000000" w:rsidRDefault="00000000" w:rsidRPr="00000000" w14:paraId="000000A7">
      <w:pPr>
        <w:widowControl w:val="1"/>
        <w:rPr/>
      </w:pPr>
      <w:r w:rsidDel="00000000" w:rsidR="00000000" w:rsidRPr="00000000">
        <w:rPr>
          <w:rtl w:val="0"/>
        </w:rPr>
        <w:t xml:space="preserve">where Â is the estimated block transition structure, τ̂ the supported lag structure, M̂ the registered mechanisms, R the robustness profile, and V the measurement/invariance status. No fingerprint is meaningful without uncertainty and model-comparison results.</w:t>
      </w:r>
    </w:p>
    <w:p w:rsidR="00000000" w:rsidDel="00000000" w:rsidP="00000000" w:rsidRDefault="00000000" w:rsidRPr="00000000" w14:paraId="000000A8">
      <w:pPr>
        <w:pStyle w:val="Heading1"/>
        <w:rPr/>
      </w:pPr>
      <w:r w:rsidDel="00000000" w:rsidR="00000000" w:rsidRPr="00000000">
        <w:rPr>
          <w:rtl w:val="0"/>
        </w:rPr>
        <w:t xml:space="preserve">13. Causal Separation Protocol for Every Bridge</w:t>
      </w:r>
    </w:p>
    <w:p w:rsidR="00000000" w:rsidDel="00000000" w:rsidP="00000000" w:rsidRDefault="00000000" w:rsidRPr="00000000" w14:paraId="000000A9">
      <w:pPr>
        <w:pStyle w:val="Heading2"/>
        <w:rPr/>
      </w:pPr>
      <w:r w:rsidDel="00000000" w:rsidR="00000000" w:rsidRPr="00000000">
        <w:rPr>
          <w:rtl w:val="0"/>
        </w:rPr>
        <w:t xml:space="preserve">13.2 Disciplinary Validation Science as Integration Governance</w:t>
      </w:r>
    </w:p>
    <w:p w:rsidR="00000000" w:rsidDel="00000000" w:rsidP="00000000" w:rsidRDefault="00000000" w:rsidRPr="00000000" w14:paraId="000000AA">
      <w:pPr>
        <w:rPr/>
      </w:pPr>
      <w:r w:rsidDel="00000000" w:rsidR="00000000" w:rsidRPr="00000000">
        <w:rPr>
          <w:rtl w:val="0"/>
        </w:rPr>
        <w:t xml:space="preserve">Disciplinary Validation Science governs the status assigned to every cross-field bridge. SR-CFIF does not promote a relation from plausible to supported merely because it appears repeatedly in the canon. Each bridge receives a claim-specific evidence state and must preserve the DVS distinction among conceptual validity, measurement validity, inferential identification, reproducibility, cumulative constraint, and institutional recognition.</w:t>
      </w:r>
    </w:p>
    <w:p w:rsidR="00000000" w:rsidDel="00000000" w:rsidP="00000000" w:rsidRDefault="00000000" w:rsidRPr="00000000" w14:paraId="000000AB">
      <w:pPr>
        <w:rPr/>
      </w:pPr>
      <w:r w:rsidDel="00000000" w:rsidR="00000000" w:rsidRPr="00000000">
        <w:rPr>
          <w:rtl w:val="0"/>
        </w:rPr>
        <w:t xml:space="preserve">DVS also governs field promotion, merger, demotion, or rejection. A failed bridge does not automatically abolish either endpoint field; it weakens the registered relation. A field is merged only when its residual object disappears under comparison. A universal operator survives only if its operational meaning remains invariant across domains. A theorem remains prospective where precursor mechanisms exist but full substrate conditions have not been observed.</w:t>
      </w:r>
    </w:p>
    <w:p w:rsidR="00000000" w:rsidDel="00000000" w:rsidP="00000000" w:rsidRDefault="00000000" w:rsidRPr="00000000" w14:paraId="000000AC">
      <w:pPr>
        <w:rPr/>
      </w:pPr>
      <w:r w:rsidDel="00000000" w:rsidR="00000000" w:rsidRPr="00000000">
        <w:rPr>
          <w:rtl w:val="0"/>
        </w:rPr>
        <w:t xml:space="preserve">The reciprocal rule also applies to SR-CFIF itself: institutions may reject a bridge, field, or integration claim, but an evidence-based judgment must identify the object reviewed, the standard applied, relevant comparators, specific defects, uncertainty, and a route to revision.</w:t>
      </w:r>
    </w:p>
    <w:p w:rsidR="00000000" w:rsidDel="00000000" w:rsidP="00000000" w:rsidRDefault="00000000" w:rsidRPr="00000000" w14:paraId="000000AD">
      <w:pPr>
        <w:widowControl w:val="1"/>
        <w:rPr/>
      </w:pPr>
      <w:r w:rsidDel="00000000" w:rsidR="00000000" w:rsidRPr="00000000">
        <w:rPr>
          <w:rtl w:val="0"/>
        </w:rPr>
        <w:t xml:space="preserve">Before an SR cross-field relation can be called causal, the analysis must confront at least six rival explanations: common shock, reverse causality, omitted-variable confounding, selection, measurement artifact, and scale mismatch.</w:t>
      </w:r>
    </w:p>
    <w:p w:rsidR="00000000" w:rsidDel="00000000" w:rsidP="00000000" w:rsidRDefault="00000000" w:rsidRPr="00000000" w14:paraId="000000AE">
      <w:pPr>
        <w:widowControl w:val="1"/>
        <w:rPr/>
      </w:pPr>
      <w:r w:rsidDel="00000000" w:rsidR="00000000" w:rsidRPr="00000000">
        <w:rPr>
          <w:rtl w:val="0"/>
        </w:rPr>
        <w:t xml:space="preserve">The minimum bridge protocol is: define source and receiver; preregister or state the expected direction; specify M_ij; justify τ_ij; identify exposure; identify at least one confounder set; test reverse direction where plausible; measure mediator change where feasible; test a blocker or moderator; compare against a simpler model; and state a result that would count against the bridge.</w:t>
      </w:r>
    </w:p>
    <w:p w:rsidR="00000000" w:rsidDel="00000000" w:rsidP="00000000" w:rsidRDefault="00000000" w:rsidRPr="00000000" w14:paraId="000000AF">
      <w:pPr>
        <w:keepNext w:val="0"/>
        <w:keepLines w:val="1"/>
        <w:pageBreakBefore w:val="0"/>
        <w:widowControl w:val="1"/>
        <w:pBdr>
          <w:top w:space="0" w:sz="0" w:val="nil"/>
          <w:left w:space="0" w:sz="0" w:val="nil"/>
          <w:bottom w:space="0" w:sz="0" w:val="nil"/>
          <w:right w:space="0" w:sz="0" w:val="nil"/>
          <w:between w:space="0" w:sz="0" w:val="nil"/>
        </w:pBdr>
        <w:shd w:fill="f4f7f9" w:val="clear"/>
        <w:spacing w:after="140" w:before="100" w:line="276" w:lineRule="auto"/>
        <w:ind w:left="0" w:right="0" w:firstLine="0"/>
        <w:jc w:val="center"/>
        <w:rPr>
          <w:rFonts w:ascii="Cambria Math" w:cs="Cambria Math" w:eastAsia="Cambria Math" w:hAnsi="Cambria Math"/>
          <w:b w:val="0"/>
          <w:bCs w:val="0"/>
          <w:i w:val="0"/>
          <w:iCs w:val="0"/>
          <w:smallCaps w:val="0"/>
          <w:strike w:val="0"/>
          <w:color w:val="17324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7324d"/>
          <w:sz w:val="22"/>
          <w:szCs w:val="22"/>
          <w:u w:val="none"/>
          <w:shd w:fill="auto" w:val="clear"/>
          <w:vertAlign w:val="baseline"/>
          <w:rtl w:val="0"/>
        </w:rPr>
        <w:t xml:space="preserve">Association ≠ Structural Dependence ≠ Transmission ≠ Causal Identification</w:t>
      </w:r>
    </w:p>
    <w:p w:rsidR="00000000" w:rsidDel="00000000" w:rsidP="00000000" w:rsidRDefault="00000000" w:rsidRPr="00000000" w14:paraId="000000B0">
      <w:pPr>
        <w:widowControl w:val="1"/>
        <w:rPr/>
      </w:pPr>
      <w:r w:rsidDel="00000000" w:rsidR="00000000" w:rsidRPr="00000000">
        <w:rPr>
          <w:rtl w:val="0"/>
        </w:rPr>
        <w:t xml:space="preserve">Longitudinal designs, natural experiments, difference-in-differences, interrupted time series, synthetic controls, regression discontinuity, instrumental variables where defensible, panel methods, mediation designs, and carefully structured comparative cases are all available. Method choice follows the claim; SR does not privilege one estimator.</w:t>
      </w:r>
    </w:p>
    <w:p w:rsidR="00000000" w:rsidDel="00000000" w:rsidP="00000000" w:rsidRDefault="00000000" w:rsidRPr="00000000" w14:paraId="000000B1">
      <w:pPr>
        <w:pStyle w:val="Heading2"/>
        <w:rPr/>
      </w:pPr>
      <w:r w:rsidDel="00000000" w:rsidR="00000000" w:rsidRPr="00000000">
        <w:rPr>
          <w:rtl w:val="0"/>
        </w:rPr>
        <w:t xml:space="preserve">13.1 Reciprocal Protocol for Institutional Judgments</w:t>
      </w:r>
    </w:p>
    <w:p w:rsidR="00000000" w:rsidDel="00000000" w:rsidP="00000000" w:rsidRDefault="00000000" w:rsidRPr="00000000" w14:paraId="000000B2">
      <w:pPr>
        <w:widowControl w:val="1"/>
        <w:rPr/>
      </w:pPr>
      <w:r w:rsidDel="00000000" w:rsidR="00000000" w:rsidRPr="00000000">
        <w:rPr>
          <w:rtl w:val="0"/>
        </w:rPr>
        <w:t xml:space="preserve">An institutional judgment about SR is not outside the empirical system. If a university, journal, funder, professional body, or public agency classifies an SR field as legitimate, premature, redundant, invalid, or unteachable, the minimum judgment protocol must identify the evaluator, the decision and its consequences, the standard applied, the evidence reviewed, comparator fields, differences in evidentiary treatment, uncertainty, conflicts or incentives, and a route for correction.</w:t>
      </w:r>
    </w:p>
    <w:p w:rsidR="00000000" w:rsidDel="00000000" w:rsidP="00000000" w:rsidRDefault="00000000" w:rsidRPr="00000000" w14:paraId="000000B3">
      <w:pPr>
        <w:widowControl w:val="1"/>
        <w:rPr/>
      </w:pPr>
      <w:r w:rsidDel="00000000" w:rsidR="00000000" w:rsidRPr="00000000">
        <w:rPr>
          <w:rtl w:val="0"/>
        </w:rPr>
        <w:t xml:space="preserve">Let J_hq denote an institutional judgment by evaluator h about SR component q:</w:t>
      </w:r>
    </w:p>
    <w:p w:rsidR="00000000" w:rsidDel="00000000" w:rsidP="00000000" w:rsidRDefault="00000000" w:rsidRPr="00000000" w14:paraId="000000B4">
      <w:pPr>
        <w:keepNext w:val="0"/>
        <w:keepLines w:val="1"/>
        <w:pageBreakBefore w:val="0"/>
        <w:widowControl w:val="1"/>
        <w:pBdr>
          <w:top w:space="0" w:sz="0" w:val="nil"/>
          <w:left w:space="0" w:sz="0" w:val="nil"/>
          <w:bottom w:space="0" w:sz="0" w:val="nil"/>
          <w:right w:space="0" w:sz="0" w:val="nil"/>
          <w:between w:space="0" w:sz="0" w:val="nil"/>
        </w:pBdr>
        <w:shd w:fill="f4f7f9" w:val="clear"/>
        <w:spacing w:after="140" w:before="100" w:line="276" w:lineRule="auto"/>
        <w:ind w:left="0" w:right="0" w:firstLine="0"/>
        <w:jc w:val="center"/>
        <w:rPr>
          <w:rFonts w:ascii="Cambria Math" w:cs="Cambria Math" w:eastAsia="Cambria Math" w:hAnsi="Cambria Math"/>
          <w:b w:val="0"/>
          <w:bCs w:val="0"/>
          <w:i w:val="0"/>
          <w:iCs w:val="0"/>
          <w:smallCaps w:val="0"/>
          <w:strike w:val="0"/>
          <w:color w:val="17324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7324d"/>
          <w:sz w:val="22"/>
          <w:szCs w:val="22"/>
          <w:u w:val="none"/>
          <w:shd w:fill="auto" w:val="clear"/>
          <w:vertAlign w:val="baseline"/>
          <w:rtl w:val="0"/>
        </w:rPr>
        <w:t xml:space="preserve">J_hq = f(S_h, D_q, K_h, C_h, I_h, U_h)</w:t>
      </w:r>
    </w:p>
    <w:p w:rsidR="00000000" w:rsidDel="00000000" w:rsidP="00000000" w:rsidRDefault="00000000" w:rsidRPr="00000000" w14:paraId="000000B5">
      <w:pPr>
        <w:widowControl w:val="1"/>
        <w:rPr/>
      </w:pPr>
      <w:r w:rsidDel="00000000" w:rsidR="00000000" w:rsidRPr="00000000">
        <w:rPr>
          <w:rtl w:val="0"/>
        </w:rPr>
        <w:t xml:space="preserve">where S_h is the declared standard, D_q is the evidence reviewed, K_h is the comparator set, C_h is contextual jurisdiction, I_h is institutional incentive or conflict structure, and U_h is acknowledged uncertainty. The equation does not presume bias. It makes the judgment inspectable.</w:t>
      </w:r>
    </w:p>
    <w:p w:rsidR="00000000" w:rsidDel="00000000" w:rsidP="00000000" w:rsidRDefault="00000000" w:rsidRPr="00000000" w14:paraId="000000B6">
      <w:pPr>
        <w:widowControl w:val="1"/>
        <w:jc w:val="both"/>
        <w:rPr/>
      </w:pPr>
      <w:r w:rsidDel="00000000" w:rsidR="00000000" w:rsidRPr="00000000">
        <w:rPr>
          <w:rtl w:val="0"/>
        </w:rPr>
        <w:t xml:space="preserve">The reciprocal rule is:</w:t>
      </w:r>
    </w:p>
    <w:p w:rsidR="00000000" w:rsidDel="00000000" w:rsidP="00000000" w:rsidRDefault="00000000" w:rsidRPr="00000000" w14:paraId="000000B7">
      <w:pPr>
        <w:keepNext w:val="0"/>
        <w:keepLines w:val="1"/>
        <w:pageBreakBefore w:val="0"/>
        <w:widowControl w:val="1"/>
        <w:pBdr>
          <w:top w:space="0" w:sz="0" w:val="nil"/>
          <w:left w:space="0" w:sz="0" w:val="nil"/>
          <w:bottom w:space="0" w:sz="0" w:val="nil"/>
          <w:right w:space="0" w:sz="0" w:val="nil"/>
          <w:between w:space="0" w:sz="0" w:val="nil"/>
        </w:pBdr>
        <w:shd w:fill="f4f7f9" w:val="clear"/>
        <w:spacing w:after="140" w:before="100" w:line="276" w:lineRule="auto"/>
        <w:ind w:left="0" w:right="0" w:firstLine="0"/>
        <w:jc w:val="center"/>
        <w:rPr>
          <w:rFonts w:ascii="Cambria Math" w:cs="Cambria Math" w:eastAsia="Cambria Math" w:hAnsi="Cambria Math"/>
          <w:b w:val="0"/>
          <w:bCs w:val="0"/>
          <w:i w:val="0"/>
          <w:iCs w:val="0"/>
          <w:smallCaps w:val="0"/>
          <w:strike w:val="0"/>
          <w:color w:val="17324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7324d"/>
          <w:sz w:val="22"/>
          <w:szCs w:val="22"/>
          <w:u w:val="none"/>
          <w:shd w:fill="auto" w:val="clear"/>
          <w:vertAlign w:val="baseline"/>
          <w:rtl w:val="0"/>
        </w:rPr>
        <w:t xml:space="preserve">Burden(SR claim) ↔ Burden(institutional judgment)</w:t>
      </w:r>
    </w:p>
    <w:p w:rsidR="00000000" w:rsidDel="00000000" w:rsidP="00000000" w:rsidRDefault="00000000" w:rsidRPr="00000000" w14:paraId="000000B8">
      <w:pPr>
        <w:widowControl w:val="1"/>
        <w:rPr/>
      </w:pPr>
      <w:r w:rsidDel="00000000" w:rsidR="00000000" w:rsidRPr="00000000">
        <w:rPr>
          <w:rtl w:val="0"/>
        </w:rPr>
        <w:t xml:space="preserve">SR must justify the scientific claim it makes. The institution must justify the classification or consequence it imposes. Neither novelty nor institutional authority confers epistemic immunity.</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1"/>
        <w:rPr/>
      </w:pPr>
      <w:r w:rsidDel="00000000" w:rsidR="00000000" w:rsidRPr="00000000">
        <w:rPr>
          <w:rtl w:val="0"/>
        </w:rPr>
        <w:t xml:space="preserve">14. Evidence Ladder for Cross-Field Relations</w:t>
      </w:r>
    </w:p>
    <w:tbl>
      <w:tblPr>
        <w:tblStyle w:val="Table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8060"/>
        <w:tblGridChange w:id="0">
          <w:tblGrid>
            <w:gridCol w:w="1300"/>
            <w:gridCol w:w="8060"/>
          </w:tblGrid>
        </w:tblGridChange>
      </w:tblGrid>
      <w:tr>
        <w:trPr>
          <w:cantSplit w:val="1"/>
          <w:tblHeader w:val="1"/>
        </w:trPr>
        <w:tc>
          <w:tcPr>
            <w:shd w:fill="17324d" w:val="clear"/>
            <w:tcMar>
              <w:top w:w="90.0" w:type="dxa"/>
              <w:bottom w:w="90.0" w:type="dxa"/>
            </w:tcMar>
          </w:tcPr>
          <w:p w:rsidR="00000000" w:rsidDel="00000000" w:rsidP="00000000" w:rsidRDefault="00000000" w:rsidRPr="00000000" w14:paraId="000000BB">
            <w:pPr>
              <w:rPr/>
            </w:pPr>
            <w:r w:rsidDel="00000000" w:rsidR="00000000" w:rsidRPr="00000000">
              <w:rPr>
                <w:rFonts w:ascii="Aptos" w:cs="Aptos" w:eastAsia="Aptos" w:hAnsi="Aptos"/>
                <w:b w:val="1"/>
                <w:bCs w:val="1"/>
                <w:i w:val="0"/>
                <w:iCs w:val="0"/>
                <w:color w:val="ffffff"/>
                <w:sz w:val="18"/>
                <w:szCs w:val="18"/>
                <w:rtl w:val="0"/>
              </w:rPr>
              <w:t xml:space="preserve">Level</w:t>
            </w:r>
            <w:r w:rsidDel="00000000" w:rsidR="00000000" w:rsidRPr="00000000">
              <w:rPr>
                <w:rtl w:val="0"/>
              </w:rPr>
            </w:r>
          </w:p>
        </w:tc>
        <w:tc>
          <w:tcPr>
            <w:shd w:fill="17324d" w:val="clear"/>
            <w:tcMar>
              <w:top w:w="90.0" w:type="dxa"/>
              <w:bottom w:w="90.0" w:type="dxa"/>
            </w:tcMar>
          </w:tcPr>
          <w:p w:rsidR="00000000" w:rsidDel="00000000" w:rsidP="00000000" w:rsidRDefault="00000000" w:rsidRPr="00000000" w14:paraId="000000BC">
            <w:pPr>
              <w:rPr/>
            </w:pPr>
            <w:r w:rsidDel="00000000" w:rsidR="00000000" w:rsidRPr="00000000">
              <w:rPr>
                <w:rFonts w:ascii="Aptos" w:cs="Aptos" w:eastAsia="Aptos" w:hAnsi="Aptos"/>
                <w:b w:val="1"/>
                <w:bCs w:val="1"/>
                <w:i w:val="0"/>
                <w:iCs w:val="0"/>
                <w:color w:val="ffffff"/>
                <w:sz w:val="18"/>
                <w:szCs w:val="18"/>
                <w:rtl w:val="0"/>
              </w:rPr>
              <w:t xml:space="preserve">Evidentiary standard</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BD">
            <w:pPr>
              <w:rPr/>
            </w:pPr>
            <w:r w:rsidDel="00000000" w:rsidR="00000000" w:rsidRPr="00000000">
              <w:rPr>
                <w:rFonts w:ascii="Aptos" w:cs="Aptos" w:eastAsia="Aptos" w:hAnsi="Aptos"/>
                <w:b w:val="1"/>
                <w:bCs w:val="1"/>
                <w:i w:val="0"/>
                <w:iCs w:val="0"/>
                <w:color w:val="202a33"/>
                <w:sz w:val="18"/>
                <w:szCs w:val="18"/>
                <w:rtl w:val="0"/>
              </w:rPr>
              <w:t xml:space="preserve">E0</w:t>
            </w:r>
            <w:r w:rsidDel="00000000" w:rsidR="00000000" w:rsidRPr="00000000">
              <w:rPr>
                <w:rtl w:val="0"/>
              </w:rPr>
            </w:r>
          </w:p>
        </w:tc>
        <w:tc>
          <w:tcPr>
            <w:tcMar>
              <w:top w:w="90.0" w:type="dxa"/>
              <w:bottom w:w="90.0" w:type="dxa"/>
            </w:tcMar>
          </w:tcPr>
          <w:p w:rsidR="00000000" w:rsidDel="00000000" w:rsidP="00000000" w:rsidRDefault="00000000" w:rsidRPr="00000000" w14:paraId="000000BE">
            <w:pPr>
              <w:rPr/>
            </w:pPr>
            <w:r w:rsidDel="00000000" w:rsidR="00000000" w:rsidRPr="00000000">
              <w:rPr>
                <w:rFonts w:ascii="Aptos" w:cs="Aptos" w:eastAsia="Aptos" w:hAnsi="Aptos"/>
                <w:b w:val="0"/>
                <w:bCs w:val="0"/>
                <w:i w:val="0"/>
                <w:iCs w:val="0"/>
                <w:color w:val="202a33"/>
                <w:sz w:val="18"/>
                <w:szCs w:val="18"/>
                <w:rtl w:val="0"/>
              </w:rPr>
              <w:t xml:space="preserve">Conceptual compatibility only.</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BF">
            <w:pPr>
              <w:rPr/>
            </w:pPr>
            <w:r w:rsidDel="00000000" w:rsidR="00000000" w:rsidRPr="00000000">
              <w:rPr>
                <w:rFonts w:ascii="Aptos" w:cs="Aptos" w:eastAsia="Aptos" w:hAnsi="Aptos"/>
                <w:b w:val="1"/>
                <w:bCs w:val="1"/>
                <w:i w:val="0"/>
                <w:iCs w:val="0"/>
                <w:color w:val="202a33"/>
                <w:sz w:val="18"/>
                <w:szCs w:val="18"/>
                <w:rtl w:val="0"/>
              </w:rPr>
              <w:t xml:space="preserve">E1</w:t>
            </w:r>
            <w:r w:rsidDel="00000000" w:rsidR="00000000" w:rsidRPr="00000000">
              <w:rPr>
                <w:rtl w:val="0"/>
              </w:rPr>
            </w:r>
          </w:p>
        </w:tc>
        <w:tc>
          <w:tcPr>
            <w:tcMar>
              <w:top w:w="90.0" w:type="dxa"/>
              <w:bottom w:w="90.0" w:type="dxa"/>
            </w:tcMar>
          </w:tcPr>
          <w:p w:rsidR="00000000" w:rsidDel="00000000" w:rsidP="00000000" w:rsidRDefault="00000000" w:rsidRPr="00000000" w14:paraId="000000C0">
            <w:pPr>
              <w:rPr/>
            </w:pPr>
            <w:r w:rsidDel="00000000" w:rsidR="00000000" w:rsidRPr="00000000">
              <w:rPr>
                <w:rFonts w:ascii="Aptos" w:cs="Aptos" w:eastAsia="Aptos" w:hAnsi="Aptos"/>
                <w:b w:val="0"/>
                <w:bCs w:val="0"/>
                <w:i w:val="0"/>
                <w:iCs w:val="0"/>
                <w:color w:val="202a33"/>
                <w:sz w:val="18"/>
                <w:szCs w:val="18"/>
                <w:rtl w:val="0"/>
              </w:rPr>
              <w:t xml:space="preserve">Replicated association with credible measurement.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C1">
            <w:pPr>
              <w:rPr/>
            </w:pPr>
            <w:r w:rsidDel="00000000" w:rsidR="00000000" w:rsidRPr="00000000">
              <w:rPr>
                <w:rFonts w:ascii="Aptos" w:cs="Aptos" w:eastAsia="Aptos" w:hAnsi="Aptos"/>
                <w:b w:val="1"/>
                <w:bCs w:val="1"/>
                <w:i w:val="0"/>
                <w:iCs w:val="0"/>
                <w:color w:val="202a33"/>
                <w:sz w:val="18"/>
                <w:szCs w:val="18"/>
                <w:rtl w:val="0"/>
              </w:rPr>
              <w:t xml:space="preserve">E2</w:t>
            </w:r>
            <w:r w:rsidDel="00000000" w:rsidR="00000000" w:rsidRPr="00000000">
              <w:rPr>
                <w:rtl w:val="0"/>
              </w:rPr>
            </w:r>
          </w:p>
        </w:tc>
        <w:tc>
          <w:tcPr>
            <w:tcMar>
              <w:top w:w="90.0" w:type="dxa"/>
              <w:bottom w:w="90.0" w:type="dxa"/>
            </w:tcMar>
          </w:tcPr>
          <w:p w:rsidR="00000000" w:rsidDel="00000000" w:rsidP="00000000" w:rsidRDefault="00000000" w:rsidRPr="00000000" w14:paraId="000000C2">
            <w:pPr>
              <w:rPr/>
            </w:pPr>
            <w:r w:rsidDel="00000000" w:rsidR="00000000" w:rsidRPr="00000000">
              <w:rPr>
                <w:rFonts w:ascii="Aptos" w:cs="Aptos" w:eastAsia="Aptos" w:hAnsi="Aptos"/>
                <w:b w:val="0"/>
                <w:bCs w:val="0"/>
                <w:i w:val="0"/>
                <w:iCs w:val="0"/>
                <w:color w:val="202a33"/>
                <w:sz w:val="18"/>
                <w:szCs w:val="18"/>
                <w:rtl w:val="0"/>
              </w:rPr>
              <w:t xml:space="preserve">Temporal ordering consistent with the proposed direction.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C3">
            <w:pPr>
              <w:rPr/>
            </w:pPr>
            <w:r w:rsidDel="00000000" w:rsidR="00000000" w:rsidRPr="00000000">
              <w:rPr>
                <w:rFonts w:ascii="Aptos" w:cs="Aptos" w:eastAsia="Aptos" w:hAnsi="Aptos"/>
                <w:b w:val="1"/>
                <w:bCs w:val="1"/>
                <w:i w:val="0"/>
                <w:iCs w:val="0"/>
                <w:color w:val="202a33"/>
                <w:sz w:val="18"/>
                <w:szCs w:val="18"/>
                <w:rtl w:val="0"/>
              </w:rPr>
              <w:t xml:space="preserve">E3</w:t>
            </w:r>
            <w:r w:rsidDel="00000000" w:rsidR="00000000" w:rsidRPr="00000000">
              <w:rPr>
                <w:rtl w:val="0"/>
              </w:rPr>
            </w:r>
          </w:p>
        </w:tc>
        <w:tc>
          <w:tcPr>
            <w:tcMar>
              <w:top w:w="90.0" w:type="dxa"/>
              <w:bottom w:w="90.0" w:type="dxa"/>
            </w:tcMar>
          </w:tcPr>
          <w:p w:rsidR="00000000" w:rsidDel="00000000" w:rsidP="00000000" w:rsidRDefault="00000000" w:rsidRPr="00000000" w14:paraId="000000C4">
            <w:pPr>
              <w:rPr/>
            </w:pPr>
            <w:r w:rsidDel="00000000" w:rsidR="00000000" w:rsidRPr="00000000">
              <w:rPr>
                <w:rFonts w:ascii="Aptos" w:cs="Aptos" w:eastAsia="Aptos" w:hAnsi="Aptos"/>
                <w:b w:val="0"/>
                <w:bCs w:val="0"/>
                <w:i w:val="0"/>
                <w:iCs w:val="0"/>
                <w:color w:val="202a33"/>
                <w:sz w:val="18"/>
                <w:szCs w:val="18"/>
                <w:rtl w:val="0"/>
              </w:rPr>
              <w:t xml:space="preserve">Observable pathway or mediator evidence consistent with M_ij.</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C5">
            <w:pPr>
              <w:rPr/>
            </w:pPr>
            <w:r w:rsidDel="00000000" w:rsidR="00000000" w:rsidRPr="00000000">
              <w:rPr>
                <w:rFonts w:ascii="Aptos" w:cs="Aptos" w:eastAsia="Aptos" w:hAnsi="Aptos"/>
                <w:b w:val="1"/>
                <w:bCs w:val="1"/>
                <w:i w:val="0"/>
                <w:iCs w:val="0"/>
                <w:color w:val="202a33"/>
                <w:sz w:val="18"/>
                <w:szCs w:val="18"/>
                <w:rtl w:val="0"/>
              </w:rPr>
              <w:t xml:space="preserve">E4</w:t>
            </w:r>
            <w:r w:rsidDel="00000000" w:rsidR="00000000" w:rsidRPr="00000000">
              <w:rPr>
                <w:rtl w:val="0"/>
              </w:rPr>
            </w:r>
          </w:p>
        </w:tc>
        <w:tc>
          <w:tcPr>
            <w:tcMar>
              <w:top w:w="90.0" w:type="dxa"/>
              <w:bottom w:w="90.0" w:type="dxa"/>
            </w:tcMar>
          </w:tcPr>
          <w:p w:rsidR="00000000" w:rsidDel="00000000" w:rsidP="00000000" w:rsidRDefault="00000000" w:rsidRPr="00000000" w14:paraId="000000C6">
            <w:pPr>
              <w:rPr/>
            </w:pPr>
            <w:r w:rsidDel="00000000" w:rsidR="00000000" w:rsidRPr="00000000">
              <w:rPr>
                <w:rFonts w:ascii="Aptos" w:cs="Aptos" w:eastAsia="Aptos" w:hAnsi="Aptos"/>
                <w:b w:val="0"/>
                <w:bCs w:val="0"/>
                <w:i w:val="0"/>
                <w:iCs w:val="0"/>
                <w:color w:val="202a33"/>
                <w:sz w:val="18"/>
                <w:szCs w:val="18"/>
                <w:rtl w:val="0"/>
              </w:rPr>
              <w:t xml:space="preserve">Differential response under predicted amplification, buffering, or exposure conditions.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C7">
            <w:pPr>
              <w:rPr/>
            </w:pPr>
            <w:r w:rsidDel="00000000" w:rsidR="00000000" w:rsidRPr="00000000">
              <w:rPr>
                <w:rFonts w:ascii="Aptos" w:cs="Aptos" w:eastAsia="Aptos" w:hAnsi="Aptos"/>
                <w:b w:val="1"/>
                <w:bCs w:val="1"/>
                <w:i w:val="0"/>
                <w:iCs w:val="0"/>
                <w:color w:val="202a33"/>
                <w:sz w:val="18"/>
                <w:szCs w:val="18"/>
                <w:rtl w:val="0"/>
              </w:rPr>
              <w:t xml:space="preserve">E5</w:t>
            </w:r>
            <w:r w:rsidDel="00000000" w:rsidR="00000000" w:rsidRPr="00000000">
              <w:rPr>
                <w:rtl w:val="0"/>
              </w:rPr>
            </w:r>
          </w:p>
        </w:tc>
        <w:tc>
          <w:tcPr>
            <w:tcMar>
              <w:top w:w="90.0" w:type="dxa"/>
              <w:bottom w:w="90.0" w:type="dxa"/>
            </w:tcMar>
          </w:tcPr>
          <w:p w:rsidR="00000000" w:rsidDel="00000000" w:rsidP="00000000" w:rsidRDefault="00000000" w:rsidRPr="00000000" w14:paraId="000000C8">
            <w:pPr>
              <w:rPr/>
            </w:pPr>
            <w:r w:rsidDel="00000000" w:rsidR="00000000" w:rsidRPr="00000000">
              <w:rPr>
                <w:rFonts w:ascii="Aptos" w:cs="Aptos" w:eastAsia="Aptos" w:hAnsi="Aptos"/>
                <w:b w:val="0"/>
                <w:bCs w:val="0"/>
                <w:i w:val="0"/>
                <w:iCs w:val="0"/>
                <w:color w:val="202a33"/>
                <w:sz w:val="18"/>
                <w:szCs w:val="18"/>
                <w:rtl w:val="0"/>
              </w:rPr>
              <w:t xml:space="preserve">Quasi-experimental, experimental, or unusually strong naturalistic identification of the bridge.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C9">
            <w:pPr>
              <w:rPr/>
            </w:pPr>
            <w:r w:rsidDel="00000000" w:rsidR="00000000" w:rsidRPr="00000000">
              <w:rPr>
                <w:rFonts w:ascii="Aptos" w:cs="Aptos" w:eastAsia="Aptos" w:hAnsi="Aptos"/>
                <w:b w:val="1"/>
                <w:bCs w:val="1"/>
                <w:i w:val="0"/>
                <w:iCs w:val="0"/>
                <w:color w:val="202a33"/>
                <w:sz w:val="18"/>
                <w:szCs w:val="18"/>
                <w:rtl w:val="0"/>
              </w:rPr>
              <w:t xml:space="preserve">E6</w:t>
            </w:r>
            <w:r w:rsidDel="00000000" w:rsidR="00000000" w:rsidRPr="00000000">
              <w:rPr>
                <w:rtl w:val="0"/>
              </w:rPr>
            </w:r>
          </w:p>
        </w:tc>
        <w:tc>
          <w:tcPr>
            <w:tcMar>
              <w:top w:w="90.0" w:type="dxa"/>
              <w:bottom w:w="90.0" w:type="dxa"/>
            </w:tcMar>
          </w:tcPr>
          <w:p w:rsidR="00000000" w:rsidDel="00000000" w:rsidP="00000000" w:rsidRDefault="00000000" w:rsidRPr="00000000" w14:paraId="000000CA">
            <w:pPr>
              <w:rPr/>
            </w:pPr>
            <w:r w:rsidDel="00000000" w:rsidR="00000000" w:rsidRPr="00000000">
              <w:rPr>
                <w:rFonts w:ascii="Aptos" w:cs="Aptos" w:eastAsia="Aptos" w:hAnsi="Aptos"/>
                <w:b w:val="0"/>
                <w:bCs w:val="0"/>
                <w:i w:val="0"/>
                <w:iCs w:val="0"/>
                <w:color w:val="202a33"/>
                <w:sz w:val="18"/>
                <w:szCs w:val="18"/>
                <w:rtl w:val="0"/>
              </w:rPr>
              <w:t xml:space="preserve">Independent replication across systems, populations, jurisdictions, or periods with stable construct meaning.</w:t>
            </w:r>
            <w:r w:rsidDel="00000000" w:rsidR="00000000" w:rsidRPr="00000000">
              <w:rPr>
                <w:rtl w:val="0"/>
              </w:rPr>
            </w:r>
          </w:p>
        </w:tc>
      </w:tr>
    </w:tbl>
    <w:p w:rsidR="00000000" w:rsidDel="00000000" w:rsidP="00000000" w:rsidRDefault="00000000" w:rsidRPr="00000000" w14:paraId="000000CB">
      <w:pPr>
        <w:widowControl w:val="1"/>
        <w:rPr/>
      </w:pPr>
      <w:r w:rsidDel="00000000" w:rsidR="00000000" w:rsidRPr="00000000">
        <w:rPr>
          <w:rtl w:val="0"/>
        </w:rPr>
        <w:t xml:space="preserve">The evidence level belongs to a particular bridge in a particular operationalization. It does not automatically transfer to every SR field or to the multiverse as a whole.</w:t>
      </w:r>
    </w:p>
    <w:p w:rsidR="00000000" w:rsidDel="00000000" w:rsidP="00000000" w:rsidRDefault="00000000" w:rsidRPr="00000000" w14:paraId="000000CC">
      <w:pPr>
        <w:pStyle w:val="Heading1"/>
        <w:rPr/>
      </w:pPr>
      <w:r w:rsidDel="00000000" w:rsidR="00000000" w:rsidRPr="00000000">
        <w:rPr>
          <w:rtl w:val="0"/>
        </w:rPr>
        <w:t xml:space="preserve">15. Construct Invariance Across Fields</w:t>
      </w:r>
    </w:p>
    <w:p w:rsidR="00000000" w:rsidDel="00000000" w:rsidP="00000000" w:rsidRDefault="00000000" w:rsidRPr="00000000" w14:paraId="000000CD">
      <w:pPr>
        <w:widowControl w:val="1"/>
        <w:rPr/>
      </w:pPr>
      <w:r w:rsidDel="00000000" w:rsidR="00000000" w:rsidRPr="00000000">
        <w:rPr>
          <w:rtl w:val="0"/>
        </w:rPr>
        <w:t xml:space="preserve">A term becomes a genuine cross-field operator only if its core meaning survives transfer across domains. Drift in institutional performance, epistemic drift, and psychological change cannot be treated as one variable merely because the same word is used.</w:t>
      </w:r>
    </w:p>
    <w:p w:rsidR="00000000" w:rsidDel="00000000" w:rsidP="00000000" w:rsidRDefault="00000000" w:rsidRPr="00000000" w14:paraId="000000CE">
      <w:pPr>
        <w:widowControl w:val="1"/>
        <w:rPr/>
      </w:pPr>
      <w:r w:rsidDel="00000000" w:rsidR="00000000" w:rsidRPr="00000000">
        <w:rPr>
          <w:rtl w:val="0"/>
        </w:rPr>
        <w:t xml:space="preserve">For each proposed universal operator SR-CFIF requires: a domain-general definition; field-specific operational definitions; configural comparability; metric or functional comparability where quantitative comparison is attempted; explicit boundary conditions; and evidence of cases where the operator should not apply.</w:t>
      </w:r>
    </w:p>
    <w:p w:rsidR="00000000" w:rsidDel="00000000" w:rsidP="00000000" w:rsidRDefault="00000000" w:rsidRPr="00000000" w14:paraId="000000CF">
      <w:pPr>
        <w:widowControl w:val="1"/>
        <w:rPr/>
      </w:pPr>
      <w:r w:rsidDel="00000000" w:rsidR="00000000" w:rsidRPr="00000000">
        <w:rPr>
          <w:rtl w:val="0"/>
        </w:rPr>
        <w:t xml:space="preserve">If measurement invariance fails, the operator may remain a family resemblance or domain-specific construct but cannot serve as a common quantitative bridge.</w:t>
      </w:r>
    </w:p>
    <w:p w:rsidR="00000000" w:rsidDel="00000000" w:rsidP="00000000" w:rsidRDefault="00000000" w:rsidRPr="00000000" w14:paraId="000000D0">
      <w:pPr>
        <w:pStyle w:val="Heading1"/>
        <w:rPr/>
      </w:pPr>
      <w:r w:rsidDel="00000000" w:rsidR="00000000" w:rsidRPr="00000000">
        <w:rPr>
          <w:rtl w:val="0"/>
        </w:rPr>
        <w:t xml:space="preserve">16. The Field Interface Contract</w:t>
      </w:r>
    </w:p>
    <w:p w:rsidR="00000000" w:rsidDel="00000000" w:rsidP="00000000" w:rsidRDefault="00000000" w:rsidRPr="00000000" w14:paraId="000000D1">
      <w:pPr>
        <w:widowControl w:val="1"/>
        <w:rPr/>
      </w:pPr>
      <w:r w:rsidDel="00000000" w:rsidR="00000000" w:rsidRPr="00000000">
        <w:rPr>
          <w:rtl w:val="0"/>
        </w:rPr>
        <w:t xml:space="preserve">Every integrated SR program should publish an interface specification containing eleven items: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Domain object and unit of analysis.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State vector and operational definitions.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Observable indicators and data provenance.</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Outputs the field can plausibly transmit.</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Inputs the field can plausibly receive.</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Candidate transmission mechanisms.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Lag ranges and temporal resolution.</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Amplifiers, buffers, substitution mechanisms, and recovery conditions.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Confounders, rival explanations, and reverse pathways.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Falsification conditions and simpler baseline models.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3" w:lineRule="auto"/>
        <w:ind w:left="360" w:right="0" w:hanging="360"/>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Measurement-invariance and replication requirements.</w:t>
      </w:r>
      <w:r w:rsidDel="00000000" w:rsidR="00000000" w:rsidRPr="00000000">
        <w:rPr>
          <w:rtl w:val="0"/>
        </w:rPr>
      </w:r>
    </w:p>
    <w:p w:rsidR="00000000" w:rsidDel="00000000" w:rsidP="00000000" w:rsidRDefault="00000000" w:rsidRPr="00000000" w14:paraId="000000DD">
      <w:pPr>
        <w:widowControl w:val="1"/>
        <w:rPr/>
      </w:pPr>
      <w:r w:rsidDel="00000000" w:rsidR="00000000" w:rsidRPr="00000000">
        <w:rPr>
          <w:rtl w:val="0"/>
        </w:rPr>
        <w:t xml:space="preserve">This contract is how the canon becomes interoperable without becoming conceptually homogeneous. Field status is recorded separately from the evidence level of each transmitted claim.</w:t>
      </w:r>
    </w:p>
    <w:p w:rsidR="00000000" w:rsidDel="00000000" w:rsidP="00000000" w:rsidRDefault="00000000" w:rsidRPr="00000000" w14:paraId="000000DE">
      <w:pPr>
        <w:pStyle w:val="Heading1"/>
        <w:rPr/>
      </w:pPr>
      <w:r w:rsidDel="00000000" w:rsidR="00000000" w:rsidRPr="00000000">
        <w:rPr>
          <w:rtl w:val="0"/>
        </w:rPr>
        <w:t xml:space="preserve">17. Canonical Bridge Registry</w:t>
      </w:r>
    </w:p>
    <w:p w:rsidR="00000000" w:rsidDel="00000000" w:rsidP="00000000" w:rsidRDefault="00000000" w:rsidRPr="00000000" w14:paraId="000000DF">
      <w:pPr>
        <w:widowControl w:val="1"/>
        <w:rPr/>
      </w:pPr>
      <w:r w:rsidDel="00000000" w:rsidR="00000000" w:rsidRPr="00000000">
        <w:rPr>
          <w:rtl w:val="0"/>
        </w:rPr>
        <w:t xml:space="preserve">Every tested bridge should receive a registry record rather than being buried in narrative prose. The minimum record is:</w:t>
      </w:r>
    </w:p>
    <w:p w:rsidR="00000000" w:rsidDel="00000000" w:rsidP="00000000" w:rsidRDefault="00000000" w:rsidRPr="00000000" w14:paraId="000000E0">
      <w:pPr>
        <w:keepNext w:val="0"/>
        <w:keepLines w:val="1"/>
        <w:pageBreakBefore w:val="0"/>
        <w:widowControl w:val="1"/>
        <w:pBdr>
          <w:top w:space="0" w:sz="0" w:val="nil"/>
          <w:left w:space="0" w:sz="0" w:val="nil"/>
          <w:bottom w:space="0" w:sz="0" w:val="nil"/>
          <w:right w:space="0" w:sz="0" w:val="nil"/>
          <w:between w:space="0" w:sz="0" w:val="nil"/>
        </w:pBdr>
        <w:shd w:fill="f4f7f9" w:val="clear"/>
        <w:spacing w:after="140" w:before="100" w:line="276" w:lineRule="auto"/>
        <w:ind w:left="0" w:right="0" w:firstLine="0"/>
        <w:jc w:val="center"/>
        <w:rPr>
          <w:rFonts w:ascii="Cambria Math" w:cs="Cambria Math" w:eastAsia="Cambria Math" w:hAnsi="Cambria Math"/>
          <w:b w:val="0"/>
          <w:bCs w:val="0"/>
          <w:i w:val="0"/>
          <w:iCs w:val="0"/>
          <w:smallCaps w:val="0"/>
          <w:strike w:val="0"/>
          <w:color w:val="17324d"/>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17324d"/>
          <w:sz w:val="22"/>
          <w:szCs w:val="22"/>
          <w:u w:val="none"/>
          <w:shd w:fill="auto" w:val="clear"/>
          <w:vertAlign w:val="baseline"/>
          <w:rtl w:val="0"/>
        </w:rPr>
        <w:t xml:space="preserve">B_ij = {Source, Receiver, Variables, M_ij, τ_ij, E_ij, A_ij, B_ij, Controls, Design, Evidence Level, Falsifier, Status}</w:t>
      </w:r>
    </w:p>
    <w:p w:rsidR="00000000" w:rsidDel="00000000" w:rsidP="00000000" w:rsidRDefault="00000000" w:rsidRPr="00000000" w14:paraId="000000E1">
      <w:pPr>
        <w:widowControl w:val="1"/>
        <w:rPr/>
      </w:pPr>
      <w:r w:rsidDel="00000000" w:rsidR="00000000" w:rsidRPr="00000000">
        <w:rPr>
          <w:rtl w:val="0"/>
        </w:rPr>
        <w:t xml:space="preserve">Status should use constrained language such as proposed, operationalized, associated, pathway-supported, causally supported under design assumptions, replicated, fragile, unsupported, or rejected. 'Canonical' describes its place in SR; it does not substitute for empirical status.</w:t>
      </w:r>
    </w:p>
    <w:p w:rsidR="00000000" w:rsidDel="00000000" w:rsidP="00000000" w:rsidRDefault="00000000" w:rsidRPr="00000000" w14:paraId="000000E2">
      <w:pPr>
        <w:widowControl w:val="1"/>
        <w:rPr/>
      </w:pPr>
      <w:r w:rsidDel="00000000" w:rsidR="00000000" w:rsidRPr="00000000">
        <w:rPr>
          <w:rtl w:val="0"/>
        </w:rPr>
        <w:t xml:space="preserve">Institutional decisions that affect recognition, curriculum, publication, funding, hiring, or access should receive a parallel judgment record rather than being treated as self-validating exercises of authority.</w:t>
      </w:r>
    </w:p>
    <w:p w:rsidR="00000000" w:rsidDel="00000000" w:rsidP="00000000" w:rsidRDefault="00000000" w:rsidRPr="00000000" w14:paraId="000000E3">
      <w:pPr>
        <w:pStyle w:val="Heading1"/>
        <w:rPr/>
      </w:pPr>
      <w:r w:rsidDel="00000000" w:rsidR="00000000" w:rsidRPr="00000000">
        <w:rPr>
          <w:rtl w:val="0"/>
        </w:rPr>
        <w:t xml:space="preserve">18. Integration Failure Modes</w:t>
      </w:r>
    </w:p>
    <w:p w:rsidR="00000000" w:rsidDel="00000000" w:rsidP="00000000" w:rsidRDefault="00000000" w:rsidRPr="00000000" w14:paraId="000000E4">
      <w:pPr>
        <w:widowControl w:val="1"/>
        <w:jc w:val="both"/>
        <w:rPr/>
      </w:pPr>
      <w:r w:rsidDel="00000000" w:rsidR="00000000" w:rsidRPr="00000000">
        <w:rPr>
          <w:rtl w:val="0"/>
        </w:rPr>
        <w:t xml:space="preserve">SR-CFIF identifies recurring ways a multiverse can become unfalsifiable.</w:t>
      </w:r>
    </w:p>
    <w:tbl>
      <w:tblPr>
        <w:tblStyle w:val="Table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0"/>
        <w:gridCol w:w="6910"/>
        <w:tblGridChange w:id="0">
          <w:tblGrid>
            <w:gridCol w:w="2450"/>
            <w:gridCol w:w="6910"/>
          </w:tblGrid>
        </w:tblGridChange>
      </w:tblGrid>
      <w:tr>
        <w:trPr>
          <w:cantSplit w:val="1"/>
          <w:tblHeader w:val="0"/>
        </w:trPr>
        <w:tc>
          <w:tcPr>
            <w:shd w:fill="f4f7f9" w:val="clear"/>
            <w:tcMar>
              <w:top w:w="90.0" w:type="dxa"/>
              <w:bottom w:w="90.0" w:type="dxa"/>
            </w:tcMar>
          </w:tcPr>
          <w:p w:rsidR="00000000" w:rsidDel="00000000" w:rsidP="00000000" w:rsidRDefault="00000000" w:rsidRPr="00000000" w14:paraId="000000E5">
            <w:pPr>
              <w:rPr/>
            </w:pPr>
            <w:r w:rsidDel="00000000" w:rsidR="00000000" w:rsidRPr="00000000">
              <w:rPr>
                <w:rFonts w:ascii="Aptos" w:cs="Aptos" w:eastAsia="Aptos" w:hAnsi="Aptos"/>
                <w:b w:val="1"/>
                <w:bCs w:val="1"/>
                <w:i w:val="0"/>
                <w:iCs w:val="0"/>
                <w:color w:val="17324d"/>
                <w:sz w:val="19"/>
                <w:szCs w:val="19"/>
                <w:rtl w:val="0"/>
              </w:rPr>
              <w:t xml:space="preserve">Field inflation</w:t>
            </w:r>
            <w:r w:rsidDel="00000000" w:rsidR="00000000" w:rsidRPr="00000000">
              <w:rPr>
                <w:rtl w:val="0"/>
              </w:rPr>
            </w:r>
          </w:p>
        </w:tc>
        <w:tc>
          <w:tcPr>
            <w:tcMar>
              <w:top w:w="90.0" w:type="dxa"/>
              <w:bottom w:w="90.0" w:type="dxa"/>
            </w:tcMar>
          </w:tcPr>
          <w:p w:rsidR="00000000" w:rsidDel="00000000" w:rsidP="00000000" w:rsidRDefault="00000000" w:rsidRPr="00000000" w14:paraId="000000E6">
            <w:pPr>
              <w:rPr/>
            </w:pPr>
            <w:r w:rsidDel="00000000" w:rsidR="00000000" w:rsidRPr="00000000">
              <w:rPr>
                <w:rFonts w:ascii="Aptos" w:cs="Aptos" w:eastAsia="Aptos" w:hAnsi="Aptos"/>
                <w:b w:val="0"/>
                <w:bCs w:val="0"/>
                <w:i w:val="0"/>
                <w:iCs w:val="0"/>
                <w:color w:val="202a33"/>
                <w:sz w:val="19"/>
                <w:szCs w:val="19"/>
                <w:rtl w:val="0"/>
              </w:rPr>
              <w:t xml:space="preserve">occurs when every mechanism is renamed as a discipline. The remedy is hierarchical consolidation.</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0E7">
            <w:pPr>
              <w:rPr/>
            </w:pPr>
            <w:r w:rsidDel="00000000" w:rsidR="00000000" w:rsidRPr="00000000">
              <w:rPr>
                <w:rFonts w:ascii="Aptos" w:cs="Aptos" w:eastAsia="Aptos" w:hAnsi="Aptos"/>
                <w:b w:val="1"/>
                <w:bCs w:val="1"/>
                <w:i w:val="0"/>
                <w:iCs w:val="0"/>
                <w:color w:val="17324d"/>
                <w:sz w:val="19"/>
                <w:szCs w:val="19"/>
                <w:rtl w:val="0"/>
              </w:rPr>
              <w:t xml:space="preserve">Arrow inflation</w:t>
            </w:r>
            <w:r w:rsidDel="00000000" w:rsidR="00000000" w:rsidRPr="00000000">
              <w:rPr>
                <w:rtl w:val="0"/>
              </w:rPr>
            </w:r>
          </w:p>
        </w:tc>
        <w:tc>
          <w:tcPr>
            <w:tcMar>
              <w:top w:w="90.0" w:type="dxa"/>
              <w:bottom w:w="90.0" w:type="dxa"/>
            </w:tcMar>
          </w:tcPr>
          <w:p w:rsidR="00000000" w:rsidDel="00000000" w:rsidP="00000000" w:rsidRDefault="00000000" w:rsidRPr="00000000" w14:paraId="000000E8">
            <w:pPr>
              <w:rPr/>
            </w:pPr>
            <w:r w:rsidDel="00000000" w:rsidR="00000000" w:rsidRPr="00000000">
              <w:rPr>
                <w:rFonts w:ascii="Aptos" w:cs="Aptos" w:eastAsia="Aptos" w:hAnsi="Aptos"/>
                <w:b w:val="0"/>
                <w:bCs w:val="0"/>
                <w:i w:val="0"/>
                <w:iCs w:val="0"/>
                <w:color w:val="202a33"/>
                <w:sz w:val="19"/>
                <w:szCs w:val="19"/>
                <w:rtl w:val="0"/>
              </w:rPr>
              <w:t xml:space="preserve">occurs when conceptual plausibility is drawn as causal transmission. The remedy is the bridge evidence ladder.</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0E9">
            <w:pPr>
              <w:rPr/>
            </w:pPr>
            <w:r w:rsidDel="00000000" w:rsidR="00000000" w:rsidRPr="00000000">
              <w:rPr>
                <w:rFonts w:ascii="Aptos" w:cs="Aptos" w:eastAsia="Aptos" w:hAnsi="Aptos"/>
                <w:b w:val="1"/>
                <w:bCs w:val="1"/>
                <w:i w:val="0"/>
                <w:iCs w:val="0"/>
                <w:color w:val="17324d"/>
                <w:sz w:val="19"/>
                <w:szCs w:val="19"/>
                <w:rtl w:val="0"/>
              </w:rPr>
              <w:t xml:space="preserve">Operator drift</w:t>
            </w:r>
            <w:r w:rsidDel="00000000" w:rsidR="00000000" w:rsidRPr="00000000">
              <w:rPr>
                <w:rtl w:val="0"/>
              </w:rPr>
            </w:r>
          </w:p>
        </w:tc>
        <w:tc>
          <w:tcPr>
            <w:tcMar>
              <w:top w:w="90.0" w:type="dxa"/>
              <w:bottom w:w="90.0" w:type="dxa"/>
            </w:tcMar>
          </w:tcPr>
          <w:p w:rsidR="00000000" w:rsidDel="00000000" w:rsidP="00000000" w:rsidRDefault="00000000" w:rsidRPr="00000000" w14:paraId="000000EA">
            <w:pPr>
              <w:rPr/>
            </w:pPr>
            <w:r w:rsidDel="00000000" w:rsidR="00000000" w:rsidRPr="00000000">
              <w:rPr>
                <w:rFonts w:ascii="Aptos" w:cs="Aptos" w:eastAsia="Aptos" w:hAnsi="Aptos"/>
                <w:b w:val="0"/>
                <w:bCs w:val="0"/>
                <w:i w:val="0"/>
                <w:iCs w:val="0"/>
                <w:color w:val="202a33"/>
                <w:sz w:val="19"/>
                <w:szCs w:val="19"/>
                <w:rtl w:val="0"/>
              </w:rPr>
              <w:t xml:space="preserve">occurs when the same word changes meaning across domains. The remedy is invariance testing.</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0EB">
            <w:pPr>
              <w:rPr/>
            </w:pPr>
            <w:r w:rsidDel="00000000" w:rsidR="00000000" w:rsidRPr="00000000">
              <w:rPr>
                <w:rFonts w:ascii="Aptos" w:cs="Aptos" w:eastAsia="Aptos" w:hAnsi="Aptos"/>
                <w:b w:val="1"/>
                <w:bCs w:val="1"/>
                <w:i w:val="0"/>
                <w:iCs w:val="0"/>
                <w:color w:val="17324d"/>
                <w:sz w:val="19"/>
                <w:szCs w:val="19"/>
                <w:rtl w:val="0"/>
              </w:rPr>
              <w:t xml:space="preserve">Scale collapse</w:t>
            </w:r>
            <w:r w:rsidDel="00000000" w:rsidR="00000000" w:rsidRPr="00000000">
              <w:rPr>
                <w:rtl w:val="0"/>
              </w:rPr>
            </w:r>
          </w:p>
        </w:tc>
        <w:tc>
          <w:tcPr>
            <w:tcMar>
              <w:top w:w="90.0" w:type="dxa"/>
              <w:bottom w:w="90.0" w:type="dxa"/>
            </w:tcMar>
          </w:tcPr>
          <w:p w:rsidR="00000000" w:rsidDel="00000000" w:rsidP="00000000" w:rsidRDefault="00000000" w:rsidRPr="00000000" w14:paraId="000000EC">
            <w:pPr>
              <w:rPr/>
            </w:pPr>
            <w:r w:rsidDel="00000000" w:rsidR="00000000" w:rsidRPr="00000000">
              <w:rPr>
                <w:rFonts w:ascii="Aptos" w:cs="Aptos" w:eastAsia="Aptos" w:hAnsi="Aptos"/>
                <w:b w:val="0"/>
                <w:bCs w:val="0"/>
                <w:i w:val="0"/>
                <w:iCs w:val="0"/>
                <w:color w:val="202a33"/>
                <w:sz w:val="19"/>
                <w:szCs w:val="19"/>
                <w:rtl w:val="0"/>
              </w:rPr>
              <w:t xml:space="preserve">occurs when individual and aggregate processes are mixed without multilevel identification.</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0ED">
            <w:pPr>
              <w:rPr/>
            </w:pPr>
            <w:r w:rsidDel="00000000" w:rsidR="00000000" w:rsidRPr="00000000">
              <w:rPr>
                <w:rFonts w:ascii="Aptos" w:cs="Aptos" w:eastAsia="Aptos" w:hAnsi="Aptos"/>
                <w:b w:val="1"/>
                <w:bCs w:val="1"/>
                <w:i w:val="0"/>
                <w:iCs w:val="0"/>
                <w:color w:val="17324d"/>
                <w:sz w:val="19"/>
                <w:szCs w:val="19"/>
                <w:rtl w:val="0"/>
              </w:rPr>
              <w:t xml:space="preserve">Post hoc thresholding</w:t>
            </w:r>
            <w:r w:rsidDel="00000000" w:rsidR="00000000" w:rsidRPr="00000000">
              <w:rPr>
                <w:rtl w:val="0"/>
              </w:rPr>
            </w:r>
          </w:p>
        </w:tc>
        <w:tc>
          <w:tcPr>
            <w:tcMar>
              <w:top w:w="90.0" w:type="dxa"/>
              <w:bottom w:w="90.0" w:type="dxa"/>
            </w:tcMar>
          </w:tcPr>
          <w:p w:rsidR="00000000" w:rsidDel="00000000" w:rsidP="00000000" w:rsidRDefault="00000000" w:rsidRPr="00000000" w14:paraId="000000EE">
            <w:pPr>
              <w:rPr/>
            </w:pPr>
            <w:r w:rsidDel="00000000" w:rsidR="00000000" w:rsidRPr="00000000">
              <w:rPr>
                <w:rFonts w:ascii="Aptos" w:cs="Aptos" w:eastAsia="Aptos" w:hAnsi="Aptos"/>
                <w:b w:val="0"/>
                <w:bCs w:val="0"/>
                <w:i w:val="0"/>
                <w:iCs w:val="0"/>
                <w:color w:val="202a33"/>
                <w:sz w:val="19"/>
                <w:szCs w:val="19"/>
                <w:rtl w:val="0"/>
              </w:rPr>
              <w:t xml:space="preserve">occurs when cut points are chosen because they produce the desired narrative.</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0EF">
            <w:pPr>
              <w:rPr/>
            </w:pPr>
            <w:r w:rsidDel="00000000" w:rsidR="00000000" w:rsidRPr="00000000">
              <w:rPr>
                <w:rFonts w:ascii="Aptos" w:cs="Aptos" w:eastAsia="Aptos" w:hAnsi="Aptos"/>
                <w:b w:val="1"/>
                <w:bCs w:val="1"/>
                <w:i w:val="0"/>
                <w:iCs w:val="0"/>
                <w:color w:val="17324d"/>
                <w:sz w:val="19"/>
                <w:szCs w:val="19"/>
                <w:rtl w:val="0"/>
              </w:rPr>
              <w:t xml:space="preserve">Complexity protection</w:t>
            </w:r>
            <w:r w:rsidDel="00000000" w:rsidR="00000000" w:rsidRPr="00000000">
              <w:rPr>
                <w:rtl w:val="0"/>
              </w:rPr>
            </w:r>
          </w:p>
        </w:tc>
        <w:tc>
          <w:tcPr>
            <w:tcMar>
              <w:top w:w="90.0" w:type="dxa"/>
              <w:bottom w:w="90.0" w:type="dxa"/>
            </w:tcMar>
          </w:tcPr>
          <w:p w:rsidR="00000000" w:rsidDel="00000000" w:rsidP="00000000" w:rsidRDefault="00000000" w:rsidRPr="00000000" w14:paraId="000000F0">
            <w:pPr>
              <w:rPr/>
            </w:pPr>
            <w:r w:rsidDel="00000000" w:rsidR="00000000" w:rsidRPr="00000000">
              <w:rPr>
                <w:rFonts w:ascii="Aptos" w:cs="Aptos" w:eastAsia="Aptos" w:hAnsi="Aptos"/>
                <w:b w:val="0"/>
                <w:bCs w:val="0"/>
                <w:i w:val="0"/>
                <w:iCs w:val="0"/>
                <w:color w:val="202a33"/>
                <w:sz w:val="19"/>
                <w:szCs w:val="19"/>
                <w:rtl w:val="0"/>
              </w:rPr>
              <w:t xml:space="preserve">occurs when an integrated model is treated as superior merely because it contains more variables. The remedy is out-of-sample comparison, information criteria, penalization, and simpler baselines.</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0F1">
            <w:pPr>
              <w:rPr/>
            </w:pPr>
            <w:r w:rsidDel="00000000" w:rsidR="00000000" w:rsidRPr="00000000">
              <w:rPr>
                <w:rFonts w:ascii="Aptos" w:cs="Aptos" w:eastAsia="Aptos" w:hAnsi="Aptos"/>
                <w:b w:val="1"/>
                <w:bCs w:val="1"/>
                <w:i w:val="0"/>
                <w:iCs w:val="0"/>
                <w:color w:val="17324d"/>
                <w:sz w:val="19"/>
                <w:szCs w:val="19"/>
                <w:rtl w:val="0"/>
              </w:rPr>
              <w:t xml:space="preserve">Canon protection</w:t>
            </w:r>
            <w:r w:rsidDel="00000000" w:rsidR="00000000" w:rsidRPr="00000000">
              <w:rPr>
                <w:rtl w:val="0"/>
              </w:rPr>
            </w:r>
          </w:p>
        </w:tc>
        <w:tc>
          <w:tcPr>
            <w:tcMar>
              <w:top w:w="90.0" w:type="dxa"/>
              <w:bottom w:w="90.0" w:type="dxa"/>
            </w:tcMar>
          </w:tcPr>
          <w:p w:rsidR="00000000" w:rsidDel="00000000" w:rsidP="00000000" w:rsidRDefault="00000000" w:rsidRPr="00000000" w14:paraId="000000F2">
            <w:pPr>
              <w:rPr/>
            </w:pPr>
            <w:r w:rsidDel="00000000" w:rsidR="00000000" w:rsidRPr="00000000">
              <w:rPr>
                <w:rFonts w:ascii="Aptos" w:cs="Aptos" w:eastAsia="Aptos" w:hAnsi="Aptos"/>
                <w:b w:val="0"/>
                <w:bCs w:val="0"/>
                <w:i w:val="0"/>
                <w:iCs w:val="0"/>
                <w:color w:val="202a33"/>
                <w:sz w:val="19"/>
                <w:szCs w:val="19"/>
                <w:rtl w:val="0"/>
              </w:rPr>
              <w:t xml:space="preserve">occurs when negative findings are explained away instead of changing the architecture. The remedy is mandatory status revision.</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0F3">
            <w:pPr>
              <w:rPr/>
            </w:pPr>
            <w:r w:rsidDel="00000000" w:rsidR="00000000" w:rsidRPr="00000000">
              <w:rPr>
                <w:rFonts w:ascii="Aptos" w:cs="Aptos" w:eastAsia="Aptos" w:hAnsi="Aptos"/>
                <w:b w:val="1"/>
                <w:bCs w:val="1"/>
                <w:i w:val="0"/>
                <w:iCs w:val="0"/>
                <w:color w:val="17324d"/>
                <w:sz w:val="19"/>
                <w:szCs w:val="19"/>
                <w:rtl w:val="0"/>
              </w:rPr>
              <w:t xml:space="preserve">Field erasure</w:t>
            </w:r>
            <w:r w:rsidDel="00000000" w:rsidR="00000000" w:rsidRPr="00000000">
              <w:rPr>
                <w:rtl w:val="0"/>
              </w:rPr>
            </w:r>
          </w:p>
        </w:tc>
        <w:tc>
          <w:tcPr>
            <w:tcMar>
              <w:top w:w="90.0" w:type="dxa"/>
              <w:bottom w:w="90.0" w:type="dxa"/>
            </w:tcMar>
          </w:tcPr>
          <w:p w:rsidR="00000000" w:rsidDel="00000000" w:rsidP="00000000" w:rsidRDefault="00000000" w:rsidRPr="00000000" w14:paraId="000000F4">
            <w:pPr>
              <w:rPr/>
            </w:pPr>
            <w:r w:rsidDel="00000000" w:rsidR="00000000" w:rsidRPr="00000000">
              <w:rPr>
                <w:rFonts w:ascii="Aptos" w:cs="Aptos" w:eastAsia="Aptos" w:hAnsi="Aptos"/>
                <w:b w:val="0"/>
                <w:bCs w:val="0"/>
                <w:i w:val="0"/>
                <w:iCs w:val="0"/>
                <w:color w:val="202a33"/>
                <w:sz w:val="19"/>
                <w:szCs w:val="19"/>
                <w:rtl w:val="0"/>
              </w:rPr>
              <w:t xml:space="preserve">occurs when incomplete validation of some claims is used to deny a distinct field object that otherwise survived the gauntlet. The remedy is separation of field status from claim status.</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0F5">
            <w:pPr>
              <w:rPr/>
            </w:pPr>
            <w:r w:rsidDel="00000000" w:rsidR="00000000" w:rsidRPr="00000000">
              <w:rPr>
                <w:rFonts w:ascii="Aptos" w:cs="Aptos" w:eastAsia="Aptos" w:hAnsi="Aptos"/>
                <w:b w:val="1"/>
                <w:bCs w:val="1"/>
                <w:i w:val="0"/>
                <w:iCs w:val="0"/>
                <w:color w:val="17324d"/>
                <w:sz w:val="19"/>
                <w:szCs w:val="19"/>
                <w:rtl w:val="0"/>
              </w:rPr>
              <w:t xml:space="preserve">Institutional immunity</w:t>
            </w:r>
            <w:r w:rsidDel="00000000" w:rsidR="00000000" w:rsidRPr="00000000">
              <w:rPr>
                <w:rtl w:val="0"/>
              </w:rPr>
            </w:r>
          </w:p>
        </w:tc>
        <w:tc>
          <w:tcPr>
            <w:tcMar>
              <w:top w:w="90.0" w:type="dxa"/>
              <w:bottom w:w="90.0" w:type="dxa"/>
            </w:tcMar>
          </w:tcPr>
          <w:p w:rsidR="00000000" w:rsidDel="00000000" w:rsidP="00000000" w:rsidRDefault="00000000" w:rsidRPr="00000000" w14:paraId="000000F6">
            <w:pPr>
              <w:rPr/>
            </w:pPr>
            <w:r w:rsidDel="00000000" w:rsidR="00000000" w:rsidRPr="00000000">
              <w:rPr>
                <w:rFonts w:ascii="Aptos" w:cs="Aptos" w:eastAsia="Aptos" w:hAnsi="Aptos"/>
                <w:b w:val="0"/>
                <w:bCs w:val="0"/>
                <w:i w:val="0"/>
                <w:iCs w:val="0"/>
                <w:color w:val="202a33"/>
                <w:sz w:val="19"/>
                <w:szCs w:val="19"/>
                <w:rtl w:val="0"/>
              </w:rPr>
              <w:t xml:space="preserve">occurs when an evaluator demands evidence from SR while leaving its own criteria, comparators, incentives, or uncertainty unexamined. The remedy is the institutional judgment registry.</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0F7">
            <w:pPr>
              <w:rPr/>
            </w:pPr>
            <w:r w:rsidDel="00000000" w:rsidR="00000000" w:rsidRPr="00000000">
              <w:rPr>
                <w:rFonts w:ascii="Aptos" w:cs="Aptos" w:eastAsia="Aptos" w:hAnsi="Aptos"/>
                <w:b w:val="1"/>
                <w:bCs w:val="1"/>
                <w:i w:val="0"/>
                <w:iCs w:val="0"/>
                <w:color w:val="17324d"/>
                <w:sz w:val="19"/>
                <w:szCs w:val="19"/>
                <w:rtl w:val="0"/>
              </w:rPr>
              <w:t xml:space="preserve">Curricular asymmetry</w:t>
            </w:r>
            <w:r w:rsidDel="00000000" w:rsidR="00000000" w:rsidRPr="00000000">
              <w:rPr>
                <w:rtl w:val="0"/>
              </w:rPr>
            </w:r>
          </w:p>
        </w:tc>
        <w:tc>
          <w:tcPr>
            <w:tcMar>
              <w:top w:w="90.0" w:type="dxa"/>
              <w:bottom w:w="90.0" w:type="dxa"/>
            </w:tcMar>
          </w:tcPr>
          <w:p w:rsidR="00000000" w:rsidDel="00000000" w:rsidP="00000000" w:rsidRDefault="00000000" w:rsidRPr="00000000" w14:paraId="000000F8">
            <w:pPr>
              <w:rPr/>
            </w:pPr>
            <w:r w:rsidDel="00000000" w:rsidR="00000000" w:rsidRPr="00000000">
              <w:rPr>
                <w:rFonts w:ascii="Aptos" w:cs="Aptos" w:eastAsia="Aptos" w:hAnsi="Aptos"/>
                <w:b w:val="0"/>
                <w:bCs w:val="0"/>
                <w:i w:val="0"/>
                <w:iCs w:val="0"/>
                <w:color w:val="202a33"/>
                <w:sz w:val="19"/>
                <w:szCs w:val="19"/>
                <w:rtl w:val="0"/>
              </w:rPr>
              <w:t xml:space="preserve">occurs when established fields are taught without visible claim-level evidence labeling while an emerging field is rejected for lacking total validation. The remedy is symmetrical disclosure and comparison.</w:t>
            </w:r>
            <w:r w:rsidDel="00000000" w:rsidR="00000000" w:rsidRPr="00000000">
              <w:rPr>
                <w:rtl w:val="0"/>
              </w:rPr>
            </w:r>
          </w:p>
        </w:tc>
      </w:tr>
    </w:tbl>
    <w:p w:rsidR="00000000" w:rsidDel="00000000" w:rsidP="00000000" w:rsidRDefault="00000000" w:rsidRPr="00000000" w14:paraId="000000F9">
      <w:pPr>
        <w:pStyle w:val="Heading1"/>
        <w:rPr/>
      </w:pPr>
      <w:r w:rsidDel="00000000" w:rsidR="00000000" w:rsidRPr="00000000">
        <w:rPr>
          <w:rtl w:val="0"/>
        </w:rPr>
        <w:t xml:space="preserve">19. The Unified Empirical Test Architecture</w:t>
      </w:r>
    </w:p>
    <w:p w:rsidR="00000000" w:rsidDel="00000000" w:rsidP="00000000" w:rsidRDefault="00000000" w:rsidRPr="00000000" w14:paraId="000000FA">
      <w:pPr>
        <w:widowControl w:val="1"/>
        <w:rPr/>
      </w:pPr>
      <w:r w:rsidDel="00000000" w:rsidR="00000000" w:rsidRPr="00000000">
        <w:rPr>
          <w:rtl w:val="0"/>
        </w:rPr>
        <w:t xml:space="preserve">The future Unified Empirical Test of SignalRupture should not attempt to estimate the entire multiverse at once. It should proceed through staged bridge testing.</w:t>
      </w:r>
    </w:p>
    <w:tbl>
      <w:tblPr>
        <w:tblStyle w:val="Table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0"/>
        <w:gridCol w:w="6910"/>
        <w:tblGridChange w:id="0">
          <w:tblGrid>
            <w:gridCol w:w="2450"/>
            <w:gridCol w:w="6910"/>
          </w:tblGrid>
        </w:tblGridChange>
      </w:tblGrid>
      <w:tr>
        <w:trPr>
          <w:cantSplit w:val="1"/>
          <w:tblHeader w:val="0"/>
        </w:trPr>
        <w:tc>
          <w:tcPr>
            <w:shd w:fill="eaf0f4" w:val="clear"/>
            <w:tcMar>
              <w:top w:w="90.0" w:type="dxa"/>
              <w:bottom w:w="90.0" w:type="dxa"/>
            </w:tcMar>
          </w:tcPr>
          <w:p w:rsidR="00000000" w:rsidDel="00000000" w:rsidP="00000000" w:rsidRDefault="00000000" w:rsidRPr="00000000" w14:paraId="000000FB">
            <w:pPr>
              <w:rPr/>
            </w:pPr>
            <w:r w:rsidDel="00000000" w:rsidR="00000000" w:rsidRPr="00000000">
              <w:rPr>
                <w:rFonts w:ascii="Aptos" w:cs="Aptos" w:eastAsia="Aptos" w:hAnsi="Aptos"/>
                <w:b w:val="1"/>
                <w:bCs w:val="1"/>
                <w:i w:val="0"/>
                <w:iCs w:val="0"/>
                <w:color w:val="17324d"/>
                <w:sz w:val="19"/>
                <w:szCs w:val="19"/>
                <w:rtl w:val="0"/>
              </w:rPr>
              <w:t xml:space="preserve">Stage 1</w:t>
            </w:r>
            <w:r w:rsidDel="00000000" w:rsidR="00000000" w:rsidRPr="00000000">
              <w:rPr>
                <w:rtl w:val="0"/>
              </w:rPr>
            </w:r>
          </w:p>
        </w:tc>
        <w:tc>
          <w:tcPr>
            <w:tcMar>
              <w:top w:w="90.0" w:type="dxa"/>
              <w:bottom w:w="90.0" w:type="dxa"/>
            </w:tcMar>
          </w:tcPr>
          <w:p w:rsidR="00000000" w:rsidDel="00000000" w:rsidP="00000000" w:rsidRDefault="00000000" w:rsidRPr="00000000" w14:paraId="000000FC">
            <w:pPr>
              <w:rPr/>
            </w:pPr>
            <w:r w:rsidDel="00000000" w:rsidR="00000000" w:rsidRPr="00000000">
              <w:rPr>
                <w:rFonts w:ascii="Aptos" w:cs="Aptos" w:eastAsia="Aptos" w:hAnsi="Aptos"/>
                <w:b w:val="0"/>
                <w:bCs w:val="0"/>
                <w:i w:val="0"/>
                <w:iCs w:val="0"/>
                <w:color w:val="202a33"/>
                <w:sz w:val="19"/>
                <w:szCs w:val="19"/>
                <w:rtl w:val="0"/>
              </w:rPr>
              <w:t xml:space="preserve">Select a bounded real-world case with observable changes in at least three canonical domains.</w:t>
            </w:r>
            <w:r w:rsidDel="00000000" w:rsidR="00000000" w:rsidRPr="00000000">
              <w:rPr>
                <w:rtl w:val="0"/>
              </w:rPr>
            </w:r>
          </w:p>
        </w:tc>
      </w:tr>
      <w:tr>
        <w:trPr>
          <w:cantSplit w:val="1"/>
          <w:tblHeader w:val="0"/>
        </w:trPr>
        <w:tc>
          <w:tcPr>
            <w:shd w:fill="eaf0f4" w:val="clear"/>
            <w:tcMar>
              <w:top w:w="90.0" w:type="dxa"/>
              <w:bottom w:w="90.0" w:type="dxa"/>
            </w:tcMar>
          </w:tcPr>
          <w:p w:rsidR="00000000" w:rsidDel="00000000" w:rsidP="00000000" w:rsidRDefault="00000000" w:rsidRPr="00000000" w14:paraId="000000FD">
            <w:pPr>
              <w:rPr/>
            </w:pPr>
            <w:r w:rsidDel="00000000" w:rsidR="00000000" w:rsidRPr="00000000">
              <w:rPr>
                <w:rFonts w:ascii="Aptos" w:cs="Aptos" w:eastAsia="Aptos" w:hAnsi="Aptos"/>
                <w:b w:val="1"/>
                <w:bCs w:val="1"/>
                <w:i w:val="0"/>
                <w:iCs w:val="0"/>
                <w:color w:val="17324d"/>
                <w:sz w:val="19"/>
                <w:szCs w:val="19"/>
                <w:rtl w:val="0"/>
              </w:rPr>
              <w:t xml:space="preserve">Stage 2</w:t>
            </w:r>
            <w:r w:rsidDel="00000000" w:rsidR="00000000" w:rsidRPr="00000000">
              <w:rPr>
                <w:rtl w:val="0"/>
              </w:rPr>
            </w:r>
          </w:p>
        </w:tc>
        <w:tc>
          <w:tcPr>
            <w:tcMar>
              <w:top w:w="90.0" w:type="dxa"/>
              <w:bottom w:w="90.0" w:type="dxa"/>
            </w:tcMar>
          </w:tcPr>
          <w:p w:rsidR="00000000" w:rsidDel="00000000" w:rsidP="00000000" w:rsidRDefault="00000000" w:rsidRPr="00000000" w14:paraId="000000FE">
            <w:pPr>
              <w:rPr/>
            </w:pPr>
            <w:r w:rsidDel="00000000" w:rsidR="00000000" w:rsidRPr="00000000">
              <w:rPr>
                <w:rFonts w:ascii="Aptos" w:cs="Aptos" w:eastAsia="Aptos" w:hAnsi="Aptos"/>
                <w:b w:val="0"/>
                <w:bCs w:val="0"/>
                <w:i w:val="0"/>
                <w:iCs w:val="0"/>
                <w:color w:val="202a33"/>
                <w:sz w:val="19"/>
                <w:szCs w:val="19"/>
                <w:rtl w:val="0"/>
              </w:rPr>
              <w:t xml:space="preserve">Freeze the relevant field definitions and preregister candidate edges, directions, lag windows, mediators, buffers, and falsifiers.</w:t>
            </w:r>
            <w:r w:rsidDel="00000000" w:rsidR="00000000" w:rsidRPr="00000000">
              <w:rPr>
                <w:rtl w:val="0"/>
              </w:rPr>
            </w:r>
          </w:p>
        </w:tc>
      </w:tr>
      <w:tr>
        <w:trPr>
          <w:cantSplit w:val="1"/>
          <w:tblHeader w:val="0"/>
        </w:trPr>
        <w:tc>
          <w:tcPr>
            <w:shd w:fill="eaf0f4" w:val="clear"/>
            <w:tcMar>
              <w:top w:w="90.0" w:type="dxa"/>
              <w:bottom w:w="90.0" w:type="dxa"/>
            </w:tcMar>
          </w:tcPr>
          <w:p w:rsidR="00000000" w:rsidDel="00000000" w:rsidP="00000000" w:rsidRDefault="00000000" w:rsidRPr="00000000" w14:paraId="000000FF">
            <w:pPr>
              <w:rPr/>
            </w:pPr>
            <w:r w:rsidDel="00000000" w:rsidR="00000000" w:rsidRPr="00000000">
              <w:rPr>
                <w:rFonts w:ascii="Aptos" w:cs="Aptos" w:eastAsia="Aptos" w:hAnsi="Aptos"/>
                <w:b w:val="1"/>
                <w:bCs w:val="1"/>
                <w:i w:val="0"/>
                <w:iCs w:val="0"/>
                <w:color w:val="17324d"/>
                <w:sz w:val="19"/>
                <w:szCs w:val="19"/>
                <w:rtl w:val="0"/>
              </w:rPr>
              <w:t xml:space="preserve">Stage 3</w:t>
            </w:r>
            <w:r w:rsidDel="00000000" w:rsidR="00000000" w:rsidRPr="00000000">
              <w:rPr>
                <w:rtl w:val="0"/>
              </w:rPr>
            </w:r>
          </w:p>
        </w:tc>
        <w:tc>
          <w:tcPr>
            <w:tcMar>
              <w:top w:w="90.0" w:type="dxa"/>
              <w:bottom w:w="90.0" w:type="dxa"/>
            </w:tcMar>
          </w:tcPr>
          <w:p w:rsidR="00000000" w:rsidDel="00000000" w:rsidP="00000000" w:rsidRDefault="00000000" w:rsidRPr="00000000" w14:paraId="00000100">
            <w:pPr>
              <w:rPr/>
            </w:pPr>
            <w:r w:rsidDel="00000000" w:rsidR="00000000" w:rsidRPr="00000000">
              <w:rPr>
                <w:rFonts w:ascii="Aptos" w:cs="Aptos" w:eastAsia="Aptos" w:hAnsi="Aptos"/>
                <w:b w:val="0"/>
                <w:bCs w:val="0"/>
                <w:i w:val="0"/>
                <w:iCs w:val="0"/>
                <w:color w:val="202a33"/>
                <w:sz w:val="19"/>
                <w:szCs w:val="19"/>
                <w:rtl w:val="0"/>
              </w:rPr>
              <w:t xml:space="preserve">Estimate field-specific baseline models before adding SR cross-field terms.</w:t>
            </w:r>
            <w:r w:rsidDel="00000000" w:rsidR="00000000" w:rsidRPr="00000000">
              <w:rPr>
                <w:rtl w:val="0"/>
              </w:rPr>
            </w:r>
          </w:p>
        </w:tc>
      </w:tr>
      <w:tr>
        <w:trPr>
          <w:cantSplit w:val="1"/>
          <w:tblHeader w:val="0"/>
        </w:trPr>
        <w:tc>
          <w:tcPr>
            <w:shd w:fill="eaf0f4" w:val="clear"/>
            <w:tcMar>
              <w:top w:w="90.0" w:type="dxa"/>
              <w:bottom w:w="90.0" w:type="dxa"/>
            </w:tcMar>
          </w:tcPr>
          <w:p w:rsidR="00000000" w:rsidDel="00000000" w:rsidP="00000000" w:rsidRDefault="00000000" w:rsidRPr="00000000" w14:paraId="00000101">
            <w:pPr>
              <w:rPr/>
            </w:pPr>
            <w:r w:rsidDel="00000000" w:rsidR="00000000" w:rsidRPr="00000000">
              <w:rPr>
                <w:rFonts w:ascii="Aptos" w:cs="Aptos" w:eastAsia="Aptos" w:hAnsi="Aptos"/>
                <w:b w:val="1"/>
                <w:bCs w:val="1"/>
                <w:i w:val="0"/>
                <w:iCs w:val="0"/>
                <w:color w:val="17324d"/>
                <w:sz w:val="19"/>
                <w:szCs w:val="19"/>
                <w:rtl w:val="0"/>
              </w:rPr>
              <w:t xml:space="preserve">Stage 4</w:t>
            </w:r>
            <w:r w:rsidDel="00000000" w:rsidR="00000000" w:rsidRPr="00000000">
              <w:rPr>
                <w:rtl w:val="0"/>
              </w:rPr>
            </w:r>
          </w:p>
        </w:tc>
        <w:tc>
          <w:tcPr>
            <w:tcMar>
              <w:top w:w="90.0" w:type="dxa"/>
              <w:bottom w:w="90.0" w:type="dxa"/>
            </w:tcMar>
          </w:tcPr>
          <w:p w:rsidR="00000000" w:rsidDel="00000000" w:rsidP="00000000" w:rsidRDefault="00000000" w:rsidRPr="00000000" w14:paraId="00000102">
            <w:pPr>
              <w:rPr/>
            </w:pPr>
            <w:r w:rsidDel="00000000" w:rsidR="00000000" w:rsidRPr="00000000">
              <w:rPr>
                <w:rFonts w:ascii="Aptos" w:cs="Aptos" w:eastAsia="Aptos" w:hAnsi="Aptos"/>
                <w:b w:val="0"/>
                <w:bCs w:val="0"/>
                <w:i w:val="0"/>
                <w:iCs w:val="0"/>
                <w:color w:val="202a33"/>
                <w:sz w:val="19"/>
                <w:szCs w:val="19"/>
                <w:rtl w:val="0"/>
              </w:rPr>
              <w:t xml:space="preserve">Add one candidate bridge at a time and test incremental explanatory and predictive value.</w:t>
            </w:r>
            <w:r w:rsidDel="00000000" w:rsidR="00000000" w:rsidRPr="00000000">
              <w:rPr>
                <w:rtl w:val="0"/>
              </w:rPr>
            </w:r>
          </w:p>
        </w:tc>
      </w:tr>
      <w:tr>
        <w:trPr>
          <w:cantSplit w:val="1"/>
          <w:tblHeader w:val="0"/>
        </w:trPr>
        <w:tc>
          <w:tcPr>
            <w:shd w:fill="eaf0f4" w:val="clear"/>
            <w:tcMar>
              <w:top w:w="90.0" w:type="dxa"/>
              <w:bottom w:w="90.0" w:type="dxa"/>
            </w:tcMar>
          </w:tcPr>
          <w:p w:rsidR="00000000" w:rsidDel="00000000" w:rsidP="00000000" w:rsidRDefault="00000000" w:rsidRPr="00000000" w14:paraId="00000103">
            <w:pPr>
              <w:rPr/>
            </w:pPr>
            <w:r w:rsidDel="00000000" w:rsidR="00000000" w:rsidRPr="00000000">
              <w:rPr>
                <w:rFonts w:ascii="Aptos" w:cs="Aptos" w:eastAsia="Aptos" w:hAnsi="Aptos"/>
                <w:b w:val="1"/>
                <w:bCs w:val="1"/>
                <w:i w:val="0"/>
                <w:iCs w:val="0"/>
                <w:color w:val="17324d"/>
                <w:sz w:val="19"/>
                <w:szCs w:val="19"/>
                <w:rtl w:val="0"/>
              </w:rPr>
              <w:t xml:space="preserve">Stage 5</w:t>
            </w:r>
            <w:r w:rsidDel="00000000" w:rsidR="00000000" w:rsidRPr="00000000">
              <w:rPr>
                <w:rtl w:val="0"/>
              </w:rPr>
            </w:r>
          </w:p>
        </w:tc>
        <w:tc>
          <w:tcPr>
            <w:tcMar>
              <w:top w:w="90.0" w:type="dxa"/>
              <w:bottom w:w="90.0" w:type="dxa"/>
            </w:tcMar>
          </w:tcPr>
          <w:p w:rsidR="00000000" w:rsidDel="00000000" w:rsidP="00000000" w:rsidRDefault="00000000" w:rsidRPr="00000000" w14:paraId="00000104">
            <w:pPr>
              <w:rPr/>
            </w:pPr>
            <w:r w:rsidDel="00000000" w:rsidR="00000000" w:rsidRPr="00000000">
              <w:rPr>
                <w:rFonts w:ascii="Aptos" w:cs="Aptos" w:eastAsia="Aptos" w:hAnsi="Aptos"/>
                <w:b w:val="0"/>
                <w:bCs w:val="0"/>
                <w:i w:val="0"/>
                <w:iCs w:val="0"/>
                <w:color w:val="202a33"/>
                <w:sz w:val="19"/>
                <w:szCs w:val="19"/>
                <w:rtl w:val="0"/>
              </w:rPr>
              <w:t xml:space="preserve">Test alternate directions, common shocks, omitted variables, and measurement sensitivity.</w:t>
            </w:r>
            <w:r w:rsidDel="00000000" w:rsidR="00000000" w:rsidRPr="00000000">
              <w:rPr>
                <w:rtl w:val="0"/>
              </w:rPr>
            </w:r>
          </w:p>
        </w:tc>
      </w:tr>
      <w:tr>
        <w:trPr>
          <w:cantSplit w:val="1"/>
          <w:tblHeader w:val="0"/>
        </w:trPr>
        <w:tc>
          <w:tcPr>
            <w:shd w:fill="eaf0f4" w:val="clear"/>
            <w:tcMar>
              <w:top w:w="90.0" w:type="dxa"/>
              <w:bottom w:w="90.0" w:type="dxa"/>
            </w:tcMar>
          </w:tcPr>
          <w:p w:rsidR="00000000" w:rsidDel="00000000" w:rsidP="00000000" w:rsidRDefault="00000000" w:rsidRPr="00000000" w14:paraId="00000105">
            <w:pPr>
              <w:rPr/>
            </w:pPr>
            <w:r w:rsidDel="00000000" w:rsidR="00000000" w:rsidRPr="00000000">
              <w:rPr>
                <w:rFonts w:ascii="Aptos" w:cs="Aptos" w:eastAsia="Aptos" w:hAnsi="Aptos"/>
                <w:b w:val="1"/>
                <w:bCs w:val="1"/>
                <w:i w:val="0"/>
                <w:iCs w:val="0"/>
                <w:color w:val="17324d"/>
                <w:sz w:val="19"/>
                <w:szCs w:val="19"/>
                <w:rtl w:val="0"/>
              </w:rPr>
              <w:t xml:space="preserve">Stage 6</w:t>
            </w:r>
            <w:r w:rsidDel="00000000" w:rsidR="00000000" w:rsidRPr="00000000">
              <w:rPr>
                <w:rtl w:val="0"/>
              </w:rPr>
            </w:r>
          </w:p>
        </w:tc>
        <w:tc>
          <w:tcPr>
            <w:tcMar>
              <w:top w:w="90.0" w:type="dxa"/>
              <w:bottom w:w="90.0" w:type="dxa"/>
            </w:tcMar>
          </w:tcPr>
          <w:p w:rsidR="00000000" w:rsidDel="00000000" w:rsidP="00000000" w:rsidRDefault="00000000" w:rsidRPr="00000000" w14:paraId="00000106">
            <w:pPr>
              <w:rPr/>
            </w:pPr>
            <w:r w:rsidDel="00000000" w:rsidR="00000000" w:rsidRPr="00000000">
              <w:rPr>
                <w:rFonts w:ascii="Aptos" w:cs="Aptos" w:eastAsia="Aptos" w:hAnsi="Aptos"/>
                <w:b w:val="0"/>
                <w:bCs w:val="0"/>
                <w:i w:val="0"/>
                <w:iCs w:val="0"/>
                <w:color w:val="202a33"/>
                <w:sz w:val="19"/>
                <w:szCs w:val="19"/>
                <w:rtl w:val="0"/>
              </w:rPr>
              <w:t xml:space="preserve">Estimate the supported subnetwork as a coupled system.</w:t>
            </w:r>
            <w:r w:rsidDel="00000000" w:rsidR="00000000" w:rsidRPr="00000000">
              <w:rPr>
                <w:rtl w:val="0"/>
              </w:rPr>
            </w:r>
          </w:p>
        </w:tc>
      </w:tr>
      <w:tr>
        <w:trPr>
          <w:cantSplit w:val="1"/>
          <w:tblHeader w:val="0"/>
        </w:trPr>
        <w:tc>
          <w:tcPr>
            <w:shd w:fill="eaf0f4" w:val="clear"/>
            <w:tcMar>
              <w:top w:w="90.0" w:type="dxa"/>
              <w:bottom w:w="90.0" w:type="dxa"/>
            </w:tcMar>
          </w:tcPr>
          <w:p w:rsidR="00000000" w:rsidDel="00000000" w:rsidP="00000000" w:rsidRDefault="00000000" w:rsidRPr="00000000" w14:paraId="00000107">
            <w:pPr>
              <w:rPr/>
            </w:pPr>
            <w:r w:rsidDel="00000000" w:rsidR="00000000" w:rsidRPr="00000000">
              <w:rPr>
                <w:rFonts w:ascii="Aptos" w:cs="Aptos" w:eastAsia="Aptos" w:hAnsi="Aptos"/>
                <w:b w:val="1"/>
                <w:bCs w:val="1"/>
                <w:i w:val="0"/>
                <w:iCs w:val="0"/>
                <w:color w:val="17324d"/>
                <w:sz w:val="19"/>
                <w:szCs w:val="19"/>
                <w:rtl w:val="0"/>
              </w:rPr>
              <w:t xml:space="preserve">Stage 7</w:t>
            </w:r>
            <w:r w:rsidDel="00000000" w:rsidR="00000000" w:rsidRPr="00000000">
              <w:rPr>
                <w:rtl w:val="0"/>
              </w:rPr>
            </w:r>
          </w:p>
        </w:tc>
        <w:tc>
          <w:tcPr>
            <w:tcMar>
              <w:top w:w="90.0" w:type="dxa"/>
              <w:bottom w:w="90.0" w:type="dxa"/>
            </w:tcMar>
          </w:tcPr>
          <w:p w:rsidR="00000000" w:rsidDel="00000000" w:rsidP="00000000" w:rsidRDefault="00000000" w:rsidRPr="00000000" w14:paraId="00000108">
            <w:pPr>
              <w:rPr/>
            </w:pPr>
            <w:r w:rsidDel="00000000" w:rsidR="00000000" w:rsidRPr="00000000">
              <w:rPr>
                <w:rFonts w:ascii="Aptos" w:cs="Aptos" w:eastAsia="Aptos" w:hAnsi="Aptos"/>
                <w:b w:val="0"/>
                <w:bCs w:val="0"/>
                <w:i w:val="0"/>
                <w:iCs w:val="0"/>
                <w:color w:val="202a33"/>
                <w:sz w:val="19"/>
                <w:szCs w:val="19"/>
                <w:rtl w:val="0"/>
              </w:rPr>
              <w:t xml:space="preserve">Evaluate out-of-sample prediction, intervention response, and recovery dynamics.</w:t>
            </w:r>
            <w:r w:rsidDel="00000000" w:rsidR="00000000" w:rsidRPr="00000000">
              <w:rPr>
                <w:rtl w:val="0"/>
              </w:rPr>
            </w:r>
          </w:p>
        </w:tc>
      </w:tr>
      <w:tr>
        <w:trPr>
          <w:cantSplit w:val="1"/>
          <w:tblHeader w:val="0"/>
        </w:trPr>
        <w:tc>
          <w:tcPr>
            <w:shd w:fill="eaf0f4" w:val="clear"/>
            <w:tcMar>
              <w:top w:w="90.0" w:type="dxa"/>
              <w:bottom w:w="90.0" w:type="dxa"/>
            </w:tcMar>
          </w:tcPr>
          <w:p w:rsidR="00000000" w:rsidDel="00000000" w:rsidP="00000000" w:rsidRDefault="00000000" w:rsidRPr="00000000" w14:paraId="00000109">
            <w:pPr>
              <w:rPr/>
            </w:pPr>
            <w:r w:rsidDel="00000000" w:rsidR="00000000" w:rsidRPr="00000000">
              <w:rPr>
                <w:rFonts w:ascii="Aptos" w:cs="Aptos" w:eastAsia="Aptos" w:hAnsi="Aptos"/>
                <w:b w:val="1"/>
                <w:bCs w:val="1"/>
                <w:i w:val="0"/>
                <w:iCs w:val="0"/>
                <w:color w:val="17324d"/>
                <w:sz w:val="19"/>
                <w:szCs w:val="19"/>
                <w:rtl w:val="0"/>
              </w:rPr>
              <w:t xml:space="preserve">Stage 8</w:t>
            </w:r>
            <w:r w:rsidDel="00000000" w:rsidR="00000000" w:rsidRPr="00000000">
              <w:rPr>
                <w:rtl w:val="0"/>
              </w:rPr>
            </w:r>
          </w:p>
        </w:tc>
        <w:tc>
          <w:tcPr>
            <w:tcMar>
              <w:top w:w="90.0" w:type="dxa"/>
              <w:bottom w:w="90.0" w:type="dxa"/>
            </w:tcMar>
          </w:tcPr>
          <w:p w:rsidR="00000000" w:rsidDel="00000000" w:rsidP="00000000" w:rsidRDefault="00000000" w:rsidRPr="00000000" w14:paraId="0000010A">
            <w:pPr>
              <w:rPr/>
            </w:pPr>
            <w:r w:rsidDel="00000000" w:rsidR="00000000" w:rsidRPr="00000000">
              <w:rPr>
                <w:rFonts w:ascii="Aptos" w:cs="Aptos" w:eastAsia="Aptos" w:hAnsi="Aptos"/>
                <w:b w:val="0"/>
                <w:bCs w:val="0"/>
                <w:i w:val="0"/>
                <w:iCs w:val="0"/>
                <w:color w:val="202a33"/>
                <w:sz w:val="19"/>
                <w:szCs w:val="19"/>
                <w:rtl w:val="0"/>
              </w:rPr>
              <w:t xml:space="preserve">Replicate in a second jurisdiction, sector, or period.</w:t>
            </w:r>
            <w:r w:rsidDel="00000000" w:rsidR="00000000" w:rsidRPr="00000000">
              <w:rPr>
                <w:rtl w:val="0"/>
              </w:rPr>
            </w:r>
          </w:p>
        </w:tc>
      </w:tr>
    </w:tbl>
    <w:p w:rsidR="00000000" w:rsidDel="00000000" w:rsidP="00000000" w:rsidRDefault="00000000" w:rsidRPr="00000000" w14:paraId="0000010B">
      <w:pPr>
        <w:widowControl w:val="1"/>
        <w:rPr/>
      </w:pPr>
      <w:r w:rsidDel="00000000" w:rsidR="00000000" w:rsidRPr="00000000">
        <w:rPr>
          <w:rtl w:val="0"/>
        </w:rPr>
        <w:t xml:space="preserve">The integrated SR model survives only to the degree that supported edges improve understanding or prediction without sacrificing identification.</w:t>
      </w:r>
    </w:p>
    <w:p w:rsidR="00000000" w:rsidDel="00000000" w:rsidP="00000000" w:rsidRDefault="00000000" w:rsidRPr="00000000" w14:paraId="0000010C">
      <w:pPr>
        <w:pStyle w:val="Heading1"/>
        <w:rPr/>
      </w:pPr>
      <w:r w:rsidDel="00000000" w:rsidR="00000000" w:rsidRPr="00000000">
        <w:rPr>
          <w:rtl w:val="0"/>
        </w:rPr>
        <w:t xml:space="preserve">20. What Would Falsify the Integrated Architecture</w:t>
      </w:r>
    </w:p>
    <w:p w:rsidR="00000000" w:rsidDel="00000000" w:rsidP="00000000" w:rsidRDefault="00000000" w:rsidRPr="00000000" w14:paraId="0000010D">
      <w:pPr>
        <w:widowControl w:val="1"/>
        <w:rPr/>
      </w:pPr>
      <w:r w:rsidDel="00000000" w:rsidR="00000000" w:rsidRPr="00000000">
        <w:rPr>
          <w:rtl w:val="0"/>
        </w:rPr>
        <w:t xml:space="preserve">The SR multiverse would be materially weakened if repeated well-powered tests found that proposed cross-field effects largely vanish after common shocks and domain-standard controls; if the central operators fail construct invariance; if transmission mediators do not move as predicted; if predicted buffers do not attenuate effects; if reverse directions consistently outperform canonical directions; if the coupled models provide no incremental out-of-sample value over simpler disciplinary models; or if interventions that alter proposed source states do not generate the predicted downstream changes.</w:t>
      </w:r>
    </w:p>
    <w:p w:rsidR="00000000" w:rsidDel="00000000" w:rsidP="00000000" w:rsidRDefault="00000000" w:rsidRPr="00000000" w14:paraId="0000010E">
      <w:pPr>
        <w:widowControl w:val="1"/>
        <w:rPr/>
      </w:pPr>
      <w:r w:rsidDel="00000000" w:rsidR="00000000" w:rsidRPr="00000000">
        <w:rPr>
          <w:rtl w:val="0"/>
        </w:rPr>
        <w:t xml:space="preserve">A failure of one bridge does not automatically falsify every field. A persistent pattern of failed central bridges, however, would falsify the claim that SR functions as a coherent cross-domain explanatory architecture. That possibility is necessary for the multiverse to be scientific rather than merely encyclopedic.</w:t>
      </w:r>
    </w:p>
    <w:p w:rsidR="00000000" w:rsidDel="00000000" w:rsidP="00000000" w:rsidRDefault="00000000" w:rsidRPr="00000000" w14:paraId="0000010F">
      <w:pPr>
        <w:pStyle w:val="Heading1"/>
        <w:rPr/>
      </w:pPr>
      <w:r w:rsidDel="00000000" w:rsidR="00000000" w:rsidRPr="00000000">
        <w:rPr>
          <w:rtl w:val="0"/>
        </w:rPr>
        <w:t xml:space="preserve">21. Canonical Integration Rules</w:t>
      </w:r>
    </w:p>
    <w:tbl>
      <w:tblPr>
        <w:tblStyle w:val="Table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0"/>
        <w:gridCol w:w="6910"/>
        <w:tblGridChange w:id="0">
          <w:tblGrid>
            <w:gridCol w:w="2450"/>
            <w:gridCol w:w="6910"/>
          </w:tblGrid>
        </w:tblGridChange>
      </w:tblGrid>
      <w:tr>
        <w:trPr>
          <w:cantSplit w:val="1"/>
          <w:tblHeader w:val="0"/>
        </w:trPr>
        <w:tc>
          <w:tcPr>
            <w:shd w:fill="eaf0f4" w:val="clear"/>
            <w:tcMar>
              <w:top w:w="90.0" w:type="dxa"/>
              <w:bottom w:w="90.0" w:type="dxa"/>
            </w:tcMar>
          </w:tcPr>
          <w:p w:rsidR="00000000" w:rsidDel="00000000" w:rsidP="00000000" w:rsidRDefault="00000000" w:rsidRPr="00000000" w14:paraId="00000110">
            <w:pPr>
              <w:rPr/>
            </w:pPr>
            <w:r w:rsidDel="00000000" w:rsidR="00000000" w:rsidRPr="00000000">
              <w:rPr>
                <w:rFonts w:ascii="Aptos" w:cs="Aptos" w:eastAsia="Aptos" w:hAnsi="Aptos"/>
                <w:b w:val="1"/>
                <w:bCs w:val="1"/>
                <w:i w:val="0"/>
                <w:iCs w:val="0"/>
                <w:color w:val="17324d"/>
                <w:sz w:val="19"/>
                <w:szCs w:val="19"/>
                <w:rtl w:val="0"/>
              </w:rPr>
              <w:t xml:space="preserve">Rule 1</w:t>
            </w:r>
            <w:r w:rsidDel="00000000" w:rsidR="00000000" w:rsidRPr="00000000">
              <w:rPr>
                <w:rtl w:val="0"/>
              </w:rPr>
            </w:r>
          </w:p>
        </w:tc>
        <w:tc>
          <w:tcPr>
            <w:tcMar>
              <w:top w:w="90.0" w:type="dxa"/>
              <w:bottom w:w="90.0" w:type="dxa"/>
            </w:tcMar>
          </w:tcPr>
          <w:p w:rsidR="00000000" w:rsidDel="00000000" w:rsidP="00000000" w:rsidRDefault="00000000" w:rsidRPr="00000000" w14:paraId="00000111">
            <w:pPr>
              <w:rPr/>
            </w:pPr>
            <w:r w:rsidDel="00000000" w:rsidR="00000000" w:rsidRPr="00000000">
              <w:rPr>
                <w:rFonts w:ascii="Aptos" w:cs="Aptos" w:eastAsia="Aptos" w:hAnsi="Aptos"/>
                <w:b w:val="0"/>
                <w:bCs w:val="0"/>
                <w:i w:val="0"/>
                <w:iCs w:val="0"/>
                <w:color w:val="202a33"/>
                <w:sz w:val="19"/>
                <w:szCs w:val="19"/>
                <w:rtl w:val="0"/>
              </w:rPr>
              <w:t xml:space="preserve">No cross-field arrow without a named mechanism.</w:t>
            </w:r>
            <w:r w:rsidDel="00000000" w:rsidR="00000000" w:rsidRPr="00000000">
              <w:rPr>
                <w:rtl w:val="0"/>
              </w:rPr>
            </w:r>
          </w:p>
        </w:tc>
      </w:tr>
      <w:tr>
        <w:trPr>
          <w:cantSplit w:val="1"/>
          <w:tblHeader w:val="0"/>
        </w:trPr>
        <w:tc>
          <w:tcPr>
            <w:shd w:fill="eaf0f4" w:val="clear"/>
            <w:tcMar>
              <w:top w:w="90.0" w:type="dxa"/>
              <w:bottom w:w="90.0" w:type="dxa"/>
            </w:tcMar>
          </w:tcPr>
          <w:p w:rsidR="00000000" w:rsidDel="00000000" w:rsidP="00000000" w:rsidRDefault="00000000" w:rsidRPr="00000000" w14:paraId="00000112">
            <w:pPr>
              <w:rPr/>
            </w:pPr>
            <w:r w:rsidDel="00000000" w:rsidR="00000000" w:rsidRPr="00000000">
              <w:rPr>
                <w:rFonts w:ascii="Aptos" w:cs="Aptos" w:eastAsia="Aptos" w:hAnsi="Aptos"/>
                <w:b w:val="1"/>
                <w:bCs w:val="1"/>
                <w:i w:val="0"/>
                <w:iCs w:val="0"/>
                <w:color w:val="17324d"/>
                <w:sz w:val="19"/>
                <w:szCs w:val="19"/>
                <w:rtl w:val="0"/>
              </w:rPr>
              <w:t xml:space="preserve">Rule 2</w:t>
            </w:r>
            <w:r w:rsidDel="00000000" w:rsidR="00000000" w:rsidRPr="00000000">
              <w:rPr>
                <w:rtl w:val="0"/>
              </w:rPr>
            </w:r>
          </w:p>
        </w:tc>
        <w:tc>
          <w:tcPr>
            <w:tcMar>
              <w:top w:w="90.0" w:type="dxa"/>
              <w:bottom w:w="90.0" w:type="dxa"/>
            </w:tcMar>
          </w:tcPr>
          <w:p w:rsidR="00000000" w:rsidDel="00000000" w:rsidP="00000000" w:rsidRDefault="00000000" w:rsidRPr="00000000" w14:paraId="00000113">
            <w:pPr>
              <w:rPr/>
            </w:pPr>
            <w:r w:rsidDel="00000000" w:rsidR="00000000" w:rsidRPr="00000000">
              <w:rPr>
                <w:rFonts w:ascii="Aptos" w:cs="Aptos" w:eastAsia="Aptos" w:hAnsi="Aptos"/>
                <w:b w:val="0"/>
                <w:bCs w:val="0"/>
                <w:i w:val="0"/>
                <w:iCs w:val="0"/>
                <w:color w:val="202a33"/>
                <w:sz w:val="19"/>
                <w:szCs w:val="19"/>
                <w:rtl w:val="0"/>
              </w:rPr>
              <w:t xml:space="preserve">No universal coefficient is assumed across jurisdictions or periods.</w:t>
            </w:r>
            <w:r w:rsidDel="00000000" w:rsidR="00000000" w:rsidRPr="00000000">
              <w:rPr>
                <w:rtl w:val="0"/>
              </w:rPr>
            </w:r>
          </w:p>
        </w:tc>
      </w:tr>
      <w:tr>
        <w:trPr>
          <w:cantSplit w:val="1"/>
          <w:tblHeader w:val="0"/>
        </w:trPr>
        <w:tc>
          <w:tcPr>
            <w:shd w:fill="eaf0f4" w:val="clear"/>
            <w:tcMar>
              <w:top w:w="90.0" w:type="dxa"/>
              <w:bottom w:w="90.0" w:type="dxa"/>
            </w:tcMar>
          </w:tcPr>
          <w:p w:rsidR="00000000" w:rsidDel="00000000" w:rsidP="00000000" w:rsidRDefault="00000000" w:rsidRPr="00000000" w14:paraId="00000114">
            <w:pPr>
              <w:rPr/>
            </w:pPr>
            <w:r w:rsidDel="00000000" w:rsidR="00000000" w:rsidRPr="00000000">
              <w:rPr>
                <w:rFonts w:ascii="Aptos" w:cs="Aptos" w:eastAsia="Aptos" w:hAnsi="Aptos"/>
                <w:b w:val="1"/>
                <w:bCs w:val="1"/>
                <w:i w:val="0"/>
                <w:iCs w:val="0"/>
                <w:color w:val="17324d"/>
                <w:sz w:val="19"/>
                <w:szCs w:val="19"/>
                <w:rtl w:val="0"/>
              </w:rPr>
              <w:t xml:space="preserve">Rule 3</w:t>
            </w:r>
            <w:r w:rsidDel="00000000" w:rsidR="00000000" w:rsidRPr="00000000">
              <w:rPr>
                <w:rtl w:val="0"/>
              </w:rPr>
            </w:r>
          </w:p>
        </w:tc>
        <w:tc>
          <w:tcPr>
            <w:tcMar>
              <w:top w:w="90.0" w:type="dxa"/>
              <w:bottom w:w="90.0" w:type="dxa"/>
            </w:tcMar>
          </w:tcPr>
          <w:p w:rsidR="00000000" w:rsidDel="00000000" w:rsidP="00000000" w:rsidRDefault="00000000" w:rsidRPr="00000000" w14:paraId="00000115">
            <w:pPr>
              <w:rPr/>
            </w:pPr>
            <w:r w:rsidDel="00000000" w:rsidR="00000000" w:rsidRPr="00000000">
              <w:rPr>
                <w:rFonts w:ascii="Aptos" w:cs="Aptos" w:eastAsia="Aptos" w:hAnsi="Aptos"/>
                <w:b w:val="0"/>
                <w:bCs w:val="0"/>
                <w:i w:val="0"/>
                <w:iCs w:val="0"/>
                <w:color w:val="202a33"/>
                <w:sz w:val="19"/>
                <w:szCs w:val="19"/>
                <w:rtl w:val="0"/>
              </w:rPr>
              <w:t xml:space="preserve">Formal authority and effective agency remain distinct variables.</w:t>
            </w:r>
            <w:r w:rsidDel="00000000" w:rsidR="00000000" w:rsidRPr="00000000">
              <w:rPr>
                <w:rtl w:val="0"/>
              </w:rPr>
            </w:r>
          </w:p>
        </w:tc>
      </w:tr>
      <w:tr>
        <w:trPr>
          <w:cantSplit w:val="1"/>
          <w:tblHeader w:val="0"/>
        </w:trPr>
        <w:tc>
          <w:tcPr>
            <w:shd w:fill="eaf0f4" w:val="clear"/>
            <w:tcMar>
              <w:top w:w="90.0" w:type="dxa"/>
              <w:bottom w:w="90.0" w:type="dxa"/>
            </w:tcMar>
          </w:tcPr>
          <w:p w:rsidR="00000000" w:rsidDel="00000000" w:rsidP="00000000" w:rsidRDefault="00000000" w:rsidRPr="00000000" w14:paraId="00000116">
            <w:pPr>
              <w:rPr/>
            </w:pPr>
            <w:r w:rsidDel="00000000" w:rsidR="00000000" w:rsidRPr="00000000">
              <w:rPr>
                <w:rFonts w:ascii="Aptos" w:cs="Aptos" w:eastAsia="Aptos" w:hAnsi="Aptos"/>
                <w:b w:val="1"/>
                <w:bCs w:val="1"/>
                <w:i w:val="0"/>
                <w:iCs w:val="0"/>
                <w:color w:val="17324d"/>
                <w:sz w:val="19"/>
                <w:szCs w:val="19"/>
                <w:rtl w:val="0"/>
              </w:rPr>
              <w:t xml:space="preserve">Rule 4</w:t>
            </w:r>
            <w:r w:rsidDel="00000000" w:rsidR="00000000" w:rsidRPr="00000000">
              <w:rPr>
                <w:rtl w:val="0"/>
              </w:rPr>
            </w:r>
          </w:p>
        </w:tc>
        <w:tc>
          <w:tcPr>
            <w:tcMar>
              <w:top w:w="90.0" w:type="dxa"/>
              <w:bottom w:w="90.0" w:type="dxa"/>
            </w:tcMar>
          </w:tcPr>
          <w:p w:rsidR="00000000" w:rsidDel="00000000" w:rsidP="00000000" w:rsidRDefault="00000000" w:rsidRPr="00000000" w14:paraId="00000117">
            <w:pPr>
              <w:rPr/>
            </w:pPr>
            <w:r w:rsidDel="00000000" w:rsidR="00000000" w:rsidRPr="00000000">
              <w:rPr>
                <w:rFonts w:ascii="Aptos" w:cs="Aptos" w:eastAsia="Aptos" w:hAnsi="Aptos"/>
                <w:b w:val="0"/>
                <w:bCs w:val="0"/>
                <w:i w:val="0"/>
                <w:iCs w:val="0"/>
                <w:color w:val="202a33"/>
                <w:sz w:val="19"/>
                <w:szCs w:val="19"/>
                <w:rtl w:val="0"/>
              </w:rPr>
              <w:t xml:space="preserve">Shared shocks are modeled before propagation is claimed.</w:t>
            </w:r>
            <w:r w:rsidDel="00000000" w:rsidR="00000000" w:rsidRPr="00000000">
              <w:rPr>
                <w:rtl w:val="0"/>
              </w:rPr>
            </w:r>
          </w:p>
        </w:tc>
      </w:tr>
      <w:tr>
        <w:trPr>
          <w:cantSplit w:val="1"/>
          <w:tblHeader w:val="0"/>
        </w:trPr>
        <w:tc>
          <w:tcPr>
            <w:shd w:fill="eaf0f4" w:val="clear"/>
            <w:tcMar>
              <w:top w:w="90.0" w:type="dxa"/>
              <w:bottom w:w="90.0" w:type="dxa"/>
            </w:tcMar>
          </w:tcPr>
          <w:p w:rsidR="00000000" w:rsidDel="00000000" w:rsidP="00000000" w:rsidRDefault="00000000" w:rsidRPr="00000000" w14:paraId="00000118">
            <w:pPr>
              <w:rPr/>
            </w:pPr>
            <w:r w:rsidDel="00000000" w:rsidR="00000000" w:rsidRPr="00000000">
              <w:rPr>
                <w:rFonts w:ascii="Aptos" w:cs="Aptos" w:eastAsia="Aptos" w:hAnsi="Aptos"/>
                <w:b w:val="1"/>
                <w:bCs w:val="1"/>
                <w:i w:val="0"/>
                <w:iCs w:val="0"/>
                <w:color w:val="17324d"/>
                <w:sz w:val="19"/>
                <w:szCs w:val="19"/>
                <w:rtl w:val="0"/>
              </w:rPr>
              <w:t xml:space="preserve">Rule 5</w:t>
            </w:r>
            <w:r w:rsidDel="00000000" w:rsidR="00000000" w:rsidRPr="00000000">
              <w:rPr>
                <w:rtl w:val="0"/>
              </w:rPr>
            </w:r>
          </w:p>
        </w:tc>
        <w:tc>
          <w:tcPr>
            <w:tcMar>
              <w:top w:w="90.0" w:type="dxa"/>
              <w:bottom w:w="90.0" w:type="dxa"/>
            </w:tcMar>
          </w:tcPr>
          <w:p w:rsidR="00000000" w:rsidDel="00000000" w:rsidP="00000000" w:rsidRDefault="00000000" w:rsidRPr="00000000" w14:paraId="00000119">
            <w:pPr>
              <w:rPr/>
            </w:pPr>
            <w:r w:rsidDel="00000000" w:rsidR="00000000" w:rsidRPr="00000000">
              <w:rPr>
                <w:rFonts w:ascii="Aptos" w:cs="Aptos" w:eastAsia="Aptos" w:hAnsi="Aptos"/>
                <w:b w:val="0"/>
                <w:bCs w:val="0"/>
                <w:i w:val="0"/>
                <w:iCs w:val="0"/>
                <w:color w:val="202a33"/>
                <w:sz w:val="19"/>
                <w:szCs w:val="19"/>
                <w:rtl w:val="0"/>
              </w:rPr>
              <w:t xml:space="preserve">Bidirectionality requires two identified directions.</w:t>
            </w:r>
            <w:r w:rsidDel="00000000" w:rsidR="00000000" w:rsidRPr="00000000">
              <w:rPr>
                <w:rtl w:val="0"/>
              </w:rPr>
            </w:r>
          </w:p>
        </w:tc>
      </w:tr>
      <w:tr>
        <w:trPr>
          <w:cantSplit w:val="1"/>
          <w:tblHeader w:val="0"/>
        </w:trPr>
        <w:tc>
          <w:tcPr>
            <w:shd w:fill="eaf0f4" w:val="clear"/>
            <w:tcMar>
              <w:top w:w="90.0" w:type="dxa"/>
              <w:bottom w:w="90.0" w:type="dxa"/>
            </w:tcMar>
          </w:tcPr>
          <w:p w:rsidR="00000000" w:rsidDel="00000000" w:rsidP="00000000" w:rsidRDefault="00000000" w:rsidRPr="00000000" w14:paraId="0000011A">
            <w:pPr>
              <w:rPr/>
            </w:pPr>
            <w:r w:rsidDel="00000000" w:rsidR="00000000" w:rsidRPr="00000000">
              <w:rPr>
                <w:rFonts w:ascii="Aptos" w:cs="Aptos" w:eastAsia="Aptos" w:hAnsi="Aptos"/>
                <w:b w:val="1"/>
                <w:bCs w:val="1"/>
                <w:i w:val="0"/>
                <w:iCs w:val="0"/>
                <w:color w:val="17324d"/>
                <w:sz w:val="19"/>
                <w:szCs w:val="19"/>
                <w:rtl w:val="0"/>
              </w:rPr>
              <w:t xml:space="preserve">Rule 6</w:t>
            </w:r>
            <w:r w:rsidDel="00000000" w:rsidR="00000000" w:rsidRPr="00000000">
              <w:rPr>
                <w:rtl w:val="0"/>
              </w:rPr>
            </w:r>
          </w:p>
        </w:tc>
        <w:tc>
          <w:tcPr>
            <w:tcMar>
              <w:top w:w="90.0" w:type="dxa"/>
              <w:bottom w:w="90.0" w:type="dxa"/>
            </w:tcMar>
          </w:tcPr>
          <w:p w:rsidR="00000000" w:rsidDel="00000000" w:rsidP="00000000" w:rsidRDefault="00000000" w:rsidRPr="00000000" w14:paraId="0000011B">
            <w:pPr>
              <w:rPr/>
            </w:pPr>
            <w:r w:rsidDel="00000000" w:rsidR="00000000" w:rsidRPr="00000000">
              <w:rPr>
                <w:rFonts w:ascii="Aptos" w:cs="Aptos" w:eastAsia="Aptos" w:hAnsi="Aptos"/>
                <w:b w:val="0"/>
                <w:bCs w:val="0"/>
                <w:i w:val="0"/>
                <w:iCs w:val="0"/>
                <w:color w:val="202a33"/>
                <w:sz w:val="19"/>
                <w:szCs w:val="19"/>
                <w:rtl w:val="0"/>
              </w:rPr>
              <w:t xml:space="preserve">Cross-field operators require invariance and boundary conditions.</w:t>
            </w:r>
            <w:r w:rsidDel="00000000" w:rsidR="00000000" w:rsidRPr="00000000">
              <w:rPr>
                <w:rtl w:val="0"/>
              </w:rPr>
            </w:r>
          </w:p>
        </w:tc>
      </w:tr>
      <w:tr>
        <w:trPr>
          <w:cantSplit w:val="1"/>
          <w:tblHeader w:val="0"/>
        </w:trPr>
        <w:tc>
          <w:tcPr>
            <w:shd w:fill="eaf0f4" w:val="clear"/>
            <w:tcMar>
              <w:top w:w="90.0" w:type="dxa"/>
              <w:bottom w:w="90.0" w:type="dxa"/>
            </w:tcMar>
          </w:tcPr>
          <w:p w:rsidR="00000000" w:rsidDel="00000000" w:rsidP="00000000" w:rsidRDefault="00000000" w:rsidRPr="00000000" w14:paraId="0000011C">
            <w:pPr>
              <w:rPr/>
            </w:pPr>
            <w:r w:rsidDel="00000000" w:rsidR="00000000" w:rsidRPr="00000000">
              <w:rPr>
                <w:rFonts w:ascii="Aptos" w:cs="Aptos" w:eastAsia="Aptos" w:hAnsi="Aptos"/>
                <w:b w:val="1"/>
                <w:bCs w:val="1"/>
                <w:i w:val="0"/>
                <w:iCs w:val="0"/>
                <w:color w:val="17324d"/>
                <w:sz w:val="19"/>
                <w:szCs w:val="19"/>
                <w:rtl w:val="0"/>
              </w:rPr>
              <w:t xml:space="preserve">Rule 7</w:t>
            </w:r>
            <w:r w:rsidDel="00000000" w:rsidR="00000000" w:rsidRPr="00000000">
              <w:rPr>
                <w:rtl w:val="0"/>
              </w:rPr>
            </w:r>
          </w:p>
        </w:tc>
        <w:tc>
          <w:tcPr>
            <w:tcMar>
              <w:top w:w="90.0" w:type="dxa"/>
              <w:bottom w:w="90.0" w:type="dxa"/>
            </w:tcMar>
          </w:tcPr>
          <w:p w:rsidR="00000000" w:rsidDel="00000000" w:rsidP="00000000" w:rsidRDefault="00000000" w:rsidRPr="00000000" w14:paraId="0000011D">
            <w:pPr>
              <w:rPr/>
            </w:pPr>
            <w:r w:rsidDel="00000000" w:rsidR="00000000" w:rsidRPr="00000000">
              <w:rPr>
                <w:rFonts w:ascii="Aptos" w:cs="Aptos" w:eastAsia="Aptos" w:hAnsi="Aptos"/>
                <w:b w:val="0"/>
                <w:bCs w:val="0"/>
                <w:i w:val="0"/>
                <w:iCs w:val="0"/>
                <w:color w:val="202a33"/>
                <w:sz w:val="19"/>
                <w:szCs w:val="19"/>
                <w:rtl w:val="0"/>
              </w:rPr>
              <w:t xml:space="preserve">Buffers and recovery are part of the system, not exceptions to it.</w:t>
            </w:r>
            <w:r w:rsidDel="00000000" w:rsidR="00000000" w:rsidRPr="00000000">
              <w:rPr>
                <w:rtl w:val="0"/>
              </w:rPr>
            </w:r>
          </w:p>
        </w:tc>
      </w:tr>
      <w:tr>
        <w:trPr>
          <w:cantSplit w:val="1"/>
          <w:tblHeader w:val="0"/>
        </w:trPr>
        <w:tc>
          <w:tcPr>
            <w:shd w:fill="eaf0f4" w:val="clear"/>
            <w:tcMar>
              <w:top w:w="90.0" w:type="dxa"/>
              <w:bottom w:w="90.0" w:type="dxa"/>
            </w:tcMar>
          </w:tcPr>
          <w:p w:rsidR="00000000" w:rsidDel="00000000" w:rsidP="00000000" w:rsidRDefault="00000000" w:rsidRPr="00000000" w14:paraId="0000011E">
            <w:pPr>
              <w:rPr/>
            </w:pPr>
            <w:r w:rsidDel="00000000" w:rsidR="00000000" w:rsidRPr="00000000">
              <w:rPr>
                <w:rFonts w:ascii="Aptos" w:cs="Aptos" w:eastAsia="Aptos" w:hAnsi="Aptos"/>
                <w:b w:val="1"/>
                <w:bCs w:val="1"/>
                <w:i w:val="0"/>
                <w:iCs w:val="0"/>
                <w:color w:val="17324d"/>
                <w:sz w:val="19"/>
                <w:szCs w:val="19"/>
                <w:rtl w:val="0"/>
              </w:rPr>
              <w:t xml:space="preserve">Rule 8</w:t>
            </w:r>
            <w:r w:rsidDel="00000000" w:rsidR="00000000" w:rsidRPr="00000000">
              <w:rPr>
                <w:rtl w:val="0"/>
              </w:rPr>
            </w:r>
          </w:p>
        </w:tc>
        <w:tc>
          <w:tcPr>
            <w:tcMar>
              <w:top w:w="90.0" w:type="dxa"/>
              <w:bottom w:w="90.0" w:type="dxa"/>
            </w:tcMar>
          </w:tcPr>
          <w:p w:rsidR="00000000" w:rsidDel="00000000" w:rsidP="00000000" w:rsidRDefault="00000000" w:rsidRPr="00000000" w14:paraId="0000011F">
            <w:pPr>
              <w:rPr/>
            </w:pPr>
            <w:r w:rsidDel="00000000" w:rsidR="00000000" w:rsidRPr="00000000">
              <w:rPr>
                <w:rFonts w:ascii="Aptos" w:cs="Aptos" w:eastAsia="Aptos" w:hAnsi="Aptos"/>
                <w:b w:val="0"/>
                <w:bCs w:val="0"/>
                <w:i w:val="0"/>
                <w:iCs w:val="0"/>
                <w:color w:val="202a33"/>
                <w:sz w:val="19"/>
                <w:szCs w:val="19"/>
                <w:rtl w:val="0"/>
              </w:rPr>
              <w:t xml:space="preserve">Equations specify claims; data adjudicate them.</w:t>
            </w:r>
            <w:r w:rsidDel="00000000" w:rsidR="00000000" w:rsidRPr="00000000">
              <w:rPr>
                <w:rtl w:val="0"/>
              </w:rPr>
            </w:r>
          </w:p>
        </w:tc>
      </w:tr>
      <w:tr>
        <w:trPr>
          <w:cantSplit w:val="1"/>
          <w:tblHeader w:val="0"/>
        </w:trPr>
        <w:tc>
          <w:tcPr>
            <w:shd w:fill="eaf0f4" w:val="clear"/>
            <w:tcMar>
              <w:top w:w="90.0" w:type="dxa"/>
              <w:bottom w:w="90.0" w:type="dxa"/>
            </w:tcMar>
          </w:tcPr>
          <w:p w:rsidR="00000000" w:rsidDel="00000000" w:rsidP="00000000" w:rsidRDefault="00000000" w:rsidRPr="00000000" w14:paraId="00000120">
            <w:pPr>
              <w:rPr/>
            </w:pPr>
            <w:r w:rsidDel="00000000" w:rsidR="00000000" w:rsidRPr="00000000">
              <w:rPr>
                <w:rFonts w:ascii="Aptos" w:cs="Aptos" w:eastAsia="Aptos" w:hAnsi="Aptos"/>
                <w:b w:val="1"/>
                <w:bCs w:val="1"/>
                <w:i w:val="0"/>
                <w:iCs w:val="0"/>
                <w:color w:val="17324d"/>
                <w:sz w:val="19"/>
                <w:szCs w:val="19"/>
                <w:rtl w:val="0"/>
              </w:rPr>
              <w:t xml:space="preserve">Rule 9</w:t>
            </w:r>
            <w:r w:rsidDel="00000000" w:rsidR="00000000" w:rsidRPr="00000000">
              <w:rPr>
                <w:rtl w:val="0"/>
              </w:rPr>
            </w:r>
          </w:p>
        </w:tc>
        <w:tc>
          <w:tcPr>
            <w:tcMar>
              <w:top w:w="90.0" w:type="dxa"/>
              <w:bottom w:w="90.0" w:type="dxa"/>
            </w:tcMar>
          </w:tcPr>
          <w:p w:rsidR="00000000" w:rsidDel="00000000" w:rsidP="00000000" w:rsidRDefault="00000000" w:rsidRPr="00000000" w14:paraId="00000121">
            <w:pPr>
              <w:rPr/>
            </w:pPr>
            <w:r w:rsidDel="00000000" w:rsidR="00000000" w:rsidRPr="00000000">
              <w:rPr>
                <w:rFonts w:ascii="Aptos" w:cs="Aptos" w:eastAsia="Aptos" w:hAnsi="Aptos"/>
                <w:b w:val="0"/>
                <w:bCs w:val="0"/>
                <w:i w:val="0"/>
                <w:iCs w:val="0"/>
                <w:color w:val="202a33"/>
                <w:sz w:val="19"/>
                <w:szCs w:val="19"/>
                <w:rtl w:val="0"/>
              </w:rPr>
              <w:t xml:space="preserve">More complex SR models must compete against simpler baselines.</w:t>
            </w:r>
            <w:r w:rsidDel="00000000" w:rsidR="00000000" w:rsidRPr="00000000">
              <w:rPr>
                <w:rtl w:val="0"/>
              </w:rPr>
            </w:r>
          </w:p>
        </w:tc>
      </w:tr>
      <w:tr>
        <w:trPr>
          <w:cantSplit w:val="1"/>
          <w:tblHeader w:val="0"/>
        </w:trPr>
        <w:tc>
          <w:tcPr>
            <w:shd w:fill="eaf0f4" w:val="clear"/>
            <w:tcMar>
              <w:top w:w="90.0" w:type="dxa"/>
              <w:bottom w:w="90.0" w:type="dxa"/>
            </w:tcMar>
          </w:tcPr>
          <w:p w:rsidR="00000000" w:rsidDel="00000000" w:rsidP="00000000" w:rsidRDefault="00000000" w:rsidRPr="00000000" w14:paraId="00000122">
            <w:pPr>
              <w:rPr/>
            </w:pPr>
            <w:r w:rsidDel="00000000" w:rsidR="00000000" w:rsidRPr="00000000">
              <w:rPr>
                <w:rFonts w:ascii="Aptos" w:cs="Aptos" w:eastAsia="Aptos" w:hAnsi="Aptos"/>
                <w:b w:val="1"/>
                <w:bCs w:val="1"/>
                <w:i w:val="0"/>
                <w:iCs w:val="0"/>
                <w:color w:val="17324d"/>
                <w:sz w:val="19"/>
                <w:szCs w:val="19"/>
                <w:rtl w:val="0"/>
              </w:rPr>
              <w:t xml:space="preserve">Rule 10</w:t>
            </w:r>
            <w:r w:rsidDel="00000000" w:rsidR="00000000" w:rsidRPr="00000000">
              <w:rPr>
                <w:rtl w:val="0"/>
              </w:rPr>
            </w:r>
          </w:p>
        </w:tc>
        <w:tc>
          <w:tcPr>
            <w:tcMar>
              <w:top w:w="90.0" w:type="dxa"/>
              <w:bottom w:w="90.0" w:type="dxa"/>
            </w:tcMar>
          </w:tcPr>
          <w:p w:rsidR="00000000" w:rsidDel="00000000" w:rsidP="00000000" w:rsidRDefault="00000000" w:rsidRPr="00000000" w14:paraId="00000123">
            <w:pPr>
              <w:rPr/>
            </w:pPr>
            <w:r w:rsidDel="00000000" w:rsidR="00000000" w:rsidRPr="00000000">
              <w:rPr>
                <w:rFonts w:ascii="Aptos" w:cs="Aptos" w:eastAsia="Aptos" w:hAnsi="Aptos"/>
                <w:b w:val="0"/>
                <w:bCs w:val="0"/>
                <w:i w:val="0"/>
                <w:iCs w:val="0"/>
                <w:color w:val="202a33"/>
                <w:sz w:val="19"/>
                <w:szCs w:val="19"/>
                <w:rtl w:val="0"/>
              </w:rPr>
              <w:t xml:space="preserve">Negative evidence changes the canon.</w:t>
            </w:r>
            <w:r w:rsidDel="00000000" w:rsidR="00000000" w:rsidRPr="00000000">
              <w:rPr>
                <w:rtl w:val="0"/>
              </w:rPr>
            </w:r>
          </w:p>
        </w:tc>
      </w:tr>
      <w:tr>
        <w:trPr>
          <w:cantSplit w:val="1"/>
          <w:tblHeader w:val="0"/>
        </w:trPr>
        <w:tc>
          <w:tcPr>
            <w:shd w:fill="eaf0f4" w:val="clear"/>
            <w:tcMar>
              <w:top w:w="90.0" w:type="dxa"/>
              <w:bottom w:w="90.0" w:type="dxa"/>
            </w:tcMar>
          </w:tcPr>
          <w:p w:rsidR="00000000" w:rsidDel="00000000" w:rsidP="00000000" w:rsidRDefault="00000000" w:rsidRPr="00000000" w14:paraId="00000124">
            <w:pPr>
              <w:rPr/>
            </w:pPr>
            <w:r w:rsidDel="00000000" w:rsidR="00000000" w:rsidRPr="00000000">
              <w:rPr>
                <w:rFonts w:ascii="Aptos" w:cs="Aptos" w:eastAsia="Aptos" w:hAnsi="Aptos"/>
                <w:b w:val="1"/>
                <w:bCs w:val="1"/>
                <w:i w:val="0"/>
                <w:iCs w:val="0"/>
                <w:color w:val="17324d"/>
                <w:sz w:val="19"/>
                <w:szCs w:val="19"/>
                <w:rtl w:val="0"/>
              </w:rPr>
              <w:t xml:space="preserve">Rule 11</w:t>
            </w:r>
            <w:r w:rsidDel="00000000" w:rsidR="00000000" w:rsidRPr="00000000">
              <w:rPr>
                <w:rtl w:val="0"/>
              </w:rPr>
            </w:r>
          </w:p>
        </w:tc>
        <w:tc>
          <w:tcPr>
            <w:tcMar>
              <w:top w:w="90.0" w:type="dxa"/>
              <w:bottom w:w="90.0" w:type="dxa"/>
            </w:tcMar>
          </w:tcPr>
          <w:p w:rsidR="00000000" w:rsidDel="00000000" w:rsidP="00000000" w:rsidRDefault="00000000" w:rsidRPr="00000000" w14:paraId="00000125">
            <w:pPr>
              <w:rPr/>
            </w:pPr>
            <w:r w:rsidDel="00000000" w:rsidR="00000000" w:rsidRPr="00000000">
              <w:rPr>
                <w:rFonts w:ascii="Aptos" w:cs="Aptos" w:eastAsia="Aptos" w:hAnsi="Aptos"/>
                <w:b w:val="0"/>
                <w:bCs w:val="0"/>
                <w:i w:val="0"/>
                <w:iCs w:val="0"/>
                <w:color w:val="202a33"/>
                <w:sz w:val="19"/>
                <w:szCs w:val="19"/>
                <w:rtl w:val="0"/>
              </w:rPr>
              <w:t xml:space="preserve">Mature external disciplines remain evidentiary and methodological foundations, not competitors to be erased.</w:t>
            </w:r>
            <w:r w:rsidDel="00000000" w:rsidR="00000000" w:rsidRPr="00000000">
              <w:rPr>
                <w:rtl w:val="0"/>
              </w:rPr>
            </w:r>
          </w:p>
        </w:tc>
      </w:tr>
      <w:tr>
        <w:trPr>
          <w:cantSplit w:val="1"/>
          <w:tblHeader w:val="0"/>
        </w:trPr>
        <w:tc>
          <w:tcPr>
            <w:shd w:fill="eaf0f4" w:val="clear"/>
            <w:tcMar>
              <w:top w:w="90.0" w:type="dxa"/>
              <w:bottom w:w="90.0" w:type="dxa"/>
            </w:tcMar>
          </w:tcPr>
          <w:p w:rsidR="00000000" w:rsidDel="00000000" w:rsidP="00000000" w:rsidRDefault="00000000" w:rsidRPr="00000000" w14:paraId="00000126">
            <w:pPr>
              <w:rPr/>
            </w:pPr>
            <w:r w:rsidDel="00000000" w:rsidR="00000000" w:rsidRPr="00000000">
              <w:rPr>
                <w:rFonts w:ascii="Aptos" w:cs="Aptos" w:eastAsia="Aptos" w:hAnsi="Aptos"/>
                <w:b w:val="1"/>
                <w:bCs w:val="1"/>
                <w:i w:val="0"/>
                <w:iCs w:val="0"/>
                <w:color w:val="17324d"/>
                <w:sz w:val="19"/>
                <w:szCs w:val="19"/>
                <w:rtl w:val="0"/>
              </w:rPr>
              <w:t xml:space="preserve">Rule 12</w:t>
            </w:r>
            <w:r w:rsidDel="00000000" w:rsidR="00000000" w:rsidRPr="00000000">
              <w:rPr>
                <w:rtl w:val="0"/>
              </w:rPr>
            </w:r>
          </w:p>
        </w:tc>
        <w:tc>
          <w:tcPr>
            <w:tcMar>
              <w:top w:w="90.0" w:type="dxa"/>
              <w:bottom w:w="90.0" w:type="dxa"/>
            </w:tcMar>
          </w:tcPr>
          <w:p w:rsidR="00000000" w:rsidDel="00000000" w:rsidP="00000000" w:rsidRDefault="00000000" w:rsidRPr="00000000" w14:paraId="00000127">
            <w:pPr>
              <w:rPr/>
            </w:pPr>
            <w:r w:rsidDel="00000000" w:rsidR="00000000" w:rsidRPr="00000000">
              <w:rPr>
                <w:rFonts w:ascii="Aptos" w:cs="Aptos" w:eastAsia="Aptos" w:hAnsi="Aptos"/>
                <w:b w:val="0"/>
                <w:bCs w:val="0"/>
                <w:i w:val="0"/>
                <w:iCs w:val="0"/>
                <w:color w:val="202a33"/>
                <w:sz w:val="19"/>
                <w:szCs w:val="19"/>
                <w:rtl w:val="0"/>
              </w:rPr>
              <w:t xml:space="preserve">The integrated architecture is strongest where it narrows claims to relations that survive testing.</w:t>
            </w:r>
            <w:r w:rsidDel="00000000" w:rsidR="00000000" w:rsidRPr="00000000">
              <w:rPr>
                <w:rtl w:val="0"/>
              </w:rPr>
            </w:r>
          </w:p>
        </w:tc>
      </w:tr>
      <w:tr>
        <w:trPr>
          <w:cantSplit w:val="1"/>
          <w:tblHeader w:val="0"/>
        </w:trPr>
        <w:tc>
          <w:tcPr>
            <w:shd w:fill="eaf0f4" w:val="clear"/>
            <w:tcMar>
              <w:top w:w="90.0" w:type="dxa"/>
              <w:bottom w:w="90.0" w:type="dxa"/>
            </w:tcMar>
          </w:tcPr>
          <w:p w:rsidR="00000000" w:rsidDel="00000000" w:rsidP="00000000" w:rsidRDefault="00000000" w:rsidRPr="00000000" w14:paraId="00000128">
            <w:pPr>
              <w:rPr/>
            </w:pPr>
            <w:r w:rsidDel="00000000" w:rsidR="00000000" w:rsidRPr="00000000">
              <w:rPr>
                <w:rFonts w:ascii="Aptos" w:cs="Aptos" w:eastAsia="Aptos" w:hAnsi="Aptos"/>
                <w:b w:val="1"/>
                <w:bCs w:val="1"/>
                <w:i w:val="0"/>
                <w:iCs w:val="0"/>
                <w:color w:val="17324d"/>
                <w:sz w:val="19"/>
                <w:szCs w:val="19"/>
                <w:rtl w:val="0"/>
              </w:rPr>
              <w:t xml:space="preserve">Rule 13</w:t>
            </w:r>
            <w:r w:rsidDel="00000000" w:rsidR="00000000" w:rsidRPr="00000000">
              <w:rPr>
                <w:rtl w:val="0"/>
              </w:rPr>
            </w:r>
          </w:p>
        </w:tc>
        <w:tc>
          <w:tcPr>
            <w:tcMar>
              <w:top w:w="90.0" w:type="dxa"/>
              <w:bottom w:w="90.0" w:type="dxa"/>
            </w:tcMar>
          </w:tcPr>
          <w:p w:rsidR="00000000" w:rsidDel="00000000" w:rsidP="00000000" w:rsidRDefault="00000000" w:rsidRPr="00000000" w14:paraId="00000129">
            <w:pPr>
              <w:rPr/>
            </w:pPr>
            <w:r w:rsidDel="00000000" w:rsidR="00000000" w:rsidRPr="00000000">
              <w:rPr>
                <w:rFonts w:ascii="Aptos" w:cs="Aptos" w:eastAsia="Aptos" w:hAnsi="Aptos"/>
                <w:b w:val="0"/>
                <w:bCs w:val="0"/>
                <w:i w:val="0"/>
                <w:iCs w:val="0"/>
                <w:color w:val="202a33"/>
                <w:sz w:val="19"/>
                <w:szCs w:val="19"/>
                <w:rtl w:val="0"/>
              </w:rPr>
              <w:t xml:space="preserve">Field status and claim-level evidence status are separate variables.</w:t>
            </w:r>
            <w:r w:rsidDel="00000000" w:rsidR="00000000" w:rsidRPr="00000000">
              <w:rPr>
                <w:rtl w:val="0"/>
              </w:rPr>
            </w:r>
          </w:p>
        </w:tc>
      </w:tr>
      <w:tr>
        <w:trPr>
          <w:cantSplit w:val="1"/>
          <w:tblHeader w:val="0"/>
        </w:trPr>
        <w:tc>
          <w:tcPr>
            <w:shd w:fill="eaf0f4" w:val="clear"/>
            <w:tcMar>
              <w:top w:w="90.0" w:type="dxa"/>
              <w:bottom w:w="90.0" w:type="dxa"/>
            </w:tcMar>
          </w:tcPr>
          <w:p w:rsidR="00000000" w:rsidDel="00000000" w:rsidP="00000000" w:rsidRDefault="00000000" w:rsidRPr="00000000" w14:paraId="0000012A">
            <w:pPr>
              <w:rPr/>
            </w:pPr>
            <w:r w:rsidDel="00000000" w:rsidR="00000000" w:rsidRPr="00000000">
              <w:rPr>
                <w:rFonts w:ascii="Aptos" w:cs="Aptos" w:eastAsia="Aptos" w:hAnsi="Aptos"/>
                <w:b w:val="1"/>
                <w:bCs w:val="1"/>
                <w:i w:val="0"/>
                <w:iCs w:val="0"/>
                <w:color w:val="17324d"/>
                <w:sz w:val="19"/>
                <w:szCs w:val="19"/>
                <w:rtl w:val="0"/>
              </w:rPr>
              <w:t xml:space="preserve">Rule 14</w:t>
            </w:r>
            <w:r w:rsidDel="00000000" w:rsidR="00000000" w:rsidRPr="00000000">
              <w:rPr>
                <w:rtl w:val="0"/>
              </w:rPr>
            </w:r>
          </w:p>
        </w:tc>
        <w:tc>
          <w:tcPr>
            <w:tcMar>
              <w:top w:w="90.0" w:type="dxa"/>
              <w:bottom w:w="90.0" w:type="dxa"/>
            </w:tcMar>
          </w:tcPr>
          <w:p w:rsidR="00000000" w:rsidDel="00000000" w:rsidP="00000000" w:rsidRDefault="00000000" w:rsidRPr="00000000" w14:paraId="0000012B">
            <w:pPr>
              <w:rPr/>
            </w:pPr>
            <w:r w:rsidDel="00000000" w:rsidR="00000000" w:rsidRPr="00000000">
              <w:rPr>
                <w:rFonts w:ascii="Aptos" w:cs="Aptos" w:eastAsia="Aptos" w:hAnsi="Aptos"/>
                <w:b w:val="0"/>
                <w:bCs w:val="0"/>
                <w:i w:val="0"/>
                <w:iCs w:val="0"/>
                <w:color w:val="202a33"/>
                <w:sz w:val="19"/>
                <w:szCs w:val="19"/>
                <w:rtl w:val="0"/>
              </w:rPr>
              <w:t xml:space="preserve">Institutional recognition is not validation, and institutional non-recognition is not disconfirmation.</w:t>
            </w:r>
            <w:r w:rsidDel="00000000" w:rsidR="00000000" w:rsidRPr="00000000">
              <w:rPr>
                <w:rtl w:val="0"/>
              </w:rPr>
            </w:r>
          </w:p>
        </w:tc>
      </w:tr>
      <w:tr>
        <w:trPr>
          <w:cantSplit w:val="1"/>
          <w:tblHeader w:val="0"/>
        </w:trPr>
        <w:tc>
          <w:tcPr>
            <w:shd w:fill="eaf0f4" w:val="clear"/>
            <w:tcMar>
              <w:top w:w="90.0" w:type="dxa"/>
              <w:bottom w:w="90.0" w:type="dxa"/>
            </w:tcMar>
          </w:tcPr>
          <w:p w:rsidR="00000000" w:rsidDel="00000000" w:rsidP="00000000" w:rsidRDefault="00000000" w:rsidRPr="00000000" w14:paraId="0000012C">
            <w:pPr>
              <w:rPr/>
            </w:pPr>
            <w:r w:rsidDel="00000000" w:rsidR="00000000" w:rsidRPr="00000000">
              <w:rPr>
                <w:rFonts w:ascii="Aptos" w:cs="Aptos" w:eastAsia="Aptos" w:hAnsi="Aptos"/>
                <w:b w:val="1"/>
                <w:bCs w:val="1"/>
                <w:i w:val="0"/>
                <w:iCs w:val="0"/>
                <w:color w:val="17324d"/>
                <w:sz w:val="19"/>
                <w:szCs w:val="19"/>
                <w:rtl w:val="0"/>
              </w:rPr>
              <w:t xml:space="preserve">Rule 15</w:t>
            </w:r>
            <w:r w:rsidDel="00000000" w:rsidR="00000000" w:rsidRPr="00000000">
              <w:rPr>
                <w:rtl w:val="0"/>
              </w:rPr>
            </w:r>
          </w:p>
        </w:tc>
        <w:tc>
          <w:tcPr>
            <w:tcMar>
              <w:top w:w="90.0" w:type="dxa"/>
              <w:bottom w:w="90.0" w:type="dxa"/>
            </w:tcMar>
          </w:tcPr>
          <w:p w:rsidR="00000000" w:rsidDel="00000000" w:rsidP="00000000" w:rsidRDefault="00000000" w:rsidRPr="00000000" w14:paraId="0000012D">
            <w:pPr>
              <w:rPr/>
            </w:pPr>
            <w:r w:rsidDel="00000000" w:rsidR="00000000" w:rsidRPr="00000000">
              <w:rPr>
                <w:rFonts w:ascii="Aptos" w:cs="Aptos" w:eastAsia="Aptos" w:hAnsi="Aptos"/>
                <w:b w:val="0"/>
                <w:bCs w:val="0"/>
                <w:i w:val="0"/>
                <w:iCs w:val="0"/>
                <w:color w:val="202a33"/>
                <w:sz w:val="19"/>
                <w:szCs w:val="19"/>
                <w:rtl w:val="0"/>
              </w:rPr>
              <w:t xml:space="preserve">A consequential institutional judgment about SR requires declared criteria, comparator fields, evidence, uncertainty, and a correction pathway.</w:t>
            </w:r>
            <w:r w:rsidDel="00000000" w:rsidR="00000000" w:rsidRPr="00000000">
              <w:rPr>
                <w:rtl w:val="0"/>
              </w:rPr>
            </w:r>
          </w:p>
        </w:tc>
      </w:tr>
      <w:tr>
        <w:trPr>
          <w:cantSplit w:val="1"/>
          <w:tblHeader w:val="0"/>
        </w:trPr>
        <w:tc>
          <w:tcPr>
            <w:shd w:fill="eaf0f4" w:val="clear"/>
            <w:tcMar>
              <w:top w:w="90.0" w:type="dxa"/>
              <w:bottom w:w="90.0" w:type="dxa"/>
            </w:tcMar>
          </w:tcPr>
          <w:p w:rsidR="00000000" w:rsidDel="00000000" w:rsidP="00000000" w:rsidRDefault="00000000" w:rsidRPr="00000000" w14:paraId="0000012E">
            <w:pPr>
              <w:rPr/>
            </w:pPr>
            <w:r w:rsidDel="00000000" w:rsidR="00000000" w:rsidRPr="00000000">
              <w:rPr>
                <w:rFonts w:ascii="Aptos" w:cs="Aptos" w:eastAsia="Aptos" w:hAnsi="Aptos"/>
                <w:b w:val="1"/>
                <w:bCs w:val="1"/>
                <w:i w:val="0"/>
                <w:iCs w:val="0"/>
                <w:color w:val="17324d"/>
                <w:sz w:val="19"/>
                <w:szCs w:val="19"/>
                <w:rtl w:val="0"/>
              </w:rPr>
              <w:t xml:space="preserve">Rule 16</w:t>
            </w:r>
            <w:r w:rsidDel="00000000" w:rsidR="00000000" w:rsidRPr="00000000">
              <w:rPr>
                <w:rtl w:val="0"/>
              </w:rPr>
            </w:r>
          </w:p>
        </w:tc>
        <w:tc>
          <w:tcPr>
            <w:tcMar>
              <w:top w:w="90.0" w:type="dxa"/>
              <w:bottom w:w="90.0" w:type="dxa"/>
            </w:tcMar>
          </w:tcPr>
          <w:p w:rsidR="00000000" w:rsidDel="00000000" w:rsidP="00000000" w:rsidRDefault="00000000" w:rsidRPr="00000000" w14:paraId="0000012F">
            <w:pPr>
              <w:rPr/>
            </w:pPr>
            <w:r w:rsidDel="00000000" w:rsidR="00000000" w:rsidRPr="00000000">
              <w:rPr>
                <w:rFonts w:ascii="Aptos" w:cs="Aptos" w:eastAsia="Aptos" w:hAnsi="Aptos"/>
                <w:b w:val="0"/>
                <w:bCs w:val="0"/>
                <w:i w:val="0"/>
                <w:iCs w:val="0"/>
                <w:color w:val="202a33"/>
                <w:sz w:val="19"/>
                <w:szCs w:val="19"/>
                <w:rtl w:val="0"/>
              </w:rPr>
              <w:t xml:space="preserve">Standards applied to SR must be applied symmetrically to established fields.</w:t>
            </w:r>
            <w:r w:rsidDel="00000000" w:rsidR="00000000" w:rsidRPr="00000000">
              <w:rPr>
                <w:rtl w:val="0"/>
              </w:rPr>
            </w:r>
          </w:p>
        </w:tc>
      </w:tr>
    </w:tbl>
    <w:p w:rsidR="00000000" w:rsidDel="00000000" w:rsidP="00000000" w:rsidRDefault="00000000" w:rsidRPr="00000000" w14:paraId="00000130">
      <w:pPr>
        <w:pStyle w:val="Heading1"/>
        <w:rPr/>
      </w:pPr>
      <w:r w:rsidDel="00000000" w:rsidR="00000000" w:rsidRPr="00000000">
        <w:rPr>
          <w:rtl w:val="0"/>
        </w:rPr>
        <w:t xml:space="preserve">22. The Canonical SR Cross-Field Cycle</w:t>
      </w:r>
    </w:p>
    <w:p w:rsidR="00000000" w:rsidDel="00000000" w:rsidP="00000000" w:rsidRDefault="00000000" w:rsidRPr="00000000" w14:paraId="00000131">
      <w:pPr>
        <w:pStyle w:val="Heading2"/>
        <w:rPr/>
      </w:pPr>
      <w:sdt>
        <w:sdtPr>
          <w:id w:val="-1238906689"/>
          <w:tag w:val="goog_rdk_16"/>
        </w:sdtPr>
        <w:sdtContent>
          <w:r w:rsidDel="00000000" w:rsidR="00000000" w:rsidRPr="00000000">
            <w:rPr>
              <w:rFonts w:ascii="Arial Unicode MS" w:cs="Arial Unicode MS" w:eastAsia="Arial Unicode MS" w:hAnsi="Arial Unicode MS"/>
              <w:rtl w:val="0"/>
            </w:rPr>
            <w:t xml:space="preserve">22.1 Future Substrate Integration: CRI → AIS → MACS</w:t>
          </w:r>
        </w:sdtContent>
      </w:sdt>
    </w:p>
    <w:p w:rsidR="00000000" w:rsidDel="00000000" w:rsidP="00000000" w:rsidRDefault="00000000" w:rsidRPr="00000000" w14:paraId="00000132">
      <w:pPr>
        <w:rPr/>
      </w:pPr>
      <w:r w:rsidDel="00000000" w:rsidR="00000000" w:rsidRPr="00000000">
        <w:rPr>
          <w:rtl w:val="0"/>
        </w:rPr>
        <w:t xml:space="preserve">SR-CFIF now registers the future substrate trilogy as a sequence of changing interface conditions rather than as three additional fields. CRI modifies observability; AIS modifies the location of consequential interpretation and allocation; MACS modifies the network structure of cognition and coordination. Their complete realization is not assumed.</w:t>
      </w:r>
    </w:p>
    <w:p w:rsidR="00000000" w:rsidDel="00000000" w:rsidP="00000000" w:rsidRDefault="00000000" w:rsidRPr="00000000" w14:paraId="00000133">
      <w:pPr>
        <w:rPr/>
      </w:pPr>
      <w:r w:rsidDel="00000000" w:rsidR="00000000" w:rsidRPr="00000000">
        <w:rPr>
          <w:rtl w:val="0"/>
        </w:rPr>
        <w:t xml:space="preserve">Under CRI, increasing effective observability can compress recognition latency without guaranteeing zero lag. Under AIS, delegation creates additional machine-mediated and human–machine coupling terms. Under MACS, system behavior becomes increasingly sensitive to directional drift transfer, visibility divergence, synchronization, grounding, and network topology. These theorems therefore change the architecture through which existing fields may interact; they do not erase the fields themselves.</w:t>
      </w:r>
    </w:p>
    <w:p w:rsidR="00000000" w:rsidDel="00000000" w:rsidP="00000000" w:rsidRDefault="00000000" w:rsidRPr="00000000" w14:paraId="00000134">
      <w:pPr>
        <w:rPr/>
      </w:pPr>
      <w:r w:rsidDel="00000000" w:rsidR="00000000" w:rsidRPr="00000000">
        <w:rPr>
          <w:rtl w:val="0"/>
        </w:rPr>
        <w:t xml:space="preserve">Pressure Ecology sits beneath the trilogy: it identifies what loads, obligations, capacities, and burdens move through the system. The trilogy describes how an increasingly technological substrate observes, allocates, and recursively coordinates those pressures.</w:t>
      </w:r>
    </w:p>
    <w:p w:rsidR="00000000" w:rsidDel="00000000" w:rsidP="00000000" w:rsidRDefault="00000000" w:rsidRPr="00000000" w14:paraId="00000135">
      <w:pPr>
        <w:keepNext w:val="0"/>
        <w:keepLines w:val="1"/>
        <w:pageBreakBefore w:val="0"/>
        <w:widowControl w:val="1"/>
        <w:pBdr>
          <w:top w:space="0" w:sz="0" w:val="nil"/>
          <w:left w:space="0" w:sz="0" w:val="nil"/>
          <w:bottom w:space="0" w:sz="0" w:val="nil"/>
          <w:right w:space="0" w:sz="0" w:val="nil"/>
          <w:between w:space="0" w:sz="0" w:val="nil"/>
        </w:pBdr>
        <w:shd w:fill="eaf0f4" w:val="clear"/>
        <w:spacing w:after="160" w:before="80" w:line="276" w:lineRule="auto"/>
        <w:ind w:left="0" w:right="0" w:firstLine="0"/>
        <w:jc w:val="center"/>
        <w:rPr>
          <w:rFonts w:ascii="Play" w:cs="Play" w:eastAsia="Play" w:hAnsi="Play"/>
          <w:b w:val="1"/>
          <w:bCs w:val="1"/>
          <w:i w:val="0"/>
          <w:iCs w:val="0"/>
          <w:smallCaps w:val="0"/>
          <w:strike w:val="0"/>
          <w:color w:val="17324d"/>
          <w:sz w:val="21"/>
          <w:szCs w:val="21"/>
          <w:u w:val="none"/>
          <w:shd w:fill="auto" w:val="clear"/>
          <w:vertAlign w:val="baseline"/>
        </w:rPr>
      </w:pPr>
      <w:sdt>
        <w:sdtPr>
          <w:id w:val="-1761938342"/>
          <w:tag w:val="goog_rdk_17"/>
        </w:sdtPr>
        <w:sdtContent>
          <w:r w:rsidDel="00000000" w:rsidR="00000000" w:rsidRPr="00000000">
            <w:rPr>
              <w:rFonts w:ascii="Arial Unicode MS" w:cs="Arial Unicode MS" w:eastAsia="Arial Unicode MS" w:hAnsi="Arial Unicode MS"/>
              <w:b w:val="1"/>
              <w:bCs w:val="1"/>
              <w:i w:val="0"/>
              <w:iCs w:val="0"/>
              <w:smallCaps w:val="0"/>
              <w:strike w:val="0"/>
              <w:color w:val="17324d"/>
              <w:sz w:val="21"/>
              <w:szCs w:val="21"/>
              <w:u w:val="none"/>
              <w:shd w:fill="auto" w:val="clear"/>
              <w:vertAlign w:val="baseline"/>
              <w:rtl w:val="0"/>
            </w:rPr>
            <w:t xml:space="preserve">State Change → Exposure → Transmission → Transformation → Receiver Change → Feedback/Recovery</w:t>
          </w:r>
        </w:sdtContent>
      </w:sdt>
    </w:p>
    <w:p w:rsidR="00000000" w:rsidDel="00000000" w:rsidP="00000000" w:rsidRDefault="00000000" w:rsidRPr="00000000" w14:paraId="00000136">
      <w:pPr>
        <w:widowControl w:val="1"/>
        <w:jc w:val="both"/>
        <w:rPr/>
      </w:pPr>
      <w:r w:rsidDel="00000000" w:rsidR="00000000" w:rsidRPr="00000000">
        <w:rPr>
          <w:rtl w:val="0"/>
        </w:rPr>
        <w:t xml:space="preserve">The corresponding scientific cycle is:</w:t>
      </w:r>
    </w:p>
    <w:p w:rsidR="00000000" w:rsidDel="00000000" w:rsidP="00000000" w:rsidRDefault="00000000" w:rsidRPr="00000000" w14:paraId="00000137">
      <w:pPr>
        <w:keepNext w:val="0"/>
        <w:keepLines w:val="1"/>
        <w:pageBreakBefore w:val="0"/>
        <w:widowControl w:val="1"/>
        <w:pBdr>
          <w:top w:space="0" w:sz="0" w:val="nil"/>
          <w:left w:space="0" w:sz="0" w:val="nil"/>
          <w:bottom w:space="0" w:sz="0" w:val="nil"/>
          <w:right w:space="0" w:sz="0" w:val="nil"/>
          <w:between w:space="0" w:sz="0" w:val="nil"/>
        </w:pBdr>
        <w:shd w:fill="eaf0f4" w:val="clear"/>
        <w:spacing w:after="160" w:before="80" w:line="276" w:lineRule="auto"/>
        <w:ind w:left="0" w:right="0" w:firstLine="0"/>
        <w:jc w:val="center"/>
        <w:rPr>
          <w:rFonts w:ascii="Play" w:cs="Play" w:eastAsia="Play" w:hAnsi="Play"/>
          <w:b w:val="1"/>
          <w:bCs w:val="1"/>
          <w:i w:val="0"/>
          <w:iCs w:val="0"/>
          <w:smallCaps w:val="0"/>
          <w:strike w:val="0"/>
          <w:color w:val="17324d"/>
          <w:sz w:val="21"/>
          <w:szCs w:val="21"/>
          <w:u w:val="none"/>
          <w:shd w:fill="auto" w:val="clear"/>
          <w:vertAlign w:val="baseline"/>
        </w:rPr>
      </w:pPr>
      <w:sdt>
        <w:sdtPr>
          <w:id w:val="254640978"/>
          <w:tag w:val="goog_rdk_18"/>
        </w:sdtPr>
        <w:sdtContent>
          <w:r w:rsidDel="00000000" w:rsidR="00000000" w:rsidRPr="00000000">
            <w:rPr>
              <w:rFonts w:ascii="Arial Unicode MS" w:cs="Arial Unicode MS" w:eastAsia="Arial Unicode MS" w:hAnsi="Arial Unicode MS"/>
              <w:b w:val="1"/>
              <w:bCs w:val="1"/>
              <w:i w:val="0"/>
              <w:iCs w:val="0"/>
              <w:smallCaps w:val="0"/>
              <w:strike w:val="0"/>
              <w:color w:val="17324d"/>
              <w:sz w:val="21"/>
              <w:szCs w:val="21"/>
              <w:u w:val="none"/>
              <w:shd w:fill="auto" w:val="clear"/>
              <w:vertAlign w:val="baseline"/>
              <w:rtl w:val="0"/>
            </w:rPr>
            <w:t xml:space="preserve">Define → Measure → Separate → Trace → Estimate → Challenge → Replicate → Integrate</w:t>
          </w:r>
        </w:sdtContent>
      </w:sdt>
    </w:p>
    <w:p w:rsidR="00000000" w:rsidDel="00000000" w:rsidP="00000000" w:rsidRDefault="00000000" w:rsidRPr="00000000" w14:paraId="00000138">
      <w:pPr>
        <w:widowControl w:val="1"/>
        <w:rPr/>
      </w:pPr>
      <w:r w:rsidDel="00000000" w:rsidR="00000000" w:rsidRPr="00000000">
        <w:rPr>
          <w:rtl w:val="0"/>
        </w:rPr>
        <w:t xml:space="preserve">These two cycles distinguish the object from the method. The first describes a candidate system process. The second describes how SR earns the right to say that the process occurred.</w:t>
      </w:r>
    </w:p>
    <w:p w:rsidR="00000000" w:rsidDel="00000000" w:rsidP="00000000" w:rsidRDefault="00000000" w:rsidRPr="00000000" w14:paraId="00000139">
      <w:pPr>
        <w:pStyle w:val="Heading1"/>
        <w:rPr/>
      </w:pPr>
      <w:r w:rsidDel="00000000" w:rsidR="00000000" w:rsidRPr="00000000">
        <w:rPr>
          <w:rtl w:val="0"/>
        </w:rPr>
        <w:t xml:space="preserve">23. Relationship to the SignalRupture Multiverse</w:t>
      </w:r>
    </w:p>
    <w:p w:rsidR="00000000" w:rsidDel="00000000" w:rsidP="00000000" w:rsidRDefault="00000000" w:rsidRPr="00000000" w14:paraId="0000013A">
      <w:pPr>
        <w:widowControl w:val="1"/>
        <w:rPr/>
      </w:pPr>
      <w:r w:rsidDel="00000000" w:rsidR="00000000" w:rsidRPr="00000000">
        <w:rPr>
          <w:rtl w:val="0"/>
        </w:rPr>
        <w:t xml:space="preserve">The Canon and Field Architecture established what belongs where. SR-CFIF establishes how those components may interact. The next canonical synthesis, The SignalRupture Multiverse, can therefore describe one coherent research architecture without pretending that coherence itself is empirical validation.</w:t>
      </w:r>
    </w:p>
    <w:p w:rsidR="00000000" w:rsidDel="00000000" w:rsidP="00000000" w:rsidRDefault="00000000" w:rsidRPr="00000000" w14:paraId="0000013B">
      <w:pPr>
        <w:widowControl w:val="1"/>
        <w:rPr/>
      </w:pPr>
      <w:r w:rsidDel="00000000" w:rsidR="00000000" w:rsidRPr="00000000">
        <w:rPr>
          <w:rtl w:val="0"/>
        </w:rPr>
        <w:t xml:space="preserve">The multiverse is not defined by the number of SR fields. It is defined by a disciplined architecture in which distinct domains expose measurable interfaces, candidate mechanisms cross those interfaces, negative evidence can remove edges, and the remaining network can be tested as a system.</w:t>
      </w:r>
    </w:p>
    <w:p w:rsidR="00000000" w:rsidDel="00000000" w:rsidP="00000000" w:rsidRDefault="00000000" w:rsidRPr="00000000" w14:paraId="0000013C">
      <w:pPr>
        <w:widowControl w:val="1"/>
        <w:rPr/>
      </w:pPr>
      <w:r w:rsidDel="00000000" w:rsidR="00000000" w:rsidRPr="00000000">
        <w:rPr>
          <w:rtl w:val="0"/>
        </w:rPr>
        <w:t xml:space="preserve">The strongest present formulation is therefore: SignalRupture is a metatheoretical and diagnostic research architecture whose fields and subfields are connected by explicitly specified, empirically testable, and potentially falsifiable cross-domain relations, and whose institutional evaluation is subject to the same demands for transparency, evidence, and correction.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1"/>
        <w:rPr/>
      </w:pPr>
      <w:r w:rsidDel="00000000" w:rsidR="00000000" w:rsidRPr="00000000">
        <w:rPr>
          <w:rtl w:val="0"/>
        </w:rPr>
        <w:t xml:space="preserve">Appendix A — Field Interface Template</w:t>
      </w:r>
    </w:p>
    <w:p w:rsidR="00000000" w:rsidDel="00000000" w:rsidP="00000000" w:rsidRDefault="00000000" w:rsidRPr="00000000" w14:paraId="00000140">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Field/Program:</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41">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Object of study:</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42">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Unit(s) of analysis:</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43">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State vector:</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44">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Measurement model:</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45">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Outputs available for cross-field transfer:</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46">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Inputs receivable from other fields:</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47">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Candidate mechanisms:</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48">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Expected lag ranges:</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49">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Amplifiers:</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4A">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Buffers/substitution/recovery mechanisms:</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4B">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Confounders and rival explanations:</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4C">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Reverse pathways:</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4D">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Falsifiers:</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4E">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Baseline disciplinary models:</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4F">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Invariance requirements:</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50">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Current empirical status:</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51">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Canonical field status:</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1"/>
        <w:rPr/>
      </w:pPr>
      <w:r w:rsidDel="00000000" w:rsidR="00000000" w:rsidRPr="00000000">
        <w:rPr>
          <w:rtl w:val="0"/>
        </w:rPr>
        <w:t xml:space="preserve">Appendix B — Cross-Field Bridge Registration Template</w:t>
      </w:r>
    </w:p>
    <w:p w:rsidR="00000000" w:rsidDel="00000000" w:rsidP="00000000" w:rsidRDefault="00000000" w:rsidRPr="00000000" w14:paraId="00000154">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Bridge ID:</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55">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Source field and variable(s):</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56">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Receiver field and variable(s):</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57">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Transmission mechanism M_ij:</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58">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Exposure measure E_ij:</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59">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Expected direction:</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5A">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Expected lag τ_ij:</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5B">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Amplification condition(s):</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5C">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Buffer/blocker condition(s):</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5D">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Common-shock controls:</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5E">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Reverse-direction test:</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5F">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Identification design:</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60">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Evidence level:</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61">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Predicted observation:</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62">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Potential disconfirmation:</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63">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Robustness tests:</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64">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Replication target:</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65">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Status:</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1"/>
        <w:rPr/>
      </w:pPr>
      <w:r w:rsidDel="00000000" w:rsidR="00000000" w:rsidRPr="00000000">
        <w:rPr>
          <w:rtl w:val="0"/>
        </w:rPr>
        <w:t xml:space="preserve">Appendix C — Priority Empirical Test Suite</w:t>
      </w:r>
    </w:p>
    <w:tbl>
      <w:tblPr>
        <w:tblStyle w:val="Table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0"/>
        <w:gridCol w:w="6910"/>
        <w:tblGridChange w:id="0">
          <w:tblGrid>
            <w:gridCol w:w="2450"/>
            <w:gridCol w:w="6910"/>
          </w:tblGrid>
        </w:tblGridChange>
      </w:tblGrid>
      <w:tr>
        <w:trPr>
          <w:cantSplit w:val="1"/>
          <w:tblHeader w:val="0"/>
        </w:trPr>
        <w:tc>
          <w:tcPr>
            <w:shd w:fill="f4f7f9" w:val="clear"/>
            <w:tcMar>
              <w:top w:w="90.0" w:type="dxa"/>
              <w:bottom w:w="90.0" w:type="dxa"/>
            </w:tcMar>
          </w:tcPr>
          <w:p w:rsidR="00000000" w:rsidDel="00000000" w:rsidP="00000000" w:rsidRDefault="00000000" w:rsidRPr="00000000" w14:paraId="00000169">
            <w:pPr>
              <w:rPr/>
            </w:pPr>
            <w:r w:rsidDel="00000000" w:rsidR="00000000" w:rsidRPr="00000000">
              <w:rPr>
                <w:rFonts w:ascii="Aptos" w:cs="Aptos" w:eastAsia="Aptos" w:hAnsi="Aptos"/>
                <w:b w:val="1"/>
                <w:bCs w:val="1"/>
                <w:i w:val="0"/>
                <w:iCs w:val="0"/>
                <w:color w:val="17324d"/>
                <w:sz w:val="19"/>
                <w:szCs w:val="19"/>
                <w:rtl w:val="0"/>
              </w:rPr>
              <w:t xml:space="preserve">Test 1 — Infrastructure dependency and effective government agency</w:t>
            </w:r>
            <w:r w:rsidDel="00000000" w:rsidR="00000000" w:rsidRPr="00000000">
              <w:rPr>
                <w:rtl w:val="0"/>
              </w:rPr>
            </w:r>
          </w:p>
        </w:tc>
        <w:tc>
          <w:tcPr>
            <w:tcMar>
              <w:top w:w="90.0" w:type="dxa"/>
              <w:bottom w:w="90.0" w:type="dxa"/>
            </w:tcMar>
          </w:tcPr>
          <w:p w:rsidR="00000000" w:rsidDel="00000000" w:rsidP="00000000" w:rsidRDefault="00000000" w:rsidRPr="00000000" w14:paraId="0000016A">
            <w:pPr>
              <w:rPr/>
            </w:pPr>
            <w:r w:rsidDel="00000000" w:rsidR="00000000" w:rsidRPr="00000000">
              <w:rPr>
                <w:rFonts w:ascii="Aptos" w:cs="Aptos" w:eastAsia="Aptos" w:hAnsi="Aptos"/>
                <w:b w:val="0"/>
                <w:bCs w:val="0"/>
                <w:i w:val="0"/>
                <w:iCs w:val="0"/>
                <w:color w:val="202a33"/>
                <w:sz w:val="19"/>
                <w:szCs w:val="19"/>
                <w:rtl w:val="0"/>
              </w:rPr>
              <w:t xml:space="preserve">estimate whether substitution capacity and regulatory leverage mediate the relationship between dependency and observed execution capacity.</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16B">
            <w:pPr>
              <w:rPr/>
            </w:pPr>
            <w:r w:rsidDel="00000000" w:rsidR="00000000" w:rsidRPr="00000000">
              <w:rPr>
                <w:rFonts w:ascii="Aptos" w:cs="Aptos" w:eastAsia="Aptos" w:hAnsi="Aptos"/>
                <w:b w:val="1"/>
                <w:bCs w:val="1"/>
                <w:i w:val="0"/>
                <w:iCs w:val="0"/>
                <w:color w:val="17324d"/>
                <w:sz w:val="19"/>
                <w:szCs w:val="19"/>
                <w:rtl w:val="0"/>
              </w:rPr>
              <w:t xml:space="preserve">Test 2 — Economic/material pressure to human capacity</w:t>
            </w:r>
            <w:r w:rsidDel="00000000" w:rsidR="00000000" w:rsidRPr="00000000">
              <w:rPr>
                <w:rtl w:val="0"/>
              </w:rPr>
            </w:r>
          </w:p>
        </w:tc>
        <w:tc>
          <w:tcPr>
            <w:tcMar>
              <w:top w:w="90.0" w:type="dxa"/>
              <w:bottom w:w="90.0" w:type="dxa"/>
            </w:tcMar>
          </w:tcPr>
          <w:p w:rsidR="00000000" w:rsidDel="00000000" w:rsidP="00000000" w:rsidRDefault="00000000" w:rsidRPr="00000000" w14:paraId="0000016C">
            <w:pPr>
              <w:rPr/>
            </w:pPr>
            <w:r w:rsidDel="00000000" w:rsidR="00000000" w:rsidRPr="00000000">
              <w:rPr>
                <w:rFonts w:ascii="Aptos" w:cs="Aptos" w:eastAsia="Aptos" w:hAnsi="Aptos"/>
                <w:b w:val="0"/>
                <w:bCs w:val="0"/>
                <w:i w:val="0"/>
                <w:iCs w:val="0"/>
                <w:color w:val="202a33"/>
                <w:sz w:val="19"/>
                <w:szCs w:val="19"/>
                <w:rtl w:val="0"/>
              </w:rPr>
              <w:t xml:space="preserve">use longitudinal household or panel data to test budget/time constraints and compensatory labor as mediators.</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16D">
            <w:pPr>
              <w:rPr/>
            </w:pPr>
            <w:r w:rsidDel="00000000" w:rsidR="00000000" w:rsidRPr="00000000">
              <w:rPr>
                <w:rFonts w:ascii="Aptos" w:cs="Aptos" w:eastAsia="Aptos" w:hAnsi="Aptos"/>
                <w:b w:val="1"/>
                <w:bCs w:val="1"/>
                <w:i w:val="0"/>
                <w:iCs w:val="0"/>
                <w:color w:val="17324d"/>
                <w:sz w:val="19"/>
                <w:szCs w:val="19"/>
                <w:rtl w:val="0"/>
              </w:rPr>
              <w:t xml:space="preserve">Test 3 — Human capacity to educational conditions</w:t>
            </w:r>
            <w:r w:rsidDel="00000000" w:rsidR="00000000" w:rsidRPr="00000000">
              <w:rPr>
                <w:rtl w:val="0"/>
              </w:rPr>
            </w:r>
          </w:p>
        </w:tc>
        <w:tc>
          <w:tcPr>
            <w:tcMar>
              <w:top w:w="90.0" w:type="dxa"/>
              <w:bottom w:w="90.0" w:type="dxa"/>
            </w:tcMar>
          </w:tcPr>
          <w:p w:rsidR="00000000" w:rsidDel="00000000" w:rsidP="00000000" w:rsidRDefault="00000000" w:rsidRPr="00000000" w14:paraId="0000016E">
            <w:pPr>
              <w:rPr/>
            </w:pPr>
            <w:r w:rsidDel="00000000" w:rsidR="00000000" w:rsidRPr="00000000">
              <w:rPr>
                <w:rFonts w:ascii="Aptos" w:cs="Aptos" w:eastAsia="Aptos" w:hAnsi="Aptos"/>
                <w:b w:val="0"/>
                <w:bCs w:val="0"/>
                <w:i w:val="0"/>
                <w:iCs w:val="0"/>
                <w:color w:val="202a33"/>
                <w:sz w:val="19"/>
                <w:szCs w:val="19"/>
                <w:rtl w:val="0"/>
              </w:rPr>
              <w:t xml:space="preserve">test whether measured household time/cognitive constraints predict learning outcomes beyond conventional socioeconomic and school-level controls.</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16F">
            <w:pPr>
              <w:rPr/>
            </w:pPr>
            <w:r w:rsidDel="00000000" w:rsidR="00000000" w:rsidRPr="00000000">
              <w:rPr>
                <w:rFonts w:ascii="Aptos" w:cs="Aptos" w:eastAsia="Aptos" w:hAnsi="Aptos"/>
                <w:b w:val="1"/>
                <w:bCs w:val="1"/>
                <w:i w:val="0"/>
                <w:iCs w:val="0"/>
                <w:color w:val="17324d"/>
                <w:sz w:val="19"/>
                <w:szCs w:val="19"/>
                <w:rtl w:val="0"/>
              </w:rPr>
              <w:t xml:space="preserve">Test 4 — Visibility and knowledge selection to institutional response</w:t>
            </w:r>
            <w:r w:rsidDel="00000000" w:rsidR="00000000" w:rsidRPr="00000000">
              <w:rPr>
                <w:rtl w:val="0"/>
              </w:rPr>
            </w:r>
          </w:p>
        </w:tc>
        <w:tc>
          <w:tcPr>
            <w:tcMar>
              <w:top w:w="90.0" w:type="dxa"/>
              <w:bottom w:w="90.0" w:type="dxa"/>
            </w:tcMar>
          </w:tcPr>
          <w:p w:rsidR="00000000" w:rsidDel="00000000" w:rsidP="00000000" w:rsidRDefault="00000000" w:rsidRPr="00000000" w14:paraId="00000170">
            <w:pPr>
              <w:rPr/>
            </w:pPr>
            <w:r w:rsidDel="00000000" w:rsidR="00000000" w:rsidRPr="00000000">
              <w:rPr>
                <w:rFonts w:ascii="Aptos" w:cs="Aptos" w:eastAsia="Aptos" w:hAnsi="Aptos"/>
                <w:b w:val="0"/>
                <w:bCs w:val="0"/>
                <w:i w:val="0"/>
                <w:iCs w:val="0"/>
                <w:color w:val="202a33"/>
                <w:sz w:val="19"/>
                <w:szCs w:val="19"/>
                <w:rtl w:val="0"/>
              </w:rPr>
              <w:t xml:space="preserve">exploit platform, indexing, information-system, or disclosure changes that alter institutional information exposure.</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171">
            <w:pPr>
              <w:rPr/>
            </w:pPr>
            <w:r w:rsidDel="00000000" w:rsidR="00000000" w:rsidRPr="00000000">
              <w:rPr>
                <w:rFonts w:ascii="Aptos" w:cs="Aptos" w:eastAsia="Aptos" w:hAnsi="Aptos"/>
                <w:b w:val="1"/>
                <w:bCs w:val="1"/>
                <w:i w:val="0"/>
                <w:iCs w:val="0"/>
                <w:color w:val="17324d"/>
                <w:sz w:val="19"/>
                <w:szCs w:val="19"/>
                <w:rtl w:val="0"/>
              </w:rPr>
              <w:t xml:space="preserve">Test 5 — Administrative burden to health/psychological/social outcomes</w:t>
            </w:r>
            <w:r w:rsidDel="00000000" w:rsidR="00000000" w:rsidRPr="00000000">
              <w:rPr>
                <w:rtl w:val="0"/>
              </w:rPr>
            </w:r>
          </w:p>
        </w:tc>
        <w:tc>
          <w:tcPr>
            <w:tcMar>
              <w:top w:w="90.0" w:type="dxa"/>
              <w:bottom w:w="90.0" w:type="dxa"/>
            </w:tcMar>
          </w:tcPr>
          <w:p w:rsidR="00000000" w:rsidDel="00000000" w:rsidP="00000000" w:rsidRDefault="00000000" w:rsidRPr="00000000" w14:paraId="00000172">
            <w:pPr>
              <w:rPr/>
            </w:pPr>
            <w:r w:rsidDel="00000000" w:rsidR="00000000" w:rsidRPr="00000000">
              <w:rPr>
                <w:rFonts w:ascii="Aptos" w:cs="Aptos" w:eastAsia="Aptos" w:hAnsi="Aptos"/>
                <w:b w:val="0"/>
                <w:bCs w:val="0"/>
                <w:i w:val="0"/>
                <w:iCs w:val="0"/>
                <w:color w:val="202a33"/>
                <w:sz w:val="19"/>
                <w:szCs w:val="19"/>
                <w:rtl w:val="0"/>
              </w:rPr>
              <w:t xml:space="preserve">use policy or procedural changes that generate plausibly exogenous burden variation.</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173">
            <w:pPr>
              <w:rPr/>
            </w:pPr>
            <w:r w:rsidDel="00000000" w:rsidR="00000000" w:rsidRPr="00000000">
              <w:rPr>
                <w:rFonts w:ascii="Aptos" w:cs="Aptos" w:eastAsia="Aptos" w:hAnsi="Aptos"/>
                <w:b w:val="1"/>
                <w:bCs w:val="1"/>
                <w:i w:val="0"/>
                <w:iCs w:val="0"/>
                <w:color w:val="17324d"/>
                <w:sz w:val="19"/>
                <w:szCs w:val="19"/>
                <w:rtl w:val="0"/>
              </w:rPr>
              <w:t xml:space="preserve">Test 6 — Climate/scarcity propagation</w:t>
            </w:r>
            <w:r w:rsidDel="00000000" w:rsidR="00000000" w:rsidRPr="00000000">
              <w:rPr>
                <w:rtl w:val="0"/>
              </w:rPr>
            </w:r>
          </w:p>
        </w:tc>
        <w:tc>
          <w:tcPr>
            <w:tcMar>
              <w:top w:w="90.0" w:type="dxa"/>
              <w:bottom w:w="90.0" w:type="dxa"/>
            </w:tcMar>
          </w:tcPr>
          <w:p w:rsidR="00000000" w:rsidDel="00000000" w:rsidP="00000000" w:rsidRDefault="00000000" w:rsidRPr="00000000" w14:paraId="00000174">
            <w:pPr>
              <w:rPr/>
            </w:pPr>
            <w:r w:rsidDel="00000000" w:rsidR="00000000" w:rsidRPr="00000000">
              <w:rPr>
                <w:rFonts w:ascii="Aptos" w:cs="Aptos" w:eastAsia="Aptos" w:hAnsi="Aptos"/>
                <w:b w:val="0"/>
                <w:bCs w:val="0"/>
                <w:i w:val="0"/>
                <w:iCs w:val="0"/>
                <w:color w:val="202a33"/>
                <w:sz w:val="19"/>
                <w:szCs w:val="19"/>
                <w:rtl w:val="0"/>
              </w:rPr>
              <w:t xml:space="preserve">trace an external physical shock through infrastructure, prices/access, institutional response, and receiver-side outcomes.</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175">
            <w:pPr>
              <w:rPr/>
            </w:pPr>
            <w:r w:rsidDel="00000000" w:rsidR="00000000" w:rsidRPr="00000000">
              <w:rPr>
                <w:rFonts w:ascii="Aptos" w:cs="Aptos" w:eastAsia="Aptos" w:hAnsi="Aptos"/>
                <w:b w:val="1"/>
                <w:bCs w:val="1"/>
                <w:i w:val="0"/>
                <w:iCs w:val="0"/>
                <w:color w:val="17324d"/>
                <w:sz w:val="19"/>
                <w:szCs w:val="19"/>
                <w:rtl w:val="0"/>
              </w:rPr>
              <w:t xml:space="preserve">Test 7 — Accountability failure and harm persistence</w:t>
            </w:r>
            <w:r w:rsidDel="00000000" w:rsidR="00000000" w:rsidRPr="00000000">
              <w:rPr>
                <w:rtl w:val="0"/>
              </w:rPr>
            </w:r>
          </w:p>
        </w:tc>
        <w:tc>
          <w:tcPr>
            <w:tcMar>
              <w:top w:w="90.0" w:type="dxa"/>
              <w:bottom w:w="90.0" w:type="dxa"/>
            </w:tcMar>
          </w:tcPr>
          <w:p w:rsidR="00000000" w:rsidDel="00000000" w:rsidP="00000000" w:rsidRDefault="00000000" w:rsidRPr="00000000" w14:paraId="00000176">
            <w:pPr>
              <w:rPr/>
            </w:pPr>
            <w:r w:rsidDel="00000000" w:rsidR="00000000" w:rsidRPr="00000000">
              <w:rPr>
                <w:rFonts w:ascii="Aptos" w:cs="Aptos" w:eastAsia="Aptos" w:hAnsi="Aptos"/>
                <w:b w:val="0"/>
                <w:bCs w:val="0"/>
                <w:i w:val="0"/>
                <w:iCs w:val="0"/>
                <w:color w:val="202a33"/>
                <w:sz w:val="19"/>
                <w:szCs w:val="19"/>
                <w:rtl w:val="0"/>
              </w:rPr>
              <w:t xml:space="preserve">test whether measurable responsibility fragmentation predicts recurrence after initial recognition of harm.</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177">
            <w:pPr>
              <w:rPr/>
            </w:pPr>
            <w:r w:rsidDel="00000000" w:rsidR="00000000" w:rsidRPr="00000000">
              <w:rPr>
                <w:rFonts w:ascii="Aptos" w:cs="Aptos" w:eastAsia="Aptos" w:hAnsi="Aptos"/>
                <w:b w:val="1"/>
                <w:bCs w:val="1"/>
                <w:i w:val="0"/>
                <w:iCs w:val="0"/>
                <w:color w:val="17324d"/>
                <w:sz w:val="19"/>
                <w:szCs w:val="19"/>
                <w:rtl w:val="0"/>
              </w:rPr>
              <w:t xml:space="preserve">Test 8 — Buffer validation</w:t>
            </w:r>
            <w:r w:rsidDel="00000000" w:rsidR="00000000" w:rsidRPr="00000000">
              <w:rPr>
                <w:rtl w:val="0"/>
              </w:rPr>
            </w:r>
          </w:p>
        </w:tc>
        <w:tc>
          <w:tcPr>
            <w:tcMar>
              <w:top w:w="90.0" w:type="dxa"/>
              <w:bottom w:w="90.0" w:type="dxa"/>
            </w:tcMar>
          </w:tcPr>
          <w:p w:rsidR="00000000" w:rsidDel="00000000" w:rsidP="00000000" w:rsidRDefault="00000000" w:rsidRPr="00000000" w14:paraId="00000178">
            <w:pPr>
              <w:rPr/>
            </w:pPr>
            <w:r w:rsidDel="00000000" w:rsidR="00000000" w:rsidRPr="00000000">
              <w:rPr>
                <w:rFonts w:ascii="Aptos" w:cs="Aptos" w:eastAsia="Aptos" w:hAnsi="Aptos"/>
                <w:b w:val="0"/>
                <w:bCs w:val="0"/>
                <w:i w:val="0"/>
                <w:iCs w:val="0"/>
                <w:color w:val="202a33"/>
                <w:sz w:val="19"/>
                <w:szCs w:val="19"/>
                <w:rtl w:val="0"/>
              </w:rPr>
              <w:t xml:space="preserve">identify otherwise comparable systems with different redundancy, substitution, social support, or institutional slack and test predicted attenuation.</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179">
            <w:pPr>
              <w:rPr/>
            </w:pPr>
            <w:r w:rsidDel="00000000" w:rsidR="00000000" w:rsidRPr="00000000">
              <w:rPr>
                <w:rFonts w:ascii="Aptos" w:cs="Aptos" w:eastAsia="Aptos" w:hAnsi="Aptos"/>
                <w:b w:val="1"/>
                <w:bCs w:val="1"/>
                <w:i w:val="0"/>
                <w:iCs w:val="0"/>
                <w:color w:val="17324d"/>
                <w:sz w:val="19"/>
                <w:szCs w:val="19"/>
                <w:rtl w:val="0"/>
              </w:rPr>
              <w:t xml:space="preserve">Test 9 — Recursive human-institutional loop</w:t>
            </w:r>
            <w:r w:rsidDel="00000000" w:rsidR="00000000" w:rsidRPr="00000000">
              <w:rPr>
                <w:rtl w:val="0"/>
              </w:rPr>
            </w:r>
          </w:p>
        </w:tc>
        <w:tc>
          <w:tcPr>
            <w:tcMar>
              <w:top w:w="90.0" w:type="dxa"/>
              <w:bottom w:w="90.0" w:type="dxa"/>
            </w:tcMar>
          </w:tcPr>
          <w:p w:rsidR="00000000" w:rsidDel="00000000" w:rsidP="00000000" w:rsidRDefault="00000000" w:rsidRPr="00000000" w14:paraId="0000017A">
            <w:pPr>
              <w:rPr/>
            </w:pPr>
            <w:r w:rsidDel="00000000" w:rsidR="00000000" w:rsidRPr="00000000">
              <w:rPr>
                <w:rFonts w:ascii="Aptos" w:cs="Aptos" w:eastAsia="Aptos" w:hAnsi="Aptos"/>
                <w:b w:val="0"/>
                <w:bCs w:val="0"/>
                <w:i w:val="0"/>
                <w:iCs w:val="0"/>
                <w:color w:val="202a33"/>
                <w:sz w:val="19"/>
                <w:szCs w:val="19"/>
                <w:rtl w:val="0"/>
              </w:rPr>
              <w:t xml:space="preserve">test whether workforce/human-capacity losses predict subsequent institutional degradation and whether that degradation predicts further exposure.</w:t>
            </w:r>
            <w:r w:rsidDel="00000000" w:rsidR="00000000" w:rsidRPr="00000000">
              <w:rPr>
                <w:rtl w:val="0"/>
              </w:rPr>
            </w:r>
          </w:p>
        </w:tc>
      </w:tr>
      <w:tr>
        <w:trPr>
          <w:cantSplit w:val="1"/>
          <w:tblHeader w:val="0"/>
        </w:trPr>
        <w:tc>
          <w:tcPr>
            <w:shd w:fill="f4f7f9" w:val="clear"/>
            <w:tcMar>
              <w:top w:w="90.0" w:type="dxa"/>
              <w:bottom w:w="90.0" w:type="dxa"/>
            </w:tcMar>
          </w:tcPr>
          <w:p w:rsidR="00000000" w:rsidDel="00000000" w:rsidP="00000000" w:rsidRDefault="00000000" w:rsidRPr="00000000" w14:paraId="0000017B">
            <w:pPr>
              <w:rPr/>
            </w:pPr>
            <w:r w:rsidDel="00000000" w:rsidR="00000000" w:rsidRPr="00000000">
              <w:rPr>
                <w:rFonts w:ascii="Aptos" w:cs="Aptos" w:eastAsia="Aptos" w:hAnsi="Aptos"/>
                <w:b w:val="1"/>
                <w:bCs w:val="1"/>
                <w:i w:val="0"/>
                <w:iCs w:val="0"/>
                <w:color w:val="17324d"/>
                <w:sz w:val="19"/>
                <w:szCs w:val="19"/>
                <w:rtl w:val="0"/>
              </w:rPr>
              <w:t xml:space="preserve">Test 10 — Integrated model comparison</w:t>
            </w:r>
            <w:r w:rsidDel="00000000" w:rsidR="00000000" w:rsidRPr="00000000">
              <w:rPr>
                <w:rtl w:val="0"/>
              </w:rPr>
            </w:r>
          </w:p>
        </w:tc>
        <w:tc>
          <w:tcPr>
            <w:tcMar>
              <w:top w:w="90.0" w:type="dxa"/>
              <w:bottom w:w="90.0" w:type="dxa"/>
            </w:tcMar>
          </w:tcPr>
          <w:p w:rsidR="00000000" w:rsidDel="00000000" w:rsidP="00000000" w:rsidRDefault="00000000" w:rsidRPr="00000000" w14:paraId="0000017C">
            <w:pPr>
              <w:rPr/>
            </w:pPr>
            <w:r w:rsidDel="00000000" w:rsidR="00000000" w:rsidRPr="00000000">
              <w:rPr>
                <w:rFonts w:ascii="Aptos" w:cs="Aptos" w:eastAsia="Aptos" w:hAnsi="Aptos"/>
                <w:b w:val="0"/>
                <w:bCs w:val="0"/>
                <w:i w:val="0"/>
                <w:iCs w:val="0"/>
                <w:color w:val="202a33"/>
                <w:sz w:val="19"/>
                <w:szCs w:val="19"/>
                <w:rtl w:val="0"/>
              </w:rPr>
              <w:t xml:space="preserve">compare a supported SR subnetwork against independent-domain models using rolling or held-out prediction and transparent complexity penalties.</w:t>
            </w:r>
            <w:r w:rsidDel="00000000" w:rsidR="00000000" w:rsidRPr="00000000">
              <w:rPr>
                <w:rtl w:val="0"/>
              </w:rPr>
            </w:r>
          </w:p>
        </w:tc>
      </w:tr>
    </w:tbl>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1"/>
        <w:rPr/>
      </w:pPr>
      <w:r w:rsidDel="00000000" w:rsidR="00000000" w:rsidRPr="00000000">
        <w:rPr>
          <w:rtl w:val="0"/>
        </w:rPr>
        <w:t xml:space="preserve">Appendix D — Institutional Judgment Registration Template</w:t>
      </w:r>
    </w:p>
    <w:p w:rsidR="00000000" w:rsidDel="00000000" w:rsidP="00000000" w:rsidRDefault="00000000" w:rsidRPr="00000000" w14:paraId="00000180">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Judgment ID:</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81">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Evaluating institution and body:</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82">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SR field, subfield, model, or claim evaluated:</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83">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Decision and practical consequence:</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84">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Declared standard:</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85">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Evidence reviewed:</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86">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Comparator university fields:</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87">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Treatment of replication limits and construct disputes in comparators:</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88">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Institutional incentives or conflicts:</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89">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Uncertainty statement:</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8A">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Conditions that would change the judgment:</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8B">
      <w:pPr>
        <w:keepLines w:val="1"/>
        <w:spacing w:after="40" w:lineRule="auto"/>
        <w:rPr/>
      </w:pPr>
      <w:r w:rsidDel="00000000" w:rsidR="00000000" w:rsidRPr="00000000">
        <w:rPr>
          <w:rFonts w:ascii="Aptos" w:cs="Aptos" w:eastAsia="Aptos" w:hAnsi="Aptos"/>
          <w:b w:val="1"/>
          <w:bCs w:val="1"/>
          <w:i w:val="0"/>
          <w:iCs w:val="0"/>
          <w:color w:val="17324d"/>
          <w:sz w:val="20"/>
          <w:szCs w:val="20"/>
          <w:rtl w:val="0"/>
        </w:rPr>
        <w:t xml:space="preserve">Appeal, review, or correction route:</w:t>
      </w:r>
      <w:r w:rsidDel="00000000" w:rsidR="00000000" w:rsidRPr="00000000">
        <w:rPr>
          <w:rFonts w:ascii="Aptos" w:cs="Aptos" w:eastAsia="Aptos" w:hAnsi="Aptos"/>
          <w:b w:val="0"/>
          <w:bCs w:val="0"/>
          <w:i w:val="0"/>
          <w:iCs w:val="0"/>
          <w:color w:val="b8c1c8"/>
          <w:sz w:val="20"/>
          <w:szCs w:val="20"/>
          <w:rtl w:val="0"/>
        </w:rPr>
        <w:t xml:space="preserve"> ──────────────────────────────────────</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1"/>
        <w:rPr/>
      </w:pPr>
      <w:r w:rsidDel="00000000" w:rsidR="00000000" w:rsidRPr="00000000">
        <w:rPr>
          <w:rtl w:val="0"/>
        </w:rPr>
        <w:t xml:space="preserve">Closing Statement</w:t>
      </w:r>
    </w:p>
    <w:p w:rsidR="00000000" w:rsidDel="00000000" w:rsidP="00000000" w:rsidRDefault="00000000" w:rsidRPr="00000000" w14:paraId="0000018F">
      <w:pPr>
        <w:widowControl w:val="1"/>
        <w:rPr/>
      </w:pPr>
      <w:r w:rsidDel="00000000" w:rsidR="00000000" w:rsidRPr="00000000">
        <w:rPr>
          <w:rtl w:val="0"/>
        </w:rPr>
        <w:t xml:space="preserve">The SR Cross-Field Integration Framework converts the merger of the SignalRupture fields from a taxonomic act into a scientific program. It preserves disciplinary and domain specificity while making interfaces explicit. It formalizes what moves, where it moves, through what mechanism, over what interval, under what amplifying or buffering conditions, and what evidence would show that the proposed movement did not occur.</w:t>
      </w:r>
    </w:p>
    <w:p w:rsidR="00000000" w:rsidDel="00000000" w:rsidP="00000000" w:rsidRDefault="00000000" w:rsidRPr="00000000" w14:paraId="00000190">
      <w:pPr>
        <w:widowControl w:val="1"/>
        <w:rPr/>
      </w:pPr>
      <w:r w:rsidDel="00000000" w:rsidR="00000000" w:rsidRPr="00000000">
        <w:rPr>
          <w:rtl w:val="0"/>
        </w:rPr>
        <w:t xml:space="preserve">The canon is therefore no longer connected merely because its papers use related language. It is connected where measurable bridges survive causal separation, robustness testing, and replication. It is institutionally assessable only where evaluations are themselves transparent, comparable, revisable, and evidence-bearing. Those paired standards are the foundation of the SignalRupture Multiverse.</w:t>
      </w:r>
    </w:p>
    <w:sectPr>
      <w:headerReference r:id="rId7" w:type="default"/>
      <w:footerReference r:id="rId8" w:type="default"/>
      <w:pgSz w:h="15840" w:w="12240" w:orient="portrait"/>
      <w:pgMar w:bottom="1411" w:top="1181" w:left="1267" w:right="1267" w:header="504" w:footer="46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Aptos"/>
  <w:font w:name="Play">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02a33"/>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5e6b75"/>
        <w:sz w:val="16"/>
        <w:szCs w:val="16"/>
        <w:u w:val="none"/>
        <w:shd w:fill="auto" w:val="clear"/>
        <w:vertAlign w:val="baseline"/>
        <w:rtl w:val="0"/>
      </w:rPr>
      <w:t xml:space="preserve">PAGE </w:t>
    </w:r>
    <w:r w:rsidDel="00000000" w:rsidR="00000000" w:rsidRPr="00000000">
      <w:rPr>
        <w:rFonts w:ascii="Aptos" w:cs="Aptos" w:eastAsia="Aptos" w:hAnsi="Aptos"/>
        <w:b w:val="0"/>
        <w:bCs w:val="0"/>
        <w:i w:val="0"/>
        <w:iCs w:val="0"/>
        <w:smallCaps w:val="0"/>
        <w:strike w:val="0"/>
        <w:color w:val="202a33"/>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keepNext w:val="0"/>
      <w:keepLines w:val="0"/>
      <w:pageBreakBefore w:val="0"/>
      <w:widowControl w:val="1"/>
      <w:pBdr>
        <w:top w:space="0" w:sz="0" w:val="nil"/>
        <w:left w:space="0" w:sz="0" w:val="nil"/>
        <w:bottom w:color="b7c3cc" w:space="5"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02a33"/>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5e6b75"/>
        <w:sz w:val="16"/>
        <w:szCs w:val="16"/>
        <w:u w:val="none"/>
        <w:shd w:fill="auto" w:val="clear"/>
        <w:vertAlign w:val="baseline"/>
        <w:rtl w:val="0"/>
      </w:rPr>
      <w:t xml:space="preserve">SR-CFIF | CROSS-FIELD INTEGRATION FRAMEWORK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02a33"/>
        <w:sz w:val="22"/>
        <w:szCs w:val="22"/>
        <w:lang w:val="en"/>
      </w:rPr>
    </w:rPrDefault>
    <w:pPrDefault>
      <w:pPr>
        <w:spacing w:after="140" w:line="28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60" w:lineRule="auto"/>
    </w:pPr>
    <w:rPr>
      <w:rFonts w:ascii="Play" w:cs="Play" w:eastAsia="Play" w:hAnsi="Play"/>
      <w:b w:val="1"/>
      <w:bCs w:val="1"/>
      <w:color w:val="17324d"/>
      <w:sz w:val="34"/>
      <w:szCs w:val="34"/>
    </w:rPr>
  </w:style>
  <w:style w:type="paragraph" w:styleId="Heading2">
    <w:name w:val="heading 2"/>
    <w:basedOn w:val="Normal"/>
    <w:next w:val="Normal"/>
    <w:pPr>
      <w:keepNext w:val="1"/>
      <w:keepLines w:val="1"/>
      <w:spacing w:after="100" w:before="240" w:lineRule="auto"/>
    </w:pPr>
    <w:rPr>
      <w:rFonts w:ascii="Play" w:cs="Play" w:eastAsia="Play" w:hAnsi="Play"/>
      <w:b w:val="1"/>
      <w:bCs w:val="1"/>
      <w:color w:val="2e5d7b"/>
      <w:sz w:val="27"/>
      <w:szCs w:val="27"/>
    </w:rPr>
  </w:style>
  <w:style w:type="paragraph" w:styleId="Heading3">
    <w:name w:val="heading 3"/>
    <w:basedOn w:val="Normal"/>
    <w:next w:val="Normal"/>
    <w:pPr>
      <w:keepNext w:val="1"/>
      <w:keepLines w:val="1"/>
      <w:spacing w:after="80" w:before="180" w:lineRule="auto"/>
    </w:pPr>
    <w:rPr>
      <w:rFonts w:ascii="Play" w:cs="Play" w:eastAsia="Play" w:hAnsi="Play"/>
      <w:b w:val="1"/>
      <w:bCs w:val="1"/>
      <w:color w:val="17324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Equation" w:customStyle="1">
    <w:name w:val="Equation"/>
    <w:pPr>
      <w:keepLines w:val="1"/>
      <w:spacing w:after="140" w:before="100"/>
    </w:pPr>
    <w:rPr>
      <w:rFonts w:ascii="Cambria Math" w:hAnsi="Cambria Math"/>
      <w:color w:val="17324d"/>
      <w:sz w:val="22"/>
    </w:rPr>
  </w:style>
  <w:style w:type="paragraph" w:styleId="Flow" w:customStyle="1">
    <w:name w:val="Flow"/>
    <w:pPr>
      <w:keepLines w:val="1"/>
      <w:spacing w:after="160" w:before="80"/>
    </w:pPr>
    <w:rPr>
      <w:rFonts w:ascii="Aptos Display" w:hAnsi="Aptos Display"/>
      <w:b w:val="1"/>
      <w:color w:val="17324d"/>
      <w:sz w:val="21"/>
    </w:rPr>
  </w:style>
  <w:style w:type="paragraph" w:styleId="FieldLabel" w:customStyle="1">
    <w:name w:val="FieldLabel"/>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7TPzWyW8JiJLpc38ML6TneCISg==">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SR</dc:creator>
</cp:coreProperties>
</file>