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c46baf5435421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bidi/>
        <w:jc w:val="center"/>
      </w:pPr>
      <w:r>
        <w:rPr>
          <w:lang w:val="ru-RU"/>
          <w:sz w:val="40"/>
          <w:szCs w:val="40"/>
          <w:b/>
        </w:rPr>
        <w:t>Заказы по городам и датам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94838d2f69b4916" /><Relationship Type="http://schemas.openxmlformats.org/officeDocument/2006/relationships/numbering" Target="/word/numbering.xml" Id="R074d61ff69c34603" /><Relationship Type="http://schemas.openxmlformats.org/officeDocument/2006/relationships/settings" Target="/word/settings.xml" Id="Rbbb81f7a03a14780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мск</c:v>
                </c:pt>
              </c:strCache>
            </c:strRef>
          </c:tx>
          <c:invertIfNegative>0</c:invertIfNegative>
          <c:cat>
            <c:strRef>
              <c:f/>
              <c:strCache>
                <c:ptCount val="6"/>
                <c:pt idx="0">
                  <c:v>22.10.2022</c:v>
                </c:pt>
                <c:pt idx="1">
                  <c:v>25.10.2022</c:v>
                </c:pt>
                <c:pt idx="2">
                  <c:v>30.10.2022</c:v>
                </c:pt>
                <c:pt idx="3">
                  <c:v>31.10.2022</c:v>
                </c:pt>
                <c:pt idx="4">
                  <c:v>04.11.2022</c:v>
                </c:pt>
                <c:pt idx="5">
                  <c:v>10.11.2022</c:v>
                </c:pt>
              </c:strCache>
            </c:strRef>
          </c:cat>
          <c:val>
            <c:numRef>
              <c:f/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3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ульск</c:v>
                </c:pt>
              </c:strCache>
            </c:strRef>
          </c:tx>
          <c:invertIfNegative>0</c:invertIfNegative>
          <c:cat>
            <c:strRef>
              <c:f/>
              <c:strCache>
                <c:ptCount val="6"/>
                <c:pt idx="0">
                  <c:v>22.10.2022</c:v>
                </c:pt>
                <c:pt idx="1">
                  <c:v>25.10.2022</c:v>
                </c:pt>
                <c:pt idx="2">
                  <c:v>30.10.2022</c:v>
                </c:pt>
                <c:pt idx="3">
                  <c:v>31.10.2022</c:v>
                </c:pt>
                <c:pt idx="4">
                  <c:v>04.11.2022</c:v>
                </c:pt>
                <c:pt idx="5">
                  <c:v>10.11.2022</c:v>
                </c:pt>
              </c:strCache>
            </c:strRef>
          </c:cat>
          <c:val>
            <c:numRef>
              <c:f/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кзн</c:v>
                </c:pt>
              </c:strCache>
            </c:strRef>
          </c:tx>
          <c:invertIfNegative>0</c:invertIfNegative>
          <c:cat>
            <c:strRef>
              <c:f/>
              <c:strCache>
                <c:ptCount val="6"/>
                <c:pt idx="0">
                  <c:v>22.10.2022</c:v>
                </c:pt>
                <c:pt idx="1">
                  <c:v>25.10.2022</c:v>
                </c:pt>
                <c:pt idx="2">
                  <c:v>30.10.2022</c:v>
                </c:pt>
                <c:pt idx="3">
                  <c:v>31.10.2022</c:v>
                </c:pt>
                <c:pt idx="4">
                  <c:v>04.11.2022</c:v>
                </c:pt>
                <c:pt idx="5">
                  <c:v>10.11.2022</c:v>
                </c:pt>
              </c:strCache>
            </c:strRef>
          </c:cat>
          <c:val>
            <c:numRef>
              <c:f/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4"/>
          <c:order val="4"/>
          <c:tx>
            <c:strRef>
              <c:f/>
              <c:strCache>
                <c:pt idx="0">
                  <c:v>самара</c:v>
                </c:pt>
              </c:strCache>
            </c:strRef>
          </c:tx>
          <c:invertIfNegative>0</c:invertIfNegative>
          <c:cat>
            <c:strRef>
              <c:f/>
              <c:strCache>
                <c:ptCount val="6"/>
                <c:pt idx="0">
                  <c:v>22.10.2022</c:v>
                </c:pt>
                <c:pt idx="1">
                  <c:v>25.10.2022</c:v>
                </c:pt>
                <c:pt idx="2">
                  <c:v>30.10.2022</c:v>
                </c:pt>
                <c:pt idx="3">
                  <c:v>31.10.2022</c:v>
                </c:pt>
                <c:pt idx="4">
                  <c:v>04.11.2022</c:v>
                </c:pt>
                <c:pt idx="5">
                  <c:v>10.11.2022</c:v>
                </c:pt>
              </c:strCache>
            </c:strRef>
          </c:cat>
          <c:val>
            <c:numRef>
              <c:f/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</c:chartSpace>
</file>