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F7148">
      <w:pPr>
        <w:pStyle w:val="4"/>
        <w:bidi w:val="0"/>
        <w:rPr>
          <w:rFonts w:hint="default"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t>档案编号：QXRB536</w:t>
      </w:r>
    </w:p>
    <w:p w14:paraId="22E9692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p>
    <w:p w14:paraId="287798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p>
    <w:p w14:paraId="37982F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r>
        <w:rPr>
          <w:rFonts w:hint="eastAsia" w:ascii="黑体" w:hAnsi="黑体" w:eastAsia="黑体"/>
          <w:color w:val="auto"/>
          <w:w w:val="80"/>
          <w:sz w:val="72"/>
          <w:szCs w:val="72"/>
        </w:rPr>
        <w:t>202</w:t>
      </w:r>
      <w:r>
        <w:rPr>
          <w:rFonts w:hint="eastAsia" w:ascii="黑体" w:hAnsi="黑体" w:eastAsia="黑体"/>
          <w:color w:val="auto"/>
          <w:w w:val="80"/>
          <w:sz w:val="72"/>
          <w:szCs w:val="72"/>
          <w:lang w:val="en-US" w:eastAsia="zh-CN"/>
        </w:rPr>
        <w:t>6</w:t>
      </w:r>
      <w:r>
        <w:rPr>
          <w:rFonts w:hint="eastAsia" w:ascii="黑体" w:hAnsi="黑体" w:eastAsia="黑体"/>
          <w:color w:val="auto"/>
          <w:w w:val="80"/>
          <w:sz w:val="72"/>
          <w:szCs w:val="72"/>
        </w:rPr>
        <w:t>年深圳市</w:t>
      </w:r>
    </w:p>
    <w:p w14:paraId="3130FFA1">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rFonts w:hint="eastAsia" w:ascii="黑体" w:hAnsi="黑体" w:eastAsia="黑体"/>
          <w:color w:val="auto"/>
          <w:w w:val="80"/>
          <w:sz w:val="72"/>
          <w:szCs w:val="72"/>
          <w:lang w:val="en-US" w:eastAsia="zh-CN"/>
        </w:rPr>
        <w:t>防雷</w:t>
      </w:r>
      <w:r>
        <w:rPr>
          <w:rFonts w:hint="eastAsia" w:ascii="黑体" w:hAnsi="黑体" w:eastAsia="黑体"/>
          <w:color w:val="auto"/>
          <w:w w:val="80"/>
          <w:sz w:val="72"/>
          <w:szCs w:val="72"/>
          <w:lang w:eastAsia="zh-CN"/>
        </w:rPr>
        <w:t>重点</w:t>
      </w:r>
      <w:r>
        <w:rPr>
          <w:rFonts w:hint="eastAsia" w:ascii="黑体" w:hAnsi="黑体" w:eastAsia="黑体"/>
          <w:color w:val="auto"/>
          <w:w w:val="80"/>
          <w:sz w:val="72"/>
          <w:szCs w:val="72"/>
          <w:lang w:val="en-US" w:eastAsia="zh-CN"/>
        </w:rPr>
        <w:t>单位</w:t>
      </w:r>
      <w:r>
        <w:rPr>
          <w:rFonts w:hint="eastAsia" w:ascii="黑体" w:hAnsi="黑体" w:eastAsia="黑体"/>
          <w:color w:val="auto"/>
          <w:w w:val="80"/>
          <w:sz w:val="72"/>
          <w:szCs w:val="72"/>
        </w:rPr>
        <w:t>工作台账</w:t>
      </w:r>
      <w:r>
        <w:rPr>
          <w:rFonts w:hint="eastAsia"/>
          <w:color w:val="auto"/>
          <w:sz w:val="72"/>
          <w:szCs w:val="72"/>
        </w:rPr>
        <w:t xml:space="preserve"> </w:t>
      </w:r>
      <w:r>
        <w:rPr>
          <w:rFonts w:hint="eastAsia"/>
          <w:color w:val="auto"/>
        </w:rPr>
        <w:t xml:space="preserve">        </w:t>
      </w:r>
    </w:p>
    <w:p w14:paraId="191F5635">
      <w:pPr>
        <w:rPr>
          <w:b/>
          <w:bCs/>
          <w:color w:val="auto"/>
          <w:sz w:val="48"/>
          <w:szCs w:val="48"/>
        </w:rPr>
      </w:pPr>
    </w:p>
    <w:p w14:paraId="6EBDBFA9">
      <w:pPr>
        <w:rPr>
          <w:rFonts w:ascii="仿宋" w:hAnsi="仿宋" w:eastAsia="仿宋" w:cs="Arial"/>
          <w:color w:val="auto"/>
          <w:sz w:val="32"/>
          <w:szCs w:val="32"/>
          <w:shd w:val="clear" w:color="auto" w:fill="FFFFFF"/>
        </w:rPr>
      </w:pPr>
    </w:p>
    <w:p w14:paraId="56EBC668">
      <w:pPr>
        <w:rPr>
          <w:b/>
          <w:bCs/>
          <w:color w:val="auto"/>
          <w:sz w:val="48"/>
          <w:szCs w:val="48"/>
        </w:rPr>
      </w:pPr>
    </w:p>
    <w:p w14:paraId="15B9D5A7">
      <w:pPr>
        <w:rPr>
          <w:b/>
          <w:bCs/>
          <w:color w:val="auto"/>
          <w:sz w:val="48"/>
          <w:szCs w:val="48"/>
        </w:rPr>
      </w:pPr>
    </w:p>
    <w:p w14:paraId="762170C6">
      <w:pPr>
        <w:rPr>
          <w:b/>
          <w:bCs/>
          <w:color w:val="auto"/>
          <w:sz w:val="48"/>
          <w:szCs w:val="48"/>
        </w:rPr>
      </w:pPr>
    </w:p>
    <w:p w14:paraId="21760F86">
      <w:pPr>
        <w:pStyle w:val="6"/>
        <w:tabs>
          <w:tab w:val="left" w:pos="562"/>
          <w:tab w:val="left" w:pos="3372"/>
          <w:tab w:val="left" w:pos="3653"/>
        </w:tabs>
      </w:pPr>
    </w:p>
    <w:p w14:paraId="42927FA9">
      <w:pPr>
        <w:rPr>
          <w:b/>
          <w:bCs/>
          <w:color w:val="auto"/>
          <w:sz w:val="48"/>
          <w:szCs w:val="48"/>
        </w:rPr>
      </w:pPr>
    </w:p>
    <w:p w14:paraId="68E49C8C">
      <w:pPr>
        <w:jc w:val="center"/>
        <w:rPr>
          <w:b/>
          <w:bCs/>
          <w:color w:val="auto"/>
          <w:sz w:val="48"/>
          <w:szCs w:val="48"/>
        </w:rPr>
      </w:pPr>
    </w:p>
    <w:p w14:paraId="6CFB607E">
      <w:pPr>
        <w:keepNext w:val="0"/>
        <w:keepLines w:val="0"/>
        <w:pageBreakBefore w:val="0"/>
        <w:widowControl w:val="0"/>
        <w:tabs>
          <w:tab w:val="left" w:pos="2310"/>
        </w:tabs>
        <w:kinsoku/>
        <w:wordWrap/>
        <w:overflowPunct/>
        <w:topLinePunct w:val="0"/>
        <w:autoSpaceDE/>
        <w:autoSpaceDN/>
        <w:bidi w:val="0"/>
        <w:adjustRightInd/>
        <w:snapToGrid/>
        <w:spacing w:line="1200" w:lineRule="exact"/>
        <w:ind w:left="2370" w:leftChars="304" w:hanging="1732" w:hangingChars="539"/>
        <w:jc w:val="both"/>
        <w:textAlignment w:val="auto"/>
        <w:rPr>
          <w:rFonts w:hint="default" w:ascii="仿宋" w:hAnsi="仿宋" w:eastAsia="仿宋" w:cs="Times New Roman"/>
          <w:b/>
          <w:bCs/>
          <w:sz w:val="32"/>
          <w:szCs w:val="32"/>
          <w:u w:val="single"/>
          <w:lang w:val="en-US" w:eastAsia="zh-CN"/>
        </w:rPr>
      </w:pPr>
      <w:r>
        <w:rPr>
          <w:rFonts w:hint="eastAsia" w:ascii="仿宋" w:hAnsi="仿宋" w:eastAsia="仿宋" w:cs="Times New Roman"/>
          <w:b/>
          <w:bCs/>
          <w:sz w:val="32"/>
          <w:szCs w:val="32"/>
        </w:rPr>
        <w:t>单位名称：</w:t>
      </w:r>
      <w:r>
        <w:rPr>
          <w:rFonts w:hint="eastAsia" w:ascii="仿宋" w:hAnsi="仿宋" w:eastAsia="仿宋" w:cs="Times New Roman"/>
          <w:b/>
          <w:bCs/>
          <w:sz w:val="32"/>
          <w:szCs w:val="32"/>
          <w:u w:val="single"/>
          <w:lang w:val="en-US" w:eastAsia="zh-CN"/>
        </w:rPr>
        <w:t>招商局国际冷链(深圳)有限公司(华南冷库)</w:t>
      </w:r>
    </w:p>
    <w:p w14:paraId="1F6DF2E8">
      <w:pPr>
        <w:keepNext w:val="0"/>
        <w:keepLines w:val="0"/>
        <w:pageBreakBefore w:val="0"/>
        <w:widowControl w:val="0"/>
        <w:kinsoku/>
        <w:wordWrap/>
        <w:overflowPunct/>
        <w:topLinePunct w:val="0"/>
        <w:autoSpaceDE/>
        <w:autoSpaceDN/>
        <w:bidi w:val="0"/>
        <w:adjustRightInd/>
        <w:snapToGrid/>
        <w:spacing w:line="1200" w:lineRule="exact"/>
        <w:ind w:left="2370" w:leftChars="304" w:hanging="1732" w:hangingChars="539"/>
        <w:textAlignment w:val="auto"/>
        <w:rPr>
          <w:rFonts w:hint="default" w:ascii="仿宋" w:hAnsi="仿宋" w:eastAsia="仿宋" w:cs="Times New Roman"/>
          <w:b/>
          <w:bCs/>
          <w:color w:val="000000"/>
          <w:sz w:val="32"/>
          <w:szCs w:val="32"/>
          <w:u w:val="single"/>
          <w:lang w:val="en-US" w:eastAsia="zh-CN"/>
        </w:rPr>
      </w:pPr>
      <w:r>
        <w:rPr>
          <w:rFonts w:hint="eastAsia" w:ascii="仿宋" w:hAnsi="仿宋" w:eastAsia="仿宋" w:cs="Times New Roman"/>
          <w:b/>
          <w:bCs/>
          <w:color w:val="000000"/>
          <w:sz w:val="32"/>
          <w:szCs w:val="32"/>
        </w:rPr>
        <w:t>所属街道：</w:t>
      </w:r>
      <w:r>
        <w:rPr>
          <w:rFonts w:hint="eastAsia" w:ascii="仿宋" w:hAnsi="仿宋" w:eastAsia="仿宋" w:cs="Times New Roman"/>
          <w:b/>
          <w:bCs/>
          <w:sz w:val="32"/>
          <w:szCs w:val="32"/>
          <w:u w:val="single"/>
        </w:rPr>
        <w:t xml:space="preserve">     </w:t>
      </w:r>
      <w:r>
        <w:rPr>
          <w:rFonts w:hint="eastAsia" w:ascii="仿宋" w:hAnsi="仿宋" w:eastAsia="仿宋" w:cs="Times New Roman"/>
          <w:b/>
          <w:bCs/>
          <w:sz w:val="32"/>
          <w:szCs w:val="32"/>
          <w:u w:val="single"/>
          <w:lang w:val="en-US" w:eastAsia="zh-CN"/>
        </w:rPr>
        <w:t xml:space="preserve">          招商街道          </w:t>
      </w:r>
      <w:r>
        <w:rPr>
          <w:rFonts w:hint="eastAsia" w:ascii="仿宋" w:hAnsi="仿宋" w:eastAsia="仿宋" w:cs="Times New Roman"/>
          <w:b/>
          <w:bCs/>
          <w:sz w:val="32"/>
          <w:szCs w:val="32"/>
          <w:u w:val="single"/>
        </w:rPr>
        <w:t xml:space="preserve">   </w:t>
      </w:r>
      <w:r>
        <w:rPr>
          <w:rFonts w:hint="eastAsia" w:ascii="仿宋" w:hAnsi="仿宋" w:eastAsia="仿宋" w:cs="Times New Roman"/>
          <w:b/>
          <w:bCs/>
          <w:sz w:val="32"/>
          <w:szCs w:val="32"/>
          <w:u w:val="single"/>
          <w:lang w:val="en-US" w:eastAsia="zh-CN"/>
        </w:rPr>
        <w:t xml:space="preserve">  </w:t>
      </w:r>
    </w:p>
    <w:p w14:paraId="3C69C613">
      <w:pPr>
        <w:keepNext w:val="0"/>
        <w:keepLines w:val="0"/>
        <w:pageBreakBefore w:val="0"/>
        <w:widowControl w:val="0"/>
        <w:kinsoku/>
        <w:wordWrap/>
        <w:overflowPunct/>
        <w:topLinePunct w:val="0"/>
        <w:autoSpaceDE/>
        <w:autoSpaceDN/>
        <w:bidi w:val="0"/>
        <w:adjustRightInd/>
        <w:snapToGrid/>
        <w:spacing w:line="1200" w:lineRule="exact"/>
        <w:ind w:left="2370" w:leftChars="304" w:hanging="1732" w:hangingChars="539"/>
        <w:textAlignment w:val="auto"/>
        <w:rPr>
          <w:rFonts w:hint="default" w:ascii="黑体" w:hAnsi="黑体" w:eastAsia="黑体" w:cs="宋体"/>
          <w:bCs/>
          <w:color w:val="auto"/>
          <w:sz w:val="44"/>
          <w:lang w:val="en-US"/>
        </w:rPr>
      </w:pPr>
      <w:r>
        <w:rPr>
          <w:rFonts w:hint="eastAsia" w:ascii="仿宋" w:hAnsi="仿宋" w:eastAsia="仿宋" w:cs="Times New Roman"/>
          <w:b/>
          <w:bCs/>
          <w:color w:val="000000"/>
          <w:sz w:val="32"/>
          <w:szCs w:val="32"/>
        </w:rPr>
        <w:t>建档日期：</w:t>
      </w:r>
      <w:r>
        <w:rPr>
          <w:rFonts w:hint="eastAsia" w:ascii="仿宋" w:hAnsi="仿宋" w:eastAsia="仿宋" w:cs="Times New Roman"/>
          <w:b/>
          <w:bCs/>
          <w:color w:val="000000"/>
          <w:sz w:val="32"/>
          <w:szCs w:val="32"/>
          <w:u w:val="single"/>
        </w:rPr>
        <w:t xml:space="preserve"> </w:t>
      </w:r>
      <w:r>
        <w:rPr>
          <w:rFonts w:ascii="仿宋" w:hAnsi="仿宋" w:eastAsia="仿宋" w:cs="Times New Roman"/>
          <w:b/>
          <w:bCs/>
          <w:color w:val="000000"/>
          <w:sz w:val="32"/>
          <w:szCs w:val="32"/>
          <w:u w:val="single"/>
        </w:rPr>
        <w:t xml:space="preserve">  </w:t>
      </w:r>
      <w:r>
        <w:rPr>
          <w:rFonts w:hint="eastAsia" w:ascii="仿宋" w:hAnsi="仿宋" w:eastAsia="仿宋" w:cs="Times New Roman"/>
          <w:b/>
          <w:bCs/>
          <w:color w:val="000000"/>
          <w:sz w:val="32"/>
          <w:szCs w:val="32"/>
          <w:u w:val="single"/>
          <w:lang w:val="en-US" w:eastAsia="zh-CN"/>
        </w:rPr>
        <w:t xml:space="preserve">         2026年5月23日     </w:t>
      </w:r>
      <w:r>
        <w:rPr>
          <w:rFonts w:hint="eastAsia" w:ascii="仿宋" w:hAnsi="仿宋" w:eastAsia="仿宋" w:cs="Times New Roman"/>
          <w:b/>
          <w:bCs/>
          <w:color w:val="000000"/>
          <w:sz w:val="32"/>
          <w:szCs w:val="32"/>
          <w:u w:val="single"/>
        </w:rPr>
        <w:t xml:space="preserve">   </w:t>
      </w:r>
      <w:r>
        <w:rPr>
          <w:rFonts w:hint="eastAsia" w:ascii="仿宋" w:hAnsi="仿宋" w:eastAsia="仿宋" w:cs="Times New Roman"/>
          <w:b/>
          <w:bCs/>
          <w:color w:val="000000"/>
          <w:sz w:val="32"/>
          <w:szCs w:val="32"/>
          <w:u w:val="single"/>
          <w:lang w:val="en-US" w:eastAsia="zh-CN"/>
        </w:rPr>
        <w:t xml:space="preserve">   </w:t>
      </w:r>
    </w:p>
    <w:p w14:paraId="47959B16">
      <w:pPr>
        <w:rPr>
          <w:rFonts w:hint="eastAsia" w:ascii="黑体" w:hAnsi="黑体" w:eastAsia="黑体" w:cs="宋体"/>
          <w:bCs/>
          <w:color w:val="auto"/>
          <w:sz w:val="44"/>
          <w:lang w:eastAsia="zh-CN"/>
        </w:rPr>
      </w:pPr>
      <w:r>
        <w:rPr>
          <w:rFonts w:hint="eastAsia" w:ascii="黑体" w:hAnsi="黑体" w:eastAsia="黑体" w:cs="宋体"/>
          <w:bCs/>
          <w:color w:val="auto"/>
          <w:sz w:val="44"/>
          <w:lang w:eastAsia="zh-CN"/>
        </w:rPr>
        <w:br w:type="page"/>
      </w:r>
    </w:p>
    <w:p w14:paraId="389BC95E">
      <w:pPr>
        <w:tabs>
          <w:tab w:val="left" w:pos="1470"/>
          <w:tab w:val="center" w:pos="4422"/>
        </w:tabs>
        <w:jc w:val="center"/>
        <w:rPr>
          <w:rFonts w:hint="eastAsia" w:ascii="黑体" w:hAnsi="黑体" w:eastAsia="黑体" w:cs="宋体"/>
          <w:bCs/>
          <w:color w:val="auto"/>
          <w:sz w:val="44"/>
        </w:rPr>
      </w:pPr>
      <w:r>
        <w:rPr>
          <w:rFonts w:hint="eastAsia" w:ascii="黑体" w:hAnsi="黑体" w:eastAsia="黑体" w:cs="宋体"/>
          <w:bCs/>
          <w:color w:val="auto"/>
          <w:sz w:val="44"/>
          <w:lang w:eastAsia="zh-CN"/>
        </w:rPr>
        <w:t>防雷重点单位</w:t>
      </w:r>
      <w:r>
        <w:rPr>
          <w:rFonts w:hint="eastAsia" w:ascii="黑体" w:hAnsi="黑体" w:eastAsia="黑体" w:cs="宋体"/>
          <w:bCs/>
          <w:color w:val="auto"/>
          <w:sz w:val="44"/>
          <w:lang w:val="en-US" w:eastAsia="zh-CN"/>
        </w:rPr>
        <w:t>风险评估</w:t>
      </w:r>
      <w:r>
        <w:rPr>
          <w:rFonts w:hint="eastAsia" w:ascii="黑体" w:hAnsi="黑体" w:eastAsia="黑体" w:cs="宋体"/>
          <w:bCs/>
          <w:color w:val="auto"/>
          <w:sz w:val="44"/>
        </w:rPr>
        <w:t>资料目录</w:t>
      </w:r>
    </w:p>
    <w:p w14:paraId="0C050B9B">
      <w:pPr>
        <w:tabs>
          <w:tab w:val="left" w:pos="1470"/>
          <w:tab w:val="center" w:pos="4422"/>
        </w:tabs>
        <w:jc w:val="center"/>
        <w:rPr>
          <w:rFonts w:ascii="宋体" w:hAnsi="宋体"/>
          <w:color w:val="auto"/>
          <w:szCs w:val="21"/>
        </w:rPr>
      </w:pPr>
    </w:p>
    <w:tbl>
      <w:tblPr>
        <w:tblStyle w:val="9"/>
        <w:tblpPr w:leftFromText="180" w:rightFromText="180" w:vertAnchor="text" w:tblpXSpec="center" w:tblpY="1"/>
        <w:tblOverlap w:val="never"/>
        <w:tblW w:w="8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5366"/>
        <w:gridCol w:w="1967"/>
      </w:tblGrid>
      <w:tr w14:paraId="1F8B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top"/>
          </w:tcPr>
          <w:p w14:paraId="1C6D5F2B">
            <w:pPr>
              <w:jc w:val="center"/>
              <w:rPr>
                <w:rFonts w:ascii="黑体" w:hAnsi="黑体" w:eastAsia="黑体"/>
                <w:color w:val="auto"/>
                <w:sz w:val="28"/>
                <w:szCs w:val="28"/>
              </w:rPr>
            </w:pPr>
            <w:r>
              <w:rPr>
                <w:rFonts w:hint="eastAsia" w:ascii="黑体" w:hAnsi="黑体" w:eastAsia="黑体"/>
                <w:color w:val="auto"/>
                <w:sz w:val="28"/>
                <w:szCs w:val="28"/>
              </w:rPr>
              <w:t>序号</w:t>
            </w:r>
          </w:p>
        </w:tc>
        <w:tc>
          <w:tcPr>
            <w:tcW w:w="5366" w:type="dxa"/>
            <w:noWrap w:val="0"/>
            <w:vAlign w:val="top"/>
          </w:tcPr>
          <w:p w14:paraId="613D72F3">
            <w:pPr>
              <w:jc w:val="center"/>
              <w:rPr>
                <w:rFonts w:ascii="黑体" w:hAnsi="黑体" w:eastAsia="黑体"/>
                <w:color w:val="auto"/>
                <w:sz w:val="28"/>
                <w:szCs w:val="28"/>
              </w:rPr>
            </w:pPr>
            <w:r>
              <w:rPr>
                <w:rFonts w:hint="eastAsia" w:ascii="黑体" w:hAnsi="黑体" w:eastAsia="黑体"/>
                <w:color w:val="auto"/>
                <w:sz w:val="28"/>
                <w:szCs w:val="28"/>
              </w:rPr>
              <w:t>资 料 名 称</w:t>
            </w:r>
          </w:p>
        </w:tc>
        <w:tc>
          <w:tcPr>
            <w:tcW w:w="1967" w:type="dxa"/>
            <w:noWrap w:val="0"/>
            <w:vAlign w:val="top"/>
          </w:tcPr>
          <w:p w14:paraId="7E475BAA">
            <w:pPr>
              <w:jc w:val="center"/>
              <w:rPr>
                <w:rFonts w:ascii="黑体" w:hAnsi="黑体" w:eastAsia="黑体"/>
                <w:color w:val="auto"/>
                <w:sz w:val="28"/>
                <w:szCs w:val="28"/>
              </w:rPr>
            </w:pPr>
            <w:r>
              <w:rPr>
                <w:rFonts w:hint="eastAsia" w:ascii="黑体" w:hAnsi="黑体" w:eastAsia="黑体"/>
                <w:color w:val="auto"/>
                <w:sz w:val="28"/>
                <w:szCs w:val="28"/>
              </w:rPr>
              <w:t>备注</w:t>
            </w:r>
          </w:p>
        </w:tc>
      </w:tr>
      <w:tr w14:paraId="5F9F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960" w:type="dxa"/>
            <w:noWrap w:val="0"/>
            <w:vAlign w:val="center"/>
          </w:tcPr>
          <w:p w14:paraId="526850DB">
            <w:pPr>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5366" w:type="dxa"/>
            <w:noWrap w:val="0"/>
            <w:vAlign w:val="center"/>
          </w:tcPr>
          <w:p w14:paraId="455A9D5A">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eastAsia="zh-CN"/>
              </w:rPr>
              <w:t>防雷重点单位</w:t>
            </w:r>
            <w:r>
              <w:rPr>
                <w:rFonts w:hint="eastAsia" w:ascii="仿宋" w:hAnsi="仿宋" w:eastAsia="仿宋" w:cs="仿宋"/>
                <w:color w:val="auto"/>
                <w:sz w:val="28"/>
                <w:szCs w:val="28"/>
                <w:lang w:val="en-US" w:eastAsia="zh-CN"/>
              </w:rPr>
              <w:t>风险评估报告</w:t>
            </w:r>
          </w:p>
        </w:tc>
        <w:tc>
          <w:tcPr>
            <w:tcW w:w="1967" w:type="dxa"/>
            <w:noWrap w:val="0"/>
            <w:vAlign w:val="center"/>
          </w:tcPr>
          <w:p w14:paraId="34BCDA9D">
            <w:pPr>
              <w:spacing w:line="600" w:lineRule="exact"/>
              <w:jc w:val="center"/>
              <w:rPr>
                <w:rFonts w:ascii="宋体" w:hAnsi="宋体"/>
                <w:color w:val="auto"/>
                <w:sz w:val="28"/>
                <w:szCs w:val="28"/>
              </w:rPr>
            </w:pPr>
          </w:p>
        </w:tc>
      </w:tr>
      <w:tr w14:paraId="13BC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60" w:type="dxa"/>
            <w:noWrap w:val="0"/>
            <w:vAlign w:val="center"/>
          </w:tcPr>
          <w:p w14:paraId="099E81B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2</w:t>
            </w:r>
          </w:p>
        </w:tc>
        <w:tc>
          <w:tcPr>
            <w:tcW w:w="5366" w:type="dxa"/>
            <w:noWrap w:val="0"/>
            <w:vAlign w:val="center"/>
          </w:tcPr>
          <w:p w14:paraId="7ECAADE8">
            <w:pPr>
              <w:spacing w:line="0" w:lineRule="atLeast"/>
              <w:jc w:val="both"/>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附件1：</w:t>
            </w:r>
            <w:r>
              <w:rPr>
                <w:rFonts w:hint="eastAsia" w:ascii="仿宋" w:hAnsi="仿宋" w:eastAsia="仿宋" w:cs="仿宋"/>
                <w:color w:val="auto"/>
                <w:sz w:val="28"/>
                <w:szCs w:val="28"/>
              </w:rPr>
              <w:t>企业基础信息收集表</w:t>
            </w:r>
          </w:p>
        </w:tc>
        <w:tc>
          <w:tcPr>
            <w:tcW w:w="1967" w:type="dxa"/>
            <w:noWrap w:val="0"/>
            <w:vAlign w:val="center"/>
          </w:tcPr>
          <w:p w14:paraId="7EEED997">
            <w:pPr>
              <w:spacing w:line="600" w:lineRule="exact"/>
              <w:jc w:val="center"/>
              <w:rPr>
                <w:rFonts w:ascii="宋体" w:hAnsi="宋体"/>
                <w:color w:val="auto"/>
                <w:sz w:val="28"/>
                <w:szCs w:val="28"/>
              </w:rPr>
            </w:pPr>
          </w:p>
        </w:tc>
      </w:tr>
      <w:tr w14:paraId="4591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0"/>
            <w:vAlign w:val="center"/>
          </w:tcPr>
          <w:p w14:paraId="4392AB81">
            <w:pPr>
              <w:jc w:val="center"/>
              <w:rPr>
                <w:rFonts w:hint="eastAsia" w:ascii="仿宋" w:hAnsi="仿宋" w:eastAsia="仿宋" w:cs="仿宋"/>
                <w:color w:val="auto"/>
                <w:sz w:val="28"/>
                <w:szCs w:val="28"/>
              </w:rPr>
            </w:pPr>
            <w:r>
              <w:rPr>
                <w:rFonts w:hint="eastAsia" w:ascii="仿宋" w:hAnsi="仿宋" w:eastAsia="仿宋" w:cs="仿宋"/>
                <w:color w:val="auto"/>
                <w:sz w:val="28"/>
                <w:szCs w:val="28"/>
              </w:rPr>
              <w:t>3</w:t>
            </w:r>
          </w:p>
        </w:tc>
        <w:tc>
          <w:tcPr>
            <w:tcW w:w="5366" w:type="dxa"/>
            <w:noWrap w:val="0"/>
            <w:vAlign w:val="center"/>
          </w:tcPr>
          <w:p w14:paraId="78C5063D">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附件2：防雷重点单位风险评估法</w:t>
            </w:r>
          </w:p>
        </w:tc>
        <w:tc>
          <w:tcPr>
            <w:tcW w:w="1967" w:type="dxa"/>
            <w:noWrap w:val="0"/>
            <w:vAlign w:val="center"/>
          </w:tcPr>
          <w:p w14:paraId="4A0399B9">
            <w:pPr>
              <w:spacing w:line="600" w:lineRule="exact"/>
              <w:jc w:val="center"/>
              <w:rPr>
                <w:rFonts w:ascii="宋体" w:hAnsi="宋体"/>
                <w:color w:val="auto"/>
                <w:sz w:val="28"/>
                <w:szCs w:val="28"/>
              </w:rPr>
            </w:pPr>
          </w:p>
        </w:tc>
      </w:tr>
      <w:tr w14:paraId="55BE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6968489C">
            <w:pPr>
              <w:jc w:val="center"/>
              <w:rPr>
                <w:rFonts w:hint="eastAsia" w:ascii="仿宋" w:hAnsi="仿宋" w:eastAsia="仿宋" w:cs="仿宋"/>
                <w:color w:val="auto"/>
                <w:sz w:val="28"/>
                <w:szCs w:val="28"/>
              </w:rPr>
            </w:pPr>
            <w:r>
              <w:rPr>
                <w:rFonts w:hint="eastAsia" w:ascii="仿宋" w:hAnsi="仿宋" w:eastAsia="仿宋" w:cs="仿宋"/>
                <w:color w:val="auto"/>
                <w:sz w:val="28"/>
                <w:szCs w:val="28"/>
              </w:rPr>
              <w:t>4</w:t>
            </w:r>
          </w:p>
        </w:tc>
        <w:tc>
          <w:tcPr>
            <w:tcW w:w="5366" w:type="dxa"/>
            <w:noWrap w:val="0"/>
            <w:vAlign w:val="center"/>
          </w:tcPr>
          <w:p w14:paraId="531E4D45">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附件3：防雷重点单位安全隐患排查表</w:t>
            </w:r>
          </w:p>
        </w:tc>
        <w:tc>
          <w:tcPr>
            <w:tcW w:w="1967" w:type="dxa"/>
            <w:noWrap w:val="0"/>
            <w:vAlign w:val="center"/>
          </w:tcPr>
          <w:p w14:paraId="50993808">
            <w:pPr>
              <w:spacing w:line="600" w:lineRule="exact"/>
              <w:jc w:val="center"/>
              <w:rPr>
                <w:rFonts w:ascii="宋体" w:hAnsi="宋体"/>
                <w:color w:val="auto"/>
                <w:sz w:val="28"/>
                <w:szCs w:val="28"/>
              </w:rPr>
            </w:pPr>
          </w:p>
        </w:tc>
      </w:tr>
      <w:tr w14:paraId="76B8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47F99329">
            <w:pPr>
              <w:jc w:val="center"/>
              <w:rPr>
                <w:rFonts w:hint="eastAsia" w:ascii="仿宋" w:hAnsi="仿宋" w:eastAsia="仿宋" w:cs="仿宋"/>
                <w:color w:val="auto"/>
                <w:sz w:val="28"/>
                <w:szCs w:val="28"/>
              </w:rPr>
            </w:pPr>
            <w:r>
              <w:rPr>
                <w:rFonts w:hint="eastAsia" w:ascii="仿宋" w:hAnsi="仿宋" w:eastAsia="仿宋" w:cs="仿宋"/>
                <w:color w:val="auto"/>
                <w:sz w:val="28"/>
                <w:szCs w:val="28"/>
              </w:rPr>
              <w:t>5</w:t>
            </w:r>
          </w:p>
        </w:tc>
        <w:tc>
          <w:tcPr>
            <w:tcW w:w="5366" w:type="dxa"/>
            <w:noWrap w:val="0"/>
            <w:vAlign w:val="center"/>
          </w:tcPr>
          <w:p w14:paraId="66E86906">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附件4：现场检查与核对照片</w:t>
            </w:r>
          </w:p>
        </w:tc>
        <w:tc>
          <w:tcPr>
            <w:tcW w:w="1967" w:type="dxa"/>
            <w:noWrap w:val="0"/>
            <w:vAlign w:val="center"/>
          </w:tcPr>
          <w:p w14:paraId="3EC76248">
            <w:pPr>
              <w:spacing w:line="600" w:lineRule="exact"/>
              <w:jc w:val="center"/>
              <w:rPr>
                <w:rFonts w:ascii="宋体" w:hAnsi="宋体"/>
                <w:color w:val="auto"/>
                <w:sz w:val="28"/>
                <w:szCs w:val="28"/>
              </w:rPr>
            </w:pPr>
          </w:p>
        </w:tc>
      </w:tr>
      <w:tr w14:paraId="1A53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3C09621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6</w:t>
            </w:r>
          </w:p>
        </w:tc>
        <w:tc>
          <w:tcPr>
            <w:tcW w:w="5366" w:type="dxa"/>
            <w:noWrap w:val="0"/>
            <w:vAlign w:val="center"/>
          </w:tcPr>
          <w:p w14:paraId="2DD996A1">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rPr>
            </w:pPr>
            <w:r>
              <w:rPr>
                <w:rFonts w:hint="eastAsia" w:ascii="仿宋" w:hAnsi="仿宋" w:eastAsia="仿宋" w:cs="仿宋"/>
                <w:b w:val="0"/>
                <w:color w:val="auto"/>
                <w:kern w:val="2"/>
                <w:sz w:val="28"/>
                <w:szCs w:val="28"/>
                <w:lang w:val="en-US" w:eastAsia="zh-CN" w:bidi="ar-SA"/>
              </w:rPr>
              <w:t>附件5：防雷重点单位风险分类分级管控表</w:t>
            </w:r>
          </w:p>
        </w:tc>
        <w:tc>
          <w:tcPr>
            <w:tcW w:w="1967" w:type="dxa"/>
            <w:noWrap w:val="0"/>
            <w:vAlign w:val="center"/>
          </w:tcPr>
          <w:p w14:paraId="4CBB063C">
            <w:pPr>
              <w:spacing w:line="600" w:lineRule="exact"/>
              <w:jc w:val="center"/>
              <w:rPr>
                <w:rFonts w:ascii="宋体" w:hAnsi="宋体"/>
                <w:color w:val="auto"/>
                <w:sz w:val="28"/>
                <w:szCs w:val="28"/>
              </w:rPr>
            </w:pPr>
          </w:p>
        </w:tc>
      </w:tr>
      <w:tr w14:paraId="16F4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097091B9">
            <w:pPr>
              <w:jc w:val="center"/>
              <w:rPr>
                <w:rFonts w:hint="eastAsia" w:ascii="仿宋" w:hAnsi="仿宋" w:eastAsia="仿宋" w:cs="仿宋"/>
                <w:color w:val="auto"/>
                <w:sz w:val="28"/>
                <w:szCs w:val="28"/>
              </w:rPr>
            </w:pPr>
            <w:r>
              <w:rPr>
                <w:rFonts w:hint="eastAsia" w:ascii="仿宋" w:hAnsi="仿宋" w:eastAsia="仿宋" w:cs="仿宋"/>
                <w:color w:val="auto"/>
                <w:sz w:val="28"/>
                <w:szCs w:val="28"/>
              </w:rPr>
              <w:t>7</w:t>
            </w:r>
          </w:p>
        </w:tc>
        <w:tc>
          <w:tcPr>
            <w:tcW w:w="5366" w:type="dxa"/>
            <w:noWrap w:val="0"/>
            <w:vAlign w:val="center"/>
          </w:tcPr>
          <w:p w14:paraId="592CAACF">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w:t>
            </w:r>
            <w:r>
              <w:rPr>
                <w:rFonts w:hint="eastAsia" w:ascii="仿宋" w:hAnsi="仿宋" w:eastAsia="仿宋" w:cs="仿宋"/>
                <w:b w:val="0"/>
                <w:color w:val="auto"/>
                <w:kern w:val="2"/>
                <w:sz w:val="28"/>
                <w:szCs w:val="28"/>
                <w:lang w:val="en-US" w:eastAsia="zh-CN" w:bidi="ar-SA"/>
              </w:rPr>
              <w:t>件6：防雷重点单位“重点部位”风险分类分级管控清单</w:t>
            </w:r>
          </w:p>
        </w:tc>
        <w:tc>
          <w:tcPr>
            <w:tcW w:w="1967" w:type="dxa"/>
            <w:noWrap w:val="0"/>
            <w:vAlign w:val="center"/>
          </w:tcPr>
          <w:p w14:paraId="329B89B6">
            <w:pPr>
              <w:spacing w:line="600" w:lineRule="exact"/>
              <w:jc w:val="center"/>
              <w:rPr>
                <w:rFonts w:ascii="宋体" w:hAnsi="宋体"/>
                <w:color w:val="auto"/>
                <w:sz w:val="28"/>
                <w:szCs w:val="28"/>
              </w:rPr>
            </w:pPr>
          </w:p>
        </w:tc>
      </w:tr>
      <w:tr w14:paraId="7B58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60" w:type="dxa"/>
            <w:noWrap w:val="0"/>
            <w:vAlign w:val="center"/>
          </w:tcPr>
          <w:p w14:paraId="423A7E4E">
            <w:pPr>
              <w:jc w:val="center"/>
              <w:rPr>
                <w:rFonts w:hint="eastAsia" w:ascii="仿宋" w:hAnsi="仿宋" w:eastAsia="仿宋" w:cs="仿宋"/>
                <w:color w:val="auto"/>
                <w:sz w:val="28"/>
                <w:szCs w:val="28"/>
              </w:rPr>
            </w:pPr>
            <w:r>
              <w:rPr>
                <w:rFonts w:hint="eastAsia" w:ascii="仿宋" w:hAnsi="仿宋" w:eastAsia="仿宋" w:cs="仿宋"/>
                <w:color w:val="auto"/>
                <w:sz w:val="28"/>
                <w:szCs w:val="28"/>
              </w:rPr>
              <w:t>8</w:t>
            </w:r>
          </w:p>
        </w:tc>
        <w:tc>
          <w:tcPr>
            <w:tcW w:w="5366" w:type="dxa"/>
            <w:noWrap w:val="0"/>
            <w:vAlign w:val="center"/>
          </w:tcPr>
          <w:p w14:paraId="66FE8904">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lang w:eastAsia="zh-CN"/>
              </w:rPr>
            </w:pPr>
            <w:r>
              <w:rPr>
                <w:rFonts w:hint="eastAsia" w:ascii="仿宋" w:hAnsi="仿宋" w:eastAsia="仿宋" w:cs="仿宋"/>
                <w:b w:val="0"/>
                <w:color w:val="auto"/>
                <w:kern w:val="2"/>
                <w:sz w:val="28"/>
                <w:szCs w:val="28"/>
                <w:lang w:val="en-US" w:eastAsia="zh-CN" w:bidi="ar-SA"/>
              </w:rPr>
              <w:t>附件7：风险四色图</w:t>
            </w:r>
          </w:p>
        </w:tc>
        <w:tc>
          <w:tcPr>
            <w:tcW w:w="1967" w:type="dxa"/>
            <w:noWrap w:val="0"/>
            <w:vAlign w:val="center"/>
          </w:tcPr>
          <w:p w14:paraId="5EE7B572">
            <w:pPr>
              <w:spacing w:line="600" w:lineRule="exact"/>
              <w:jc w:val="center"/>
              <w:rPr>
                <w:rFonts w:ascii="宋体" w:hAnsi="宋体"/>
                <w:color w:val="auto"/>
                <w:sz w:val="28"/>
                <w:szCs w:val="28"/>
              </w:rPr>
            </w:pPr>
          </w:p>
        </w:tc>
      </w:tr>
    </w:tbl>
    <w:p w14:paraId="2BF420B1">
      <w:pPr>
        <w:pStyle w:val="2"/>
        <w:keepNext/>
        <w:keepLines/>
        <w:pageBreakBefore w:val="0"/>
        <w:widowControl w:val="0"/>
        <w:kinsoku/>
        <w:wordWrap/>
        <w:overflowPunct/>
        <w:topLinePunct w:val="0"/>
        <w:autoSpaceDE/>
        <w:autoSpaceDN/>
        <w:bidi w:val="0"/>
        <w:adjustRightInd/>
        <w:snapToGrid/>
        <w:spacing w:before="0" w:after="0" w:line="312" w:lineRule="auto"/>
        <w:jc w:val="center"/>
        <w:textAlignment w:val="auto"/>
        <w:rPr>
          <w:rFonts w:hint="eastAsia" w:ascii="微软雅黑" w:hAnsi="微软雅黑" w:eastAsia="微软雅黑" w:cs="微软雅黑"/>
          <w:sz w:val="40"/>
          <w:szCs w:val="22"/>
          <w:lang w:val="en-US" w:eastAsia="zh-CN"/>
        </w:rPr>
        <w:sectPr>
          <w:headerReference r:id="rId3" w:type="default"/>
          <w:footerReference r:id="rId4" w:type="default"/>
          <w:pgSz w:w="11905" w:h="16836"/>
          <w:pgMar w:top="1655" w:right="1327" w:bottom="1400" w:left="1327" w:header="1356" w:footer="1225" w:gutter="0"/>
          <w:pgNumType w:fmt="decimal" w:start="1"/>
          <w:cols w:space="720" w:num="1"/>
          <w:rtlGutter w:val="0"/>
          <w:docGrid w:linePitch="0" w:charSpace="0"/>
        </w:sectPr>
      </w:pPr>
    </w:p>
    <w:p w14:paraId="59825FAA">
      <w:pPr>
        <w:pStyle w:val="2"/>
        <w:keepNext/>
        <w:keepLines/>
        <w:pageBreakBefore w:val="0"/>
        <w:widowControl w:val="0"/>
        <w:kinsoku/>
        <w:wordWrap/>
        <w:overflowPunct/>
        <w:topLinePunct w:val="0"/>
        <w:autoSpaceDE/>
        <w:autoSpaceDN/>
        <w:bidi w:val="0"/>
        <w:adjustRightInd/>
        <w:snapToGrid/>
        <w:spacing w:before="0" w:after="0" w:line="312" w:lineRule="auto"/>
        <w:jc w:val="center"/>
        <w:textAlignment w:val="auto"/>
      </w:pPr>
      <w:r>
        <w:rPr>
          <w:rFonts w:hint="eastAsia" w:ascii="微软雅黑" w:hAnsi="微软雅黑" w:eastAsia="微软雅黑" w:cs="微软雅黑"/>
          <w:sz w:val="40"/>
          <w:szCs w:val="22"/>
          <w:lang w:val="en-US" w:eastAsia="zh-CN"/>
        </w:rPr>
        <w:t>招商局国际冷链(深圳)有限公司(华南冷库)</w:t>
      </w:r>
      <w:r>
        <w:rPr>
          <w:rFonts w:hint="eastAsia" w:ascii="微软雅黑" w:hAnsi="微软雅黑" w:eastAsia="微软雅黑" w:cs="微软雅黑"/>
          <w:sz w:val="40"/>
          <w:szCs w:val="22"/>
          <w:lang w:val="en-US" w:eastAsia="zh-CN"/>
        </w:rPr>
        <w:br w:type="textWrapping"/>
      </w:r>
      <w:r>
        <w:rPr>
          <w:rFonts w:hint="eastAsia" w:ascii="微软雅黑" w:hAnsi="微软雅黑" w:eastAsia="微软雅黑" w:cs="微软雅黑"/>
          <w:sz w:val="40"/>
          <w:szCs w:val="22"/>
          <w:lang w:eastAsia="zh-CN"/>
        </w:rPr>
        <w:t>防雷重点单位</w:t>
      </w:r>
      <w:r>
        <w:rPr>
          <w:rFonts w:hint="eastAsia" w:ascii="微软雅黑" w:hAnsi="微软雅黑" w:eastAsia="微软雅黑" w:cs="微软雅黑"/>
          <w:sz w:val="40"/>
          <w:szCs w:val="22"/>
        </w:rPr>
        <w:t>风险评估报告</w:t>
      </w:r>
    </w:p>
    <w:p w14:paraId="6787F5F6">
      <w:pPr>
        <w:pStyle w:val="3"/>
        <w:bidi w:val="0"/>
        <w:jc w:val="center"/>
      </w:pPr>
      <w:r>
        <w:t>第一章：编制目的</w:t>
      </w:r>
    </w:p>
    <w:p w14:paraId="0B1096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rPr>
        <w:t>为防止和减少因雷电灾害造成的损失，保障</w:t>
      </w:r>
      <w:r>
        <w:rPr>
          <w:rFonts w:hint="eastAsia" w:ascii="仿宋" w:hAnsi="仿宋" w:eastAsia="仿宋" w:cs="仿宋"/>
          <w:caps w:val="0"/>
          <w:color w:val="000000"/>
          <w:spacing w:val="0"/>
          <w:sz w:val="32"/>
          <w:szCs w:val="32"/>
          <w:shd w:val="clear" w:color="auto" w:fill="FFFFFF"/>
          <w:vertAlign w:val="baseline"/>
          <w:lang w:val="en-US" w:eastAsia="zh-CN"/>
        </w:rPr>
        <w:t>企业</w:t>
      </w:r>
      <w:r>
        <w:rPr>
          <w:rFonts w:hint="eastAsia" w:ascii="仿宋" w:hAnsi="仿宋" w:eastAsia="仿宋" w:cs="仿宋"/>
          <w:caps w:val="0"/>
          <w:color w:val="000000"/>
          <w:spacing w:val="0"/>
          <w:sz w:val="32"/>
          <w:szCs w:val="32"/>
          <w:shd w:val="clear" w:color="auto" w:fill="FFFFFF"/>
          <w:vertAlign w:val="baseline"/>
        </w:rPr>
        <w:t>财产</w:t>
      </w:r>
      <w:r>
        <w:rPr>
          <w:rFonts w:hint="eastAsia" w:ascii="仿宋" w:hAnsi="仿宋" w:eastAsia="仿宋" w:cs="仿宋"/>
          <w:caps w:val="0"/>
          <w:color w:val="000000"/>
          <w:spacing w:val="0"/>
          <w:sz w:val="32"/>
          <w:szCs w:val="32"/>
          <w:shd w:val="clear" w:color="auto" w:fill="FFFFFF"/>
          <w:vertAlign w:val="baseline"/>
          <w:lang w:val="en-US" w:eastAsia="zh-CN"/>
        </w:rPr>
        <w:t>与</w:t>
      </w:r>
      <w:r>
        <w:rPr>
          <w:rFonts w:hint="eastAsia" w:ascii="仿宋" w:hAnsi="仿宋" w:eastAsia="仿宋" w:cs="仿宋"/>
          <w:caps w:val="0"/>
          <w:color w:val="000000"/>
          <w:spacing w:val="0"/>
          <w:sz w:val="32"/>
          <w:szCs w:val="32"/>
          <w:shd w:val="clear" w:color="auto" w:fill="FFFFFF"/>
          <w:vertAlign w:val="baseline"/>
        </w:rPr>
        <w:t>员工生命安全，确保生产装置、设施及建（构）筑物的安全运行，依据国家相关法律法规及技术标准，特开展本次雷电灾害风险评估。本次评估旨在：</w:t>
      </w:r>
    </w:p>
    <w:p w14:paraId="5E924C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识别风险：</w:t>
      </w:r>
      <w:r>
        <w:rPr>
          <w:rFonts w:hint="eastAsia" w:ascii="仿宋" w:hAnsi="仿宋" w:eastAsia="仿宋" w:cs="仿宋"/>
          <w:i w:val="0"/>
          <w:iCs w:val="0"/>
          <w:caps w:val="0"/>
          <w:color w:val="000000"/>
          <w:spacing w:val="0"/>
          <w:sz w:val="32"/>
          <w:szCs w:val="32"/>
          <w:shd w:val="clear" w:color="auto" w:fill="FFFFFF"/>
          <w:vertAlign w:val="baseline"/>
        </w:rPr>
        <w:t>科学识别和评估厂区</w:t>
      </w:r>
      <w:r>
        <w:rPr>
          <w:rFonts w:hint="eastAsia" w:ascii="仿宋" w:hAnsi="仿宋" w:eastAsia="仿宋" w:cs="仿宋"/>
          <w:i w:val="0"/>
          <w:iCs w:val="0"/>
          <w:caps w:val="0"/>
          <w:color w:val="000000"/>
          <w:spacing w:val="0"/>
          <w:sz w:val="32"/>
          <w:szCs w:val="32"/>
          <w:shd w:val="clear" w:color="auto" w:fill="FFFFFF"/>
          <w:vertAlign w:val="baseline"/>
          <w:lang w:val="en-US" w:eastAsia="zh-CN"/>
        </w:rPr>
        <w:t>及重点部分</w:t>
      </w:r>
      <w:r>
        <w:rPr>
          <w:rFonts w:hint="eastAsia" w:ascii="仿宋" w:hAnsi="仿宋" w:eastAsia="仿宋" w:cs="仿宋"/>
          <w:i w:val="0"/>
          <w:iCs w:val="0"/>
          <w:caps w:val="0"/>
          <w:color w:val="000000"/>
          <w:spacing w:val="0"/>
          <w:sz w:val="32"/>
          <w:szCs w:val="32"/>
          <w:shd w:val="clear" w:color="auto" w:fill="FFFFFF"/>
          <w:vertAlign w:val="baseline"/>
        </w:rPr>
        <w:t>因雷击可能引发的火灾、爆炸、人员伤亡、设备损坏及生产中断等潜在风险。</w:t>
      </w:r>
    </w:p>
    <w:p w14:paraId="3BF9406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2"/>
          <w:rFonts w:hint="eastAsia" w:ascii="仿宋" w:hAnsi="仿宋" w:eastAsia="仿宋" w:cs="仿宋"/>
          <w:b/>
          <w:bCs/>
          <w:i w:val="0"/>
          <w:iCs w:val="0"/>
          <w:caps w:val="0"/>
          <w:color w:val="000000"/>
          <w:spacing w:val="0"/>
          <w:sz w:val="32"/>
          <w:szCs w:val="32"/>
          <w:shd w:val="clear" w:color="auto" w:fill="FFFFFF"/>
          <w:vertAlign w:val="baseline"/>
        </w:rPr>
        <w:t>确定等级：</w:t>
      </w:r>
      <w:r>
        <w:rPr>
          <w:rFonts w:hint="eastAsia" w:ascii="仿宋" w:hAnsi="仿宋" w:eastAsia="仿宋" w:cs="仿宋"/>
          <w:i w:val="0"/>
          <w:iCs w:val="0"/>
          <w:caps w:val="0"/>
          <w:color w:val="000000"/>
          <w:spacing w:val="0"/>
          <w:sz w:val="32"/>
          <w:szCs w:val="32"/>
          <w:shd w:val="clear" w:color="auto" w:fill="FFFFFF"/>
          <w:vertAlign w:val="baseline"/>
        </w:rPr>
        <w:t>确定</w:t>
      </w:r>
      <w:r>
        <w:rPr>
          <w:rFonts w:hint="eastAsia" w:ascii="仿宋" w:hAnsi="仿宋" w:eastAsia="仿宋" w:cs="仿宋"/>
          <w:i w:val="0"/>
          <w:iCs w:val="0"/>
          <w:caps w:val="0"/>
          <w:color w:val="000000"/>
          <w:spacing w:val="0"/>
          <w:sz w:val="32"/>
          <w:szCs w:val="32"/>
          <w:shd w:val="clear" w:color="auto" w:fill="FFFFFF"/>
          <w:vertAlign w:val="baseline"/>
          <w:lang w:val="en-US" w:eastAsia="zh-CN"/>
        </w:rPr>
        <w:t>重点</w:t>
      </w:r>
      <w:r>
        <w:rPr>
          <w:rFonts w:hint="eastAsia" w:ascii="仿宋" w:hAnsi="仿宋" w:eastAsia="仿宋" w:cs="仿宋"/>
          <w:i w:val="0"/>
          <w:iCs w:val="0"/>
          <w:caps w:val="0"/>
          <w:color w:val="000000"/>
          <w:spacing w:val="0"/>
          <w:sz w:val="32"/>
          <w:szCs w:val="32"/>
          <w:shd w:val="clear" w:color="auto" w:fill="FFFFFF"/>
          <w:vertAlign w:val="baseline"/>
        </w:rPr>
        <w:t>区域的雷电灾害风险等级，为采取针对性的防护措施提供科学依据。</w:t>
      </w:r>
    </w:p>
    <w:p w14:paraId="32EB984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3、</w:t>
      </w:r>
      <w:r>
        <w:rPr>
          <w:rStyle w:val="12"/>
          <w:rFonts w:hint="eastAsia" w:ascii="仿宋" w:hAnsi="仿宋" w:eastAsia="仿宋" w:cs="仿宋"/>
          <w:b/>
          <w:bCs/>
          <w:i w:val="0"/>
          <w:iCs w:val="0"/>
          <w:caps w:val="0"/>
          <w:color w:val="000000"/>
          <w:spacing w:val="0"/>
          <w:sz w:val="32"/>
          <w:szCs w:val="32"/>
          <w:shd w:val="clear" w:color="auto" w:fill="FFFFFF"/>
          <w:vertAlign w:val="baseline"/>
        </w:rPr>
        <w:t>指导防护：</w:t>
      </w:r>
      <w:r>
        <w:rPr>
          <w:rFonts w:hint="eastAsia" w:ascii="仿宋" w:hAnsi="仿宋" w:eastAsia="仿宋" w:cs="仿宋"/>
          <w:i w:val="0"/>
          <w:iCs w:val="0"/>
          <w:caps w:val="0"/>
          <w:color w:val="000000"/>
          <w:spacing w:val="0"/>
          <w:sz w:val="32"/>
          <w:szCs w:val="32"/>
          <w:shd w:val="clear" w:color="auto" w:fill="FFFFFF"/>
          <w:vertAlign w:val="baseline"/>
        </w:rPr>
        <w:t>提出经济、合理、有效的雷电防护措施和风险管理建议，完善</w:t>
      </w:r>
      <w:r>
        <w:rPr>
          <w:rFonts w:hint="eastAsia" w:ascii="仿宋" w:hAnsi="仿宋" w:eastAsia="仿宋" w:cs="仿宋"/>
          <w:i w:val="0"/>
          <w:iCs w:val="0"/>
          <w:caps w:val="0"/>
          <w:color w:val="000000"/>
          <w:spacing w:val="0"/>
          <w:sz w:val="32"/>
          <w:szCs w:val="32"/>
          <w:shd w:val="clear" w:color="auto" w:fill="FFFFFF"/>
          <w:vertAlign w:val="baseline"/>
          <w:lang w:val="en-US" w:eastAsia="zh-CN"/>
        </w:rPr>
        <w:t>气象</w:t>
      </w:r>
      <w:r>
        <w:rPr>
          <w:rFonts w:hint="eastAsia" w:ascii="仿宋" w:hAnsi="仿宋" w:eastAsia="仿宋" w:cs="仿宋"/>
          <w:i w:val="0"/>
          <w:iCs w:val="0"/>
          <w:caps w:val="0"/>
          <w:color w:val="000000"/>
          <w:spacing w:val="0"/>
          <w:sz w:val="32"/>
          <w:szCs w:val="32"/>
          <w:shd w:val="clear" w:color="auto" w:fill="FFFFFF"/>
          <w:vertAlign w:val="baseline"/>
        </w:rPr>
        <w:t>安全管理制度。</w:t>
      </w:r>
    </w:p>
    <w:p w14:paraId="67B292C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4、</w:t>
      </w:r>
      <w:r>
        <w:rPr>
          <w:rStyle w:val="12"/>
          <w:rFonts w:hint="eastAsia" w:ascii="仿宋" w:hAnsi="仿宋" w:eastAsia="仿宋" w:cs="仿宋"/>
          <w:b/>
          <w:bCs/>
          <w:i w:val="0"/>
          <w:iCs w:val="0"/>
          <w:caps w:val="0"/>
          <w:color w:val="000000"/>
          <w:spacing w:val="0"/>
          <w:sz w:val="32"/>
          <w:szCs w:val="32"/>
          <w:shd w:val="clear" w:color="auto" w:fill="FFFFFF"/>
          <w:vertAlign w:val="baseline"/>
        </w:rPr>
        <w:t>落实责任：</w:t>
      </w:r>
      <w:r>
        <w:rPr>
          <w:rFonts w:hint="eastAsia" w:ascii="仿宋" w:hAnsi="仿宋" w:eastAsia="仿宋" w:cs="仿宋"/>
          <w:i w:val="0"/>
          <w:iCs w:val="0"/>
          <w:caps w:val="0"/>
          <w:color w:val="000000"/>
          <w:spacing w:val="0"/>
          <w:sz w:val="32"/>
          <w:szCs w:val="32"/>
          <w:shd w:val="clear" w:color="auto" w:fill="FFFFFF"/>
          <w:vertAlign w:val="baseline"/>
        </w:rPr>
        <w:t>强化企业安全生产主体责任，提升对自然灾害的预防和应对能力。</w:t>
      </w:r>
    </w:p>
    <w:p w14:paraId="59C4C917">
      <w:pPr>
        <w:pStyle w:val="3"/>
        <w:bidi w:val="0"/>
        <w:jc w:val="center"/>
        <w:rPr>
          <w:rFonts w:hint="default"/>
        </w:rPr>
      </w:pPr>
      <w:r>
        <w:rPr>
          <w:rFonts w:hint="default"/>
        </w:rPr>
        <w:t>第二章：编制依据</w:t>
      </w:r>
    </w:p>
    <w:p w14:paraId="12BECB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本报告的编制主要依据以下法律法规和技术标准：</w:t>
      </w:r>
    </w:p>
    <w:p w14:paraId="02A58B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w:t>
      </w:r>
      <w:r>
        <w:rPr>
          <w:rFonts w:hint="eastAsia" w:ascii="仿宋" w:hAnsi="仿宋" w:eastAsia="仿宋" w:cs="仿宋"/>
          <w:caps w:val="0"/>
          <w:color w:val="000000"/>
          <w:spacing w:val="0"/>
          <w:sz w:val="32"/>
          <w:szCs w:val="32"/>
          <w:shd w:val="clear" w:color="auto" w:fill="FFFFFF"/>
          <w:vertAlign w:val="baseline"/>
        </w:rPr>
        <w:t>《中华人民共和国安全生产法》​​</w:t>
      </w:r>
    </w:p>
    <w:p w14:paraId="73322B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2、</w:t>
      </w:r>
      <w:r>
        <w:rPr>
          <w:rFonts w:hint="eastAsia" w:ascii="仿宋" w:hAnsi="仿宋" w:eastAsia="仿宋" w:cs="仿宋"/>
          <w:caps w:val="0"/>
          <w:color w:val="000000"/>
          <w:spacing w:val="0"/>
          <w:sz w:val="32"/>
          <w:szCs w:val="32"/>
          <w:shd w:val="clear" w:color="auto" w:fill="FFFFFF"/>
          <w:vertAlign w:val="baseline"/>
        </w:rPr>
        <w:t>《中华人民共和国气象法》​​</w:t>
      </w:r>
    </w:p>
    <w:p w14:paraId="07C7BE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3、</w:t>
      </w:r>
      <w:r>
        <w:rPr>
          <w:rFonts w:hint="eastAsia" w:ascii="仿宋" w:hAnsi="仿宋" w:eastAsia="仿宋" w:cs="仿宋"/>
          <w:caps w:val="0"/>
          <w:color w:val="000000"/>
          <w:spacing w:val="0"/>
          <w:sz w:val="32"/>
          <w:szCs w:val="32"/>
          <w:shd w:val="clear" w:color="auto" w:fill="FFFFFF"/>
          <w:vertAlign w:val="baseline"/>
        </w:rPr>
        <w:t>《防雷减灾管理办法》（中国气象局令第24号）</w:t>
      </w:r>
    </w:p>
    <w:p w14:paraId="2C45888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4、</w:t>
      </w:r>
      <w:r>
        <w:rPr>
          <w:rFonts w:hint="eastAsia" w:ascii="仿宋" w:hAnsi="仿宋" w:eastAsia="仿宋" w:cs="仿宋"/>
          <w:caps w:val="0"/>
          <w:color w:val="000000"/>
          <w:spacing w:val="0"/>
          <w:sz w:val="32"/>
          <w:szCs w:val="32"/>
          <w:shd w:val="clear" w:color="auto" w:fill="FFFFFF"/>
          <w:vertAlign w:val="baseline"/>
        </w:rPr>
        <w:t>《危险化学品安全管理条例》</w:t>
      </w:r>
    </w:p>
    <w:p w14:paraId="5BD3B90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5、</w:t>
      </w:r>
      <w:r>
        <w:rPr>
          <w:rFonts w:hint="eastAsia" w:ascii="仿宋" w:hAnsi="仿宋" w:eastAsia="仿宋" w:cs="仿宋"/>
          <w:caps w:val="0"/>
          <w:color w:val="000000"/>
          <w:spacing w:val="0"/>
          <w:sz w:val="32"/>
          <w:szCs w:val="32"/>
          <w:shd w:val="clear" w:color="auto" w:fill="FFFFFF"/>
          <w:vertAlign w:val="baseline"/>
        </w:rPr>
        <w:t>危险化学品重大危险源辨识</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18218</w:t>
      </w:r>
      <w:r>
        <w:rPr>
          <w:rFonts w:hint="eastAsia" w:ascii="仿宋" w:hAnsi="仿宋" w:eastAsia="仿宋" w:cs="仿宋"/>
          <w:caps w:val="0"/>
          <w:color w:val="000000"/>
          <w:spacing w:val="0"/>
          <w:sz w:val="32"/>
          <w:szCs w:val="32"/>
          <w:shd w:val="clear" w:color="auto" w:fill="FFFFFF"/>
          <w:vertAlign w:val="baseline"/>
          <w:lang w:eastAsia="zh-CN"/>
        </w:rPr>
        <w:t>）</w:t>
      </w:r>
    </w:p>
    <w:p w14:paraId="29A846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6、《</w:t>
      </w:r>
      <w:r>
        <w:rPr>
          <w:rFonts w:hint="eastAsia" w:ascii="仿宋" w:hAnsi="仿宋" w:eastAsia="仿宋" w:cs="仿宋"/>
          <w:caps w:val="0"/>
          <w:color w:val="000000"/>
          <w:spacing w:val="0"/>
          <w:sz w:val="32"/>
          <w:szCs w:val="32"/>
          <w:shd w:val="clear" w:color="auto" w:fill="FFFFFF"/>
          <w:vertAlign w:val="baseline"/>
        </w:rPr>
        <w:t>建筑设计防火规范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GB50016</w:t>
      </w:r>
      <w:r>
        <w:rPr>
          <w:rFonts w:hint="eastAsia" w:ascii="仿宋" w:hAnsi="仿宋" w:eastAsia="仿宋" w:cs="仿宋"/>
          <w:caps w:val="0"/>
          <w:color w:val="000000"/>
          <w:spacing w:val="0"/>
          <w:sz w:val="32"/>
          <w:szCs w:val="32"/>
          <w:shd w:val="clear" w:color="auto" w:fill="FFFFFF"/>
          <w:vertAlign w:val="baseline"/>
          <w:lang w:val="en-US" w:eastAsia="zh-CN"/>
        </w:rPr>
        <w:t>)</w:t>
      </w:r>
    </w:p>
    <w:p w14:paraId="48012A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7、</w:t>
      </w:r>
      <w:r>
        <w:rPr>
          <w:rFonts w:hint="eastAsia" w:ascii="仿宋" w:hAnsi="仿宋" w:eastAsia="仿宋" w:cs="仿宋"/>
          <w:caps w:val="0"/>
          <w:color w:val="000000"/>
          <w:spacing w:val="0"/>
          <w:sz w:val="32"/>
          <w:szCs w:val="32"/>
          <w:shd w:val="clear" w:color="auto" w:fill="FFFFFF"/>
          <w:vertAlign w:val="baseline"/>
        </w:rPr>
        <w:t>《建筑物防雷设计规范》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50057-2010</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w:t>
      </w:r>
    </w:p>
    <w:p w14:paraId="48B256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8、</w:t>
      </w:r>
      <w:r>
        <w:rPr>
          <w:rFonts w:hint="eastAsia" w:ascii="仿宋" w:hAnsi="仿宋" w:eastAsia="仿宋" w:cs="仿宋"/>
          <w:caps w:val="0"/>
          <w:color w:val="000000"/>
          <w:spacing w:val="0"/>
          <w:sz w:val="32"/>
          <w:szCs w:val="32"/>
          <w:shd w:val="clear" w:color="auto" w:fill="FFFFFF"/>
          <w:vertAlign w:val="baseline"/>
        </w:rPr>
        <w:t>《建筑物电子信息系统防雷技术规范》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50343</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2012</w:t>
      </w:r>
      <w:r>
        <w:rPr>
          <w:rFonts w:hint="eastAsia" w:ascii="仿宋" w:hAnsi="仿宋" w:eastAsia="仿宋" w:cs="仿宋"/>
          <w:caps w:val="0"/>
          <w:color w:val="000000"/>
          <w:spacing w:val="0"/>
          <w:sz w:val="32"/>
          <w:szCs w:val="32"/>
          <w:shd w:val="clear" w:color="auto" w:fill="FFFFFF"/>
          <w:vertAlign w:val="baseline"/>
          <w:lang w:eastAsia="zh-CN"/>
        </w:rPr>
        <w:t>）</w:t>
      </w:r>
    </w:p>
    <w:p w14:paraId="4AFA66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9、《</w:t>
      </w:r>
      <w:r>
        <w:rPr>
          <w:rFonts w:hint="eastAsia" w:ascii="仿宋" w:hAnsi="仿宋" w:eastAsia="仿宋" w:cs="仿宋"/>
          <w:caps w:val="0"/>
          <w:color w:val="000000"/>
          <w:spacing w:val="0"/>
          <w:sz w:val="32"/>
          <w:szCs w:val="32"/>
          <w:shd w:val="clear" w:color="auto" w:fill="FFFFFF"/>
          <w:vertAlign w:val="baseline"/>
        </w:rPr>
        <w:t>建筑物雷电防护装置检测技术规范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21431</w:t>
      </w:r>
      <w:r>
        <w:rPr>
          <w:rFonts w:hint="eastAsia" w:ascii="仿宋" w:hAnsi="仿宋" w:eastAsia="仿宋" w:cs="仿宋"/>
          <w:caps w:val="0"/>
          <w:color w:val="000000"/>
          <w:spacing w:val="0"/>
          <w:sz w:val="32"/>
          <w:szCs w:val="32"/>
          <w:shd w:val="clear" w:color="auto" w:fill="FFFFFF"/>
          <w:vertAlign w:val="baseline"/>
          <w:lang w:val="en-US" w:eastAsia="zh-CN"/>
        </w:rPr>
        <w:t>)</w:t>
      </w:r>
    </w:p>
    <w:p w14:paraId="213F50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10、《</w:t>
      </w:r>
      <w:r>
        <w:rPr>
          <w:rFonts w:hint="eastAsia" w:ascii="仿宋" w:hAnsi="仿宋" w:eastAsia="仿宋" w:cs="仿宋"/>
          <w:caps w:val="0"/>
          <w:color w:val="000000"/>
          <w:spacing w:val="0"/>
          <w:sz w:val="32"/>
          <w:szCs w:val="32"/>
          <w:shd w:val="clear" w:color="auto" w:fill="FFFFFF"/>
          <w:vertAlign w:val="baseline"/>
        </w:rPr>
        <w:t>雷电灾害应急处置规范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34312</w:t>
      </w:r>
      <w:r>
        <w:rPr>
          <w:rFonts w:hint="eastAsia" w:ascii="仿宋" w:hAnsi="仿宋" w:eastAsia="仿宋" w:cs="仿宋"/>
          <w:caps w:val="0"/>
          <w:color w:val="000000"/>
          <w:spacing w:val="0"/>
          <w:sz w:val="32"/>
          <w:szCs w:val="32"/>
          <w:shd w:val="clear" w:color="auto" w:fill="FFFFFF"/>
          <w:vertAlign w:val="baseline"/>
          <w:lang w:val="en-US" w:eastAsia="zh-CN"/>
        </w:rPr>
        <w:t>)</w:t>
      </w:r>
    </w:p>
    <w:p w14:paraId="24B7A9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11、</w:t>
      </w:r>
      <w:r>
        <w:rPr>
          <w:rFonts w:hint="eastAsia" w:ascii="仿宋" w:hAnsi="仿宋" w:eastAsia="仿宋" w:cs="仿宋"/>
          <w:caps w:val="0"/>
          <w:color w:val="000000"/>
          <w:spacing w:val="0"/>
          <w:sz w:val="32"/>
          <w:szCs w:val="32"/>
          <w:shd w:val="clear" w:color="auto" w:fill="FFFFFF"/>
          <w:vertAlign w:val="baseline"/>
        </w:rPr>
        <w:t>《石油与石油设施雷电安全规范》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15599-2009</w:t>
      </w:r>
      <w:r>
        <w:rPr>
          <w:rFonts w:hint="eastAsia" w:ascii="仿宋" w:hAnsi="仿宋" w:eastAsia="仿宋" w:cs="仿宋"/>
          <w:caps w:val="0"/>
          <w:color w:val="000000"/>
          <w:spacing w:val="0"/>
          <w:sz w:val="32"/>
          <w:szCs w:val="32"/>
          <w:shd w:val="clear" w:color="auto" w:fill="FFFFFF"/>
          <w:vertAlign w:val="baseline"/>
          <w:lang w:eastAsia="zh-CN"/>
        </w:rPr>
        <w:t>）</w:t>
      </w:r>
    </w:p>
    <w:p w14:paraId="768557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12、</w:t>
      </w:r>
      <w:r>
        <w:rPr>
          <w:rFonts w:hint="eastAsia" w:ascii="仿宋" w:hAnsi="仿宋" w:eastAsia="仿宋" w:cs="仿宋"/>
          <w:caps w:val="0"/>
          <w:color w:val="000000"/>
          <w:spacing w:val="0"/>
          <w:sz w:val="32"/>
          <w:szCs w:val="32"/>
          <w:shd w:val="clear" w:color="auto" w:fill="FFFFFF"/>
          <w:vertAlign w:val="baseline"/>
        </w:rPr>
        <w:t>《雷电灾害风险评估技术规范》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QX/T 85</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2018</w:t>
      </w:r>
      <w:r>
        <w:rPr>
          <w:rFonts w:hint="eastAsia" w:ascii="仿宋" w:hAnsi="仿宋" w:eastAsia="仿宋" w:cs="仿宋"/>
          <w:caps w:val="0"/>
          <w:color w:val="000000"/>
          <w:spacing w:val="0"/>
          <w:sz w:val="32"/>
          <w:szCs w:val="32"/>
          <w:shd w:val="clear" w:color="auto" w:fill="FFFFFF"/>
          <w:vertAlign w:val="baseline"/>
          <w:lang w:eastAsia="zh-CN"/>
        </w:rPr>
        <w:t>）</w:t>
      </w:r>
    </w:p>
    <w:p w14:paraId="375B6A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13、《</w:t>
      </w:r>
      <w:r>
        <w:rPr>
          <w:rFonts w:hint="eastAsia" w:ascii="仿宋" w:hAnsi="仿宋" w:eastAsia="仿宋" w:cs="仿宋"/>
          <w:caps w:val="0"/>
          <w:color w:val="000000"/>
          <w:spacing w:val="0"/>
          <w:sz w:val="32"/>
          <w:szCs w:val="32"/>
          <w:shd w:val="clear" w:color="auto" w:fill="FFFFFF"/>
          <w:vertAlign w:val="baseline"/>
        </w:rPr>
        <w:t>防雷安全风险分级管控要求  油库、气库建设工程和场所</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738</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2024</w:t>
      </w:r>
      <w:r>
        <w:rPr>
          <w:rFonts w:hint="eastAsia" w:ascii="仿宋" w:hAnsi="仿宋" w:eastAsia="仿宋" w:cs="仿宋"/>
          <w:caps w:val="0"/>
          <w:color w:val="000000"/>
          <w:spacing w:val="0"/>
          <w:sz w:val="32"/>
          <w:szCs w:val="32"/>
          <w:shd w:val="clear" w:color="auto" w:fill="FFFFFF"/>
          <w:vertAlign w:val="baseline"/>
          <w:lang w:eastAsia="zh-CN"/>
        </w:rPr>
        <w:t>）</w:t>
      </w:r>
    </w:p>
    <w:p w14:paraId="5A25081B">
      <w:pPr>
        <w:bidi w:val="0"/>
        <w:spacing w:line="360" w:lineRule="auto"/>
        <w:ind w:firstLine="640" w:firstLineChars="200"/>
        <w:rPr>
          <w:rFonts w:hint="eastAsia" w:ascii="仿宋" w:hAnsi="仿宋" w:eastAsia="仿宋" w:cs="仿宋"/>
          <w:sz w:val="32"/>
          <w:szCs w:val="32"/>
          <w:lang w:eastAsia="zh-CN"/>
        </w:rPr>
      </w:pPr>
      <w:r>
        <w:rPr>
          <w:rFonts w:hint="eastAsia" w:ascii="仿宋" w:hAnsi="仿宋" w:eastAsia="仿宋" w:cs="仿宋"/>
          <w:caps w:val="0"/>
          <w:color w:val="000000"/>
          <w:spacing w:val="0"/>
          <w:sz w:val="32"/>
          <w:szCs w:val="32"/>
          <w:shd w:val="clear" w:color="auto" w:fill="FFFFFF"/>
          <w:vertAlign w:val="baseline"/>
          <w:lang w:val="en-US" w:eastAsia="zh-CN"/>
        </w:rPr>
        <w:t>14、</w:t>
      </w:r>
      <w:r>
        <w:rPr>
          <w:rFonts w:hint="eastAsia" w:ascii="仿宋" w:hAnsi="仿宋" w:eastAsia="仿宋" w:cs="仿宋"/>
          <w:sz w:val="32"/>
          <w:szCs w:val="32"/>
          <w:lang w:eastAsia="zh-CN"/>
        </w:rPr>
        <w:t>《</w:t>
      </w:r>
      <w:r>
        <w:rPr>
          <w:rFonts w:hint="eastAsia" w:ascii="仿宋" w:hAnsi="仿宋" w:eastAsia="仿宋" w:cs="仿宋"/>
          <w:sz w:val="32"/>
          <w:szCs w:val="32"/>
        </w:rPr>
        <w:t>防雷安全风险分级管控要求   雷电易发区内旅游景点</w:t>
      </w:r>
      <w:r>
        <w:rPr>
          <w:rFonts w:hint="eastAsia" w:ascii="仿宋" w:hAnsi="仿宋" w:eastAsia="仿宋" w:cs="仿宋"/>
          <w:sz w:val="32"/>
          <w:szCs w:val="32"/>
          <w:lang w:eastAsia="zh-CN"/>
        </w:rPr>
        <w:t>》（</w:t>
      </w:r>
      <w:r>
        <w:rPr>
          <w:rFonts w:hint="eastAsia" w:ascii="仿宋" w:hAnsi="仿宋" w:eastAsia="仿宋" w:cs="仿宋"/>
          <w:sz w:val="32"/>
          <w:szCs w:val="32"/>
        </w:rPr>
        <w:t>Q</w:t>
      </w:r>
      <w:r>
        <w:rPr>
          <w:rFonts w:hint="eastAsia" w:ascii="仿宋" w:hAnsi="仿宋" w:eastAsia="仿宋" w:cs="仿宋"/>
          <w:sz w:val="32"/>
          <w:szCs w:val="32"/>
          <w:lang w:val="en-US" w:eastAsia="zh-CN"/>
        </w:rPr>
        <w:t>X</w:t>
      </w:r>
      <w:r>
        <w:rPr>
          <w:rFonts w:hint="eastAsia" w:ascii="仿宋" w:hAnsi="仿宋" w:eastAsia="仿宋" w:cs="仿宋"/>
          <w:sz w:val="32"/>
          <w:szCs w:val="32"/>
        </w:rPr>
        <w:t>/T 742—2024</w:t>
      </w:r>
      <w:r>
        <w:rPr>
          <w:rFonts w:hint="eastAsia" w:ascii="仿宋" w:hAnsi="仿宋" w:eastAsia="仿宋" w:cs="仿宋"/>
          <w:sz w:val="32"/>
          <w:szCs w:val="32"/>
          <w:lang w:eastAsia="zh-CN"/>
        </w:rPr>
        <w:t>）</w:t>
      </w:r>
    </w:p>
    <w:p w14:paraId="4D5A13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15、《防雷安全重点单位雷电灾害防御工作指南》（</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694—2023</w:t>
      </w:r>
      <w:r>
        <w:rPr>
          <w:rFonts w:hint="eastAsia" w:ascii="仿宋" w:hAnsi="仿宋" w:eastAsia="仿宋" w:cs="仿宋"/>
          <w:caps w:val="0"/>
          <w:color w:val="000000"/>
          <w:spacing w:val="0"/>
          <w:sz w:val="32"/>
          <w:szCs w:val="32"/>
          <w:shd w:val="clear" w:color="auto" w:fill="FFFFFF"/>
          <w:vertAlign w:val="baseline"/>
          <w:lang w:val="en-US" w:eastAsia="zh-CN"/>
        </w:rPr>
        <w:t>）</w:t>
      </w:r>
    </w:p>
    <w:p w14:paraId="4253E2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16、</w:t>
      </w:r>
      <w:r>
        <w:rPr>
          <w:rFonts w:hint="eastAsia" w:ascii="仿宋" w:hAnsi="仿宋" w:eastAsia="仿宋" w:cs="仿宋"/>
          <w:caps w:val="0"/>
          <w:color w:val="000000"/>
          <w:spacing w:val="0"/>
          <w:sz w:val="32"/>
          <w:szCs w:val="32"/>
          <w:shd w:val="clear" w:color="auto" w:fill="FFFFFF"/>
          <w:vertAlign w:val="baseline"/>
        </w:rPr>
        <w:t>其他相关的地方性法规及行业标准。​</w:t>
      </w:r>
      <w:r>
        <w:rPr>
          <w:rFonts w:hint="default" w:ascii="Segoe UI" w:hAnsi="Segoe UI" w:eastAsia="Segoe UI" w:cs="Segoe UI"/>
          <w:caps w:val="0"/>
          <w:color w:val="000000"/>
          <w:spacing w:val="0"/>
          <w:sz w:val="32"/>
          <w:szCs w:val="32"/>
          <w:shd w:val="clear" w:color="auto" w:fill="FFFFFF"/>
          <w:vertAlign w:val="baseline"/>
        </w:rPr>
        <w:t>​</w:t>
      </w:r>
    </w:p>
    <w:p w14:paraId="2A86475F">
      <w:pPr>
        <w:pStyle w:val="3"/>
        <w:bidi w:val="0"/>
        <w:jc w:val="center"/>
        <w:rPr>
          <w:rFonts w:hint="default"/>
        </w:rPr>
      </w:pPr>
      <w:r>
        <w:rPr>
          <w:rFonts w:hint="default"/>
        </w:rPr>
        <w:t>第三章：评估方法</w:t>
      </w:r>
    </w:p>
    <w:p w14:paraId="45179E7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本次评估采用</w:t>
      </w:r>
      <w:r>
        <w:rPr>
          <w:rStyle w:val="12"/>
          <w:rFonts w:hint="eastAsia" w:ascii="仿宋" w:hAnsi="仿宋" w:eastAsia="仿宋" w:cs="仿宋"/>
          <w:b/>
          <w:bCs/>
          <w:caps w:val="0"/>
          <w:color w:val="000000"/>
          <w:spacing w:val="0"/>
          <w:sz w:val="32"/>
          <w:szCs w:val="32"/>
          <w:shd w:val="clear" w:color="auto" w:fill="FFFFFF"/>
          <w:vertAlign w:val="baseline"/>
        </w:rPr>
        <w:t>风险矩阵法</w:t>
      </w:r>
      <w:r>
        <w:rPr>
          <w:rFonts w:hint="eastAsia" w:ascii="仿宋" w:hAnsi="仿宋" w:eastAsia="仿宋" w:cs="仿宋"/>
          <w:caps w:val="0"/>
          <w:color w:val="000000"/>
          <w:spacing w:val="0"/>
          <w:sz w:val="32"/>
          <w:szCs w:val="32"/>
          <w:shd w:val="clear" w:color="auto" w:fill="FFFFFF"/>
          <w:vertAlign w:val="baseline"/>
        </w:rPr>
        <w:t>与</w:t>
      </w:r>
      <w:r>
        <w:rPr>
          <w:rStyle w:val="12"/>
          <w:rFonts w:hint="eastAsia" w:ascii="仿宋" w:hAnsi="仿宋" w:eastAsia="仿宋" w:cs="仿宋"/>
          <w:b/>
          <w:bCs/>
          <w:caps w:val="0"/>
          <w:color w:val="000000"/>
          <w:spacing w:val="0"/>
          <w:sz w:val="32"/>
          <w:szCs w:val="32"/>
          <w:shd w:val="clear" w:color="auto" w:fill="FFFFFF"/>
          <w:vertAlign w:val="baseline"/>
        </w:rPr>
        <w:t>现场勘查法</w:t>
      </w:r>
      <w:r>
        <w:rPr>
          <w:rFonts w:hint="eastAsia" w:ascii="仿宋" w:hAnsi="仿宋" w:eastAsia="仿宋" w:cs="仿宋"/>
          <w:caps w:val="0"/>
          <w:color w:val="000000"/>
          <w:spacing w:val="0"/>
          <w:sz w:val="32"/>
          <w:szCs w:val="32"/>
          <w:shd w:val="clear" w:color="auto" w:fill="FFFFFF"/>
          <w:vertAlign w:val="baseline"/>
        </w:rPr>
        <w:t>相结合的综合评估方法。</w:t>
      </w:r>
    </w:p>
    <w:p w14:paraId="56EC405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一</w:t>
      </w:r>
      <w:r>
        <w:rPr>
          <w:rStyle w:val="12"/>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2"/>
          <w:rFonts w:hint="eastAsia" w:ascii="仿宋" w:hAnsi="仿宋" w:eastAsia="仿宋" w:cs="仿宋"/>
          <w:b/>
          <w:bCs/>
          <w:i w:val="0"/>
          <w:iCs w:val="0"/>
          <w:caps w:val="0"/>
          <w:color w:val="000000"/>
          <w:spacing w:val="0"/>
          <w:sz w:val="32"/>
          <w:szCs w:val="32"/>
          <w:shd w:val="clear" w:color="auto" w:fill="FFFFFF"/>
          <w:vertAlign w:val="baseline"/>
        </w:rPr>
        <w:t>风险矩阵法：​</w:t>
      </w:r>
      <w:r>
        <w:rPr>
          <w:rFonts w:hint="eastAsia" w:ascii="仿宋" w:hAnsi="仿宋" w:eastAsia="仿宋" w:cs="仿宋"/>
          <w:i w:val="0"/>
          <w:iCs w:val="0"/>
          <w:caps w:val="0"/>
          <w:color w:val="000000"/>
          <w:spacing w:val="0"/>
          <w:sz w:val="32"/>
          <w:szCs w:val="32"/>
          <w:shd w:val="clear" w:color="auto" w:fill="FFFFFF"/>
          <w:vertAlign w:val="baseline"/>
        </w:rPr>
        <w:t>​</w:t>
      </w:r>
    </w:p>
    <w:p w14:paraId="1F93C26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风险（R）计算：</w:t>
      </w:r>
      <w:r>
        <w:rPr>
          <w:rFonts w:hint="eastAsia" w:ascii="仿宋" w:hAnsi="仿宋" w:eastAsia="仿宋" w:cs="仿宋"/>
          <w:i w:val="0"/>
          <w:iCs w:val="0"/>
          <w:caps w:val="0"/>
          <w:color w:val="000000"/>
          <w:spacing w:val="0"/>
          <w:sz w:val="32"/>
          <w:szCs w:val="32"/>
          <w:shd w:val="clear" w:color="auto" w:fill="FFFFFF"/>
          <w:vertAlign w:val="baseline"/>
        </w:rPr>
        <w:t xml:space="preserve">R = L × </w:t>
      </w:r>
      <w:r>
        <w:rPr>
          <w:rFonts w:hint="eastAsia" w:ascii="仿宋" w:hAnsi="仿宋" w:eastAsia="仿宋" w:cs="仿宋"/>
          <w:i w:val="0"/>
          <w:iCs w:val="0"/>
          <w:caps w:val="0"/>
          <w:color w:val="000000"/>
          <w:spacing w:val="0"/>
          <w:sz w:val="32"/>
          <w:szCs w:val="32"/>
          <w:shd w:val="clear" w:color="auto" w:fill="FFFFFF"/>
          <w:vertAlign w:val="baseline"/>
          <w:lang w:val="en-US" w:eastAsia="zh-CN"/>
        </w:rPr>
        <w:t>S</w:t>
      </w:r>
    </w:p>
    <w:p w14:paraId="58D2E41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rPr>
        <w:t>L（雷击可能性）：</w:t>
      </w:r>
      <w:r>
        <w:rPr>
          <w:rFonts w:hint="eastAsia" w:ascii="仿宋" w:hAnsi="仿宋" w:eastAsia="仿宋" w:cs="仿宋"/>
          <w:i w:val="0"/>
          <w:iCs w:val="0"/>
          <w:caps w:val="0"/>
          <w:color w:val="000000"/>
          <w:spacing w:val="0"/>
          <w:sz w:val="32"/>
          <w:szCs w:val="32"/>
          <w:shd w:val="clear" w:color="auto" w:fill="FFFFFF"/>
          <w:vertAlign w:val="baseline"/>
        </w:rPr>
        <w:t>根据当地气象部门提供的年平均雷暴日数、厂区地理位置、周边环境及建（构）筑物特性，评估雷击事件发生的可能性等级（可分为：极少、可能、较大可能、频繁）。</w:t>
      </w:r>
    </w:p>
    <w:p w14:paraId="287B8171">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S</w:t>
      </w:r>
      <w:r>
        <w:rPr>
          <w:rStyle w:val="12"/>
          <w:rFonts w:hint="eastAsia" w:ascii="仿宋" w:hAnsi="仿宋" w:eastAsia="仿宋" w:cs="仿宋"/>
          <w:b/>
          <w:bCs/>
          <w:i w:val="0"/>
          <w:iCs w:val="0"/>
          <w:caps w:val="0"/>
          <w:color w:val="000000"/>
          <w:spacing w:val="0"/>
          <w:sz w:val="32"/>
          <w:szCs w:val="32"/>
          <w:shd w:val="clear" w:color="auto" w:fill="FFFFFF"/>
          <w:vertAlign w:val="baseline"/>
        </w:rPr>
        <w:t>（后果严重性）：</w:t>
      </w:r>
      <w:r>
        <w:rPr>
          <w:rFonts w:hint="eastAsia" w:ascii="仿宋" w:hAnsi="仿宋" w:eastAsia="仿宋" w:cs="仿宋"/>
          <w:i w:val="0"/>
          <w:iCs w:val="0"/>
          <w:caps w:val="0"/>
          <w:color w:val="000000"/>
          <w:spacing w:val="0"/>
          <w:sz w:val="32"/>
          <w:szCs w:val="32"/>
          <w:shd w:val="clear" w:color="auto" w:fill="FFFFFF"/>
          <w:vertAlign w:val="baseline"/>
        </w:rPr>
        <w:t>分析一旦发生雷击，可能造成的人员伤亡、财产损失、环境影响和生产中断的严重程度等级（可分为：轻微、一般、严重、重大）。</w:t>
      </w:r>
    </w:p>
    <w:p w14:paraId="66D5C30E">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rPr>
        <w:t>将可能性和严重性等级代入风险矩阵，确定风险等级（低风险、一般风险、较大风险、重大风险）。</w:t>
      </w:r>
    </w:p>
    <w:p w14:paraId="436966A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（二）</w:t>
      </w:r>
      <w:r>
        <w:rPr>
          <w:rStyle w:val="12"/>
          <w:rFonts w:hint="eastAsia" w:ascii="仿宋" w:hAnsi="仿宋" w:eastAsia="仿宋" w:cs="仿宋"/>
          <w:b/>
          <w:bCs/>
          <w:i w:val="0"/>
          <w:iCs w:val="0"/>
          <w:caps w:val="0"/>
          <w:color w:val="000000"/>
          <w:spacing w:val="0"/>
          <w:sz w:val="32"/>
          <w:szCs w:val="32"/>
          <w:shd w:val="clear" w:color="auto" w:fill="FFFFFF"/>
          <w:vertAlign w:val="baseline"/>
        </w:rPr>
        <w:t>现场</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检查表</w:t>
      </w:r>
      <w:r>
        <w:rPr>
          <w:rStyle w:val="12"/>
          <w:rFonts w:hint="eastAsia" w:ascii="仿宋" w:hAnsi="仿宋" w:eastAsia="仿宋" w:cs="仿宋"/>
          <w:b/>
          <w:bCs/>
          <w:i w:val="0"/>
          <w:iCs w:val="0"/>
          <w:caps w:val="0"/>
          <w:color w:val="000000"/>
          <w:spacing w:val="0"/>
          <w:sz w:val="32"/>
          <w:szCs w:val="32"/>
          <w:shd w:val="clear" w:color="auto" w:fill="FFFFFF"/>
          <w:vertAlign w:val="baseline"/>
        </w:rPr>
        <w:t>法：​</w:t>
      </w:r>
      <w:r>
        <w:rPr>
          <w:rFonts w:hint="eastAsia" w:ascii="仿宋" w:hAnsi="仿宋" w:eastAsia="仿宋" w:cs="仿宋"/>
          <w:i w:val="0"/>
          <w:iCs w:val="0"/>
          <w:caps w:val="0"/>
          <w:color w:val="000000"/>
          <w:spacing w:val="0"/>
          <w:sz w:val="32"/>
          <w:szCs w:val="32"/>
          <w:shd w:val="clear" w:color="auto" w:fill="FFFFFF"/>
          <w:vertAlign w:val="baseline"/>
        </w:rPr>
        <w:t>​</w:t>
      </w:r>
    </w:p>
    <w:p w14:paraId="0E3D9CC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通过对该企业</w:t>
      </w:r>
      <w:r>
        <w:rPr>
          <w:rFonts w:hint="eastAsia" w:ascii="仿宋" w:hAnsi="仿宋" w:eastAsia="仿宋" w:cs="仿宋"/>
          <w:i w:val="0"/>
          <w:iCs w:val="0"/>
          <w:caps w:val="0"/>
          <w:color w:val="000000"/>
          <w:spacing w:val="0"/>
          <w:sz w:val="32"/>
          <w:szCs w:val="32"/>
          <w:shd w:val="clear" w:color="auto" w:fill="FFFFFF"/>
          <w:vertAlign w:val="baseline"/>
        </w:rPr>
        <w:t>进行</w:t>
      </w:r>
      <w:r>
        <w:rPr>
          <w:rFonts w:hint="eastAsia" w:ascii="仿宋" w:hAnsi="仿宋" w:eastAsia="仿宋" w:cs="仿宋"/>
          <w:i w:val="0"/>
          <w:iCs w:val="0"/>
          <w:caps w:val="0"/>
          <w:color w:val="000000"/>
          <w:spacing w:val="0"/>
          <w:sz w:val="32"/>
          <w:szCs w:val="32"/>
          <w:shd w:val="clear" w:color="auto" w:fill="FFFFFF"/>
          <w:vertAlign w:val="baseline"/>
          <w:lang w:val="en-US" w:eastAsia="zh-CN"/>
        </w:rPr>
        <w:t>核对与</w:t>
      </w:r>
      <w:r>
        <w:rPr>
          <w:rFonts w:hint="eastAsia" w:ascii="仿宋" w:hAnsi="仿宋" w:eastAsia="仿宋" w:cs="仿宋"/>
          <w:i w:val="0"/>
          <w:iCs w:val="0"/>
          <w:caps w:val="0"/>
          <w:color w:val="000000"/>
          <w:spacing w:val="0"/>
          <w:sz w:val="32"/>
          <w:szCs w:val="32"/>
          <w:shd w:val="clear" w:color="auto" w:fill="FFFFFF"/>
          <w:vertAlign w:val="baseline"/>
        </w:rPr>
        <w:t>重点检查：</w:t>
      </w:r>
    </w:p>
    <w:p w14:paraId="1949543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1、</w:t>
      </w:r>
      <w:r>
        <w:rPr>
          <w:rFonts w:hint="eastAsia" w:ascii="仿宋" w:hAnsi="仿宋" w:eastAsia="仿宋" w:cs="仿宋"/>
          <w:i w:val="0"/>
          <w:iCs w:val="0"/>
          <w:caps w:val="0"/>
          <w:color w:val="000000"/>
          <w:spacing w:val="0"/>
          <w:sz w:val="32"/>
          <w:szCs w:val="32"/>
          <w:shd w:val="clear" w:color="auto" w:fill="FFFFFF"/>
          <w:vertAlign w:val="baseline"/>
        </w:rPr>
        <w:t>现有防雷装置（接闪器、引下线、接地装置）的完好性和有效性。</w:t>
      </w:r>
    </w:p>
    <w:p w14:paraId="47CEF03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2、</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制冷机房等场所</w:t>
      </w:r>
      <w:bookmarkStart w:id="0" w:name="_GoBack"/>
      <w:bookmarkEnd w:id="0"/>
      <w:r>
        <w:rPr>
          <w:rFonts w:hint="eastAsia" w:ascii="仿宋" w:hAnsi="仿宋" w:eastAsia="仿宋" w:cs="仿宋"/>
          <w:i w:val="0"/>
          <w:iCs w:val="0"/>
          <w:caps w:val="0"/>
          <w:color w:val="000000"/>
          <w:spacing w:val="0"/>
          <w:sz w:val="32"/>
          <w:szCs w:val="32"/>
          <w:highlight w:val="none"/>
          <w:shd w:val="clear" w:color="auto" w:fill="FFFFFF"/>
          <w:vertAlign w:val="baseline"/>
        </w:rPr>
        <w:t>的防</w:t>
      </w:r>
      <w:r>
        <w:rPr>
          <w:rFonts w:hint="eastAsia" w:ascii="仿宋" w:hAnsi="仿宋" w:eastAsia="仿宋" w:cs="仿宋"/>
          <w:i w:val="0"/>
          <w:iCs w:val="0"/>
          <w:caps w:val="0"/>
          <w:color w:val="000000"/>
          <w:spacing w:val="0"/>
          <w:sz w:val="32"/>
          <w:szCs w:val="32"/>
          <w:shd w:val="clear" w:color="auto" w:fill="FFFFFF"/>
          <w:vertAlign w:val="baseline"/>
        </w:rPr>
        <w:t>静电、等电位连接情况。</w:t>
      </w:r>
    </w:p>
    <w:p w14:paraId="22F3CEF9">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3、</w:t>
      </w:r>
      <w:r>
        <w:rPr>
          <w:rFonts w:hint="eastAsia" w:ascii="仿宋" w:hAnsi="仿宋" w:eastAsia="仿宋" w:cs="仿宋"/>
          <w:i w:val="0"/>
          <w:iCs w:val="0"/>
          <w:caps w:val="0"/>
          <w:color w:val="000000"/>
          <w:spacing w:val="0"/>
          <w:sz w:val="32"/>
          <w:szCs w:val="32"/>
          <w:shd w:val="clear" w:color="auto" w:fill="FFFFFF"/>
          <w:vertAlign w:val="baseline"/>
        </w:rPr>
        <w:t>电气、仪表及信息系统的电涌保护器（SPD）配置情况。</w:t>
      </w:r>
    </w:p>
    <w:p w14:paraId="01992578">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安全管理制度的建立与执行情况。</w:t>
      </w:r>
    </w:p>
    <w:p w14:paraId="3D4603FA">
      <w:pPr>
        <w:numPr>
          <w:ilvl w:val="0"/>
          <w:numId w:val="0"/>
        </w:numPr>
        <w:spacing w:line="360" w:lineRule="auto"/>
        <w:ind w:firstLine="640" w:firstLineChars="200"/>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4、核对防雷装置（设施）检测情况、防雷安全管理制度建立及执行情况等。</w:t>
      </w:r>
    </w:p>
    <w:p w14:paraId="6A338DA2">
      <w:pPr>
        <w:numPr>
          <w:ilvl w:val="0"/>
          <w:numId w:val="0"/>
        </w:numPr>
        <w:spacing w:line="360" w:lineRule="auto"/>
        <w:rPr>
          <w:rFonts w:hint="default"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 xml:space="preserve">    5、现场检查核对防雷安全管理制度建立及执行情况等。</w:t>
      </w:r>
    </w:p>
    <w:p w14:paraId="6B0EFEA2">
      <w:pPr>
        <w:rPr>
          <w:rFonts w:hint="default"/>
          <w:lang w:val="en-US" w:eastAsia="zh-CN"/>
        </w:rPr>
      </w:pPr>
      <w:r>
        <w:rPr>
          <w:rFonts w:hint="default"/>
          <w:lang w:val="en-US" w:eastAsia="zh-CN"/>
        </w:rPr>
        <w:br w:type="page"/>
      </w:r>
    </w:p>
    <w:p w14:paraId="4B0204F4">
      <w:pPr>
        <w:pStyle w:val="3"/>
        <w:bidi w:val="0"/>
        <w:jc w:val="center"/>
        <w:rPr>
          <w:rFonts w:hint="default"/>
          <w:lang w:val="en-US" w:eastAsia="zh-CN"/>
        </w:rPr>
      </w:pPr>
      <w:r>
        <w:rPr>
          <w:rFonts w:hint="default"/>
          <w:lang w:val="en-US" w:eastAsia="zh-CN"/>
        </w:rPr>
        <w:t>第四章：企业概况与现场勘查情况</w:t>
      </w:r>
    </w:p>
    <w:p w14:paraId="4E6E113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企业概况：​</w:t>
      </w:r>
      <w:r>
        <w:rPr>
          <w:rFonts w:hint="eastAsia" w:ascii="仿宋" w:hAnsi="仿宋" w:eastAsia="仿宋" w:cs="仿宋"/>
          <w:i w:val="0"/>
          <w:iCs w:val="0"/>
          <w:caps w:val="0"/>
          <w:color w:val="000000"/>
          <w:spacing w:val="0"/>
          <w:sz w:val="32"/>
          <w:szCs w:val="32"/>
          <w:shd w:val="clear" w:color="auto" w:fill="FFFFFF"/>
          <w:vertAlign w:val="baseline"/>
        </w:rPr>
        <w:t>​</w:t>
      </w:r>
    </w:p>
    <w:p w14:paraId="2BA682EC">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lang w:eastAsia="zh-CN"/>
        </w:rPr>
      </w:pPr>
      <w:r>
        <w:rPr>
          <w:rFonts w:hint="eastAsia" w:ascii="仿宋" w:hAnsi="仿宋" w:eastAsia="仿宋" w:cs="仿宋"/>
          <w:i w:val="0"/>
          <w:iCs w:val="0"/>
          <w:caps w:val="0"/>
          <w:color w:val="000000"/>
          <w:spacing w:val="0"/>
          <w:sz w:val="32"/>
          <w:szCs w:val="32"/>
          <w:shd w:val="clear" w:color="auto" w:fill="FFFFFF"/>
          <w:vertAlign w:val="baseline"/>
        </w:rPr>
        <w:t>公司名称：</w:t>
      </w:r>
      <w:r>
        <w:rPr>
          <w:rFonts w:hint="eastAsia" w:ascii="仿宋" w:hAnsi="仿宋" w:eastAsia="仿宋" w:cs="仿宋"/>
          <w:i w:val="0"/>
          <w:iCs w:val="0"/>
          <w:caps w:val="0"/>
          <w:color w:val="000000"/>
          <w:spacing w:val="0"/>
          <w:sz w:val="32"/>
          <w:szCs w:val="32"/>
          <w:shd w:val="clear" w:color="auto" w:fill="FFFFFF"/>
          <w:vertAlign w:val="baseline"/>
          <w:lang w:eastAsia="zh-CN"/>
        </w:rPr>
        <w:t>招商局国际冷链(深圳)有限公司(华南冷库)</w:t>
      </w:r>
    </w:p>
    <w:p w14:paraId="11F24EC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highlight w:val="none"/>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主要危险化</w:t>
      </w:r>
      <w:r>
        <w:rPr>
          <w:rFonts w:hint="eastAsia" w:ascii="仿宋" w:hAnsi="仿宋" w:eastAsia="仿宋" w:cs="仿宋"/>
          <w:i w:val="0"/>
          <w:iCs w:val="0"/>
          <w:caps w:val="0"/>
          <w:color w:val="000000"/>
          <w:spacing w:val="0"/>
          <w:sz w:val="32"/>
          <w:szCs w:val="32"/>
          <w:highlight w:val="none"/>
          <w:shd w:val="clear" w:color="auto" w:fill="FFFFFF"/>
          <w:vertAlign w:val="baseline"/>
        </w:rPr>
        <w:t>学品：</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液氨</w:t>
      </w:r>
      <w:r>
        <w:rPr>
          <w:rFonts w:hint="eastAsia" w:ascii="仿宋" w:hAnsi="仿宋" w:eastAsia="仿宋" w:cs="仿宋"/>
          <w:i w:val="0"/>
          <w:iCs w:val="0"/>
          <w:caps w:val="0"/>
          <w:color w:val="000000"/>
          <w:spacing w:val="0"/>
          <w:sz w:val="32"/>
          <w:szCs w:val="32"/>
          <w:highlight w:val="none"/>
          <w:shd w:val="clear" w:color="auto" w:fill="FFFFFF"/>
          <w:vertAlign w:val="baseline"/>
        </w:rPr>
        <w:t>等。</w:t>
      </w:r>
    </w:p>
    <w:p w14:paraId="0B20BDB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highlight w:val="none"/>
          <w:shd w:val="clear" w:color="auto" w:fill="FFFFFF"/>
          <w:vertAlign w:val="baseline"/>
        </w:rPr>
        <w:t>主要设施：</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制冷机房、冷库、配电房、办公室</w:t>
      </w:r>
      <w:r>
        <w:rPr>
          <w:rFonts w:hint="eastAsia" w:ascii="仿宋" w:hAnsi="仿宋" w:eastAsia="仿宋" w:cs="仿宋"/>
          <w:i w:val="0"/>
          <w:iCs w:val="0"/>
          <w:caps w:val="0"/>
          <w:color w:val="000000"/>
          <w:spacing w:val="0"/>
          <w:sz w:val="32"/>
          <w:szCs w:val="32"/>
          <w:highlight w:val="none"/>
          <w:shd w:val="clear" w:color="auto" w:fill="FFFFFF"/>
          <w:vertAlign w:val="baseline"/>
        </w:rPr>
        <w:t>等。</w:t>
      </w:r>
    </w:p>
    <w:p w14:paraId="7005AB5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地理位置：位于</w:t>
      </w:r>
      <w:r>
        <w:rPr>
          <w:rFonts w:hint="eastAsia" w:ascii="仿宋" w:hAnsi="仿宋" w:eastAsia="仿宋" w:cs="仿宋"/>
          <w:i w:val="0"/>
          <w:iCs w:val="0"/>
          <w:caps w:val="0"/>
          <w:color w:val="000000"/>
          <w:spacing w:val="0"/>
          <w:sz w:val="32"/>
          <w:szCs w:val="32"/>
          <w:shd w:val="clear" w:color="auto" w:fill="FFFFFF"/>
          <w:vertAlign w:val="baseline"/>
          <w:lang w:val="en-US" w:eastAsia="zh-CN"/>
        </w:rPr>
        <w:t>深圳南山</w:t>
      </w:r>
      <w:r>
        <w:rPr>
          <w:rFonts w:hint="eastAsia" w:ascii="仿宋" w:hAnsi="仿宋" w:eastAsia="仿宋" w:cs="仿宋"/>
          <w:i w:val="0"/>
          <w:iCs w:val="0"/>
          <w:caps w:val="0"/>
          <w:color w:val="000000"/>
          <w:spacing w:val="0"/>
          <w:sz w:val="32"/>
          <w:szCs w:val="32"/>
          <w:shd w:val="clear" w:color="auto" w:fill="FFFFFF"/>
          <w:vertAlign w:val="baseline"/>
        </w:rPr>
        <w:t>地区，属多雷暴区域，年平均雷暴日为</w:t>
      </w:r>
      <w:r>
        <w:rPr>
          <w:rFonts w:hint="eastAsia" w:ascii="仿宋" w:hAnsi="仿宋" w:eastAsia="仿宋" w:cs="仿宋"/>
          <w:i w:val="0"/>
          <w:iCs w:val="0"/>
          <w:caps w:val="0"/>
          <w:color w:val="000000"/>
          <w:spacing w:val="0"/>
          <w:sz w:val="32"/>
          <w:szCs w:val="32"/>
          <w:shd w:val="clear" w:color="auto" w:fill="FFFFFF"/>
          <w:vertAlign w:val="baseline"/>
          <w:lang w:val="en-US" w:eastAsia="zh-CN"/>
        </w:rPr>
        <w:t>48</w:t>
      </w:r>
      <w:r>
        <w:rPr>
          <w:rFonts w:hint="eastAsia" w:ascii="仿宋" w:hAnsi="仿宋" w:eastAsia="仿宋" w:cs="仿宋"/>
          <w:i w:val="0"/>
          <w:iCs w:val="0"/>
          <w:caps w:val="0"/>
          <w:color w:val="000000"/>
          <w:spacing w:val="0"/>
          <w:sz w:val="32"/>
          <w:szCs w:val="32"/>
          <w:shd w:val="clear" w:color="auto" w:fill="FFFFFF"/>
          <w:vertAlign w:val="baseline"/>
        </w:rPr>
        <w:t>天。</w:t>
      </w:r>
    </w:p>
    <w:p w14:paraId="15A2701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2"/>
          <w:rFonts w:hint="eastAsia" w:ascii="仿宋" w:hAnsi="仿宋" w:eastAsia="仿宋" w:cs="仿宋"/>
          <w:b/>
          <w:bCs/>
          <w:i w:val="0"/>
          <w:iCs w:val="0"/>
          <w:caps w:val="0"/>
          <w:color w:val="000000"/>
          <w:spacing w:val="0"/>
          <w:sz w:val="32"/>
          <w:szCs w:val="32"/>
          <w:shd w:val="clear" w:color="auto" w:fill="FFFFFF"/>
          <w:vertAlign w:val="baseline"/>
        </w:rPr>
        <w:t>现场</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检</w:t>
      </w:r>
      <w:r>
        <w:rPr>
          <w:rStyle w:val="12"/>
          <w:rFonts w:hint="eastAsia" w:ascii="仿宋" w:hAnsi="仿宋" w:eastAsia="仿宋" w:cs="仿宋"/>
          <w:b/>
          <w:bCs/>
          <w:i w:val="0"/>
          <w:iCs w:val="0"/>
          <w:caps w:val="0"/>
          <w:color w:val="000000"/>
          <w:spacing w:val="0"/>
          <w:sz w:val="32"/>
          <w:szCs w:val="32"/>
          <w:shd w:val="clear" w:color="auto" w:fill="FFFFFF"/>
          <w:vertAlign w:val="baseline"/>
        </w:rPr>
        <w:t>查情况：​</w:t>
      </w:r>
      <w:r>
        <w:rPr>
          <w:rFonts w:hint="eastAsia" w:ascii="仿宋" w:hAnsi="仿宋" w:eastAsia="仿宋" w:cs="仿宋"/>
          <w:i w:val="0"/>
          <w:iCs w:val="0"/>
          <w:caps w:val="0"/>
          <w:color w:val="000000"/>
          <w:spacing w:val="0"/>
          <w:sz w:val="32"/>
          <w:szCs w:val="32"/>
          <w:shd w:val="clear" w:color="auto" w:fill="FFFFFF"/>
          <w:vertAlign w:val="baseline"/>
        </w:rPr>
        <w:t>​</w:t>
      </w:r>
    </w:p>
    <w:p w14:paraId="017E5474">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制冷机房</w:t>
      </w:r>
      <w:r>
        <w:rPr>
          <w:rStyle w:val="12"/>
          <w:rFonts w:hint="eastAsia" w:ascii="仿宋" w:hAnsi="仿宋" w:eastAsia="仿宋" w:cs="仿宋"/>
          <w:b/>
          <w:bCs/>
          <w:i w:val="0"/>
          <w:iCs w:val="0"/>
          <w:caps w:val="0"/>
          <w:color w:val="000000"/>
          <w:spacing w:val="0"/>
          <w:sz w:val="32"/>
          <w:szCs w:val="32"/>
          <w:shd w:val="clear" w:color="auto" w:fill="FFFFFF"/>
          <w:vertAlign w:val="baseline"/>
        </w:rPr>
        <w:t>：</w:t>
      </w:r>
      <w:r>
        <w:rPr>
          <w:rFonts w:hint="eastAsia" w:ascii="仿宋" w:hAnsi="仿宋" w:eastAsia="仿宋" w:cs="仿宋"/>
          <w:i w:val="0"/>
          <w:iCs w:val="0"/>
          <w:caps w:val="0"/>
          <w:color w:val="000000"/>
          <w:spacing w:val="0"/>
          <w:sz w:val="32"/>
          <w:szCs w:val="32"/>
          <w:shd w:val="clear" w:color="auto" w:fill="FFFFFF"/>
          <w:vertAlign w:val="baseline"/>
          <w:lang w:val="en-US" w:eastAsia="zh-CN"/>
        </w:rPr>
        <w:t>制冷机组、压缩机、风机运行正常，无异常异响、泄漏、过热。</w:t>
      </w:r>
    </w:p>
    <w:p w14:paraId="5F2B0E4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pPr>
      <w:r>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t>冷库：</w:t>
      </w:r>
      <w:r>
        <w:rPr>
          <w:rStyle w:val="12"/>
          <w:rFonts w:hint="eastAsia" w:ascii="仿宋" w:hAnsi="仿宋" w:eastAsia="仿宋" w:cs="仿宋"/>
          <w:b w:val="0"/>
          <w:bCs w:val="0"/>
          <w:i w:val="0"/>
          <w:iCs w:val="0"/>
          <w:caps w:val="0"/>
          <w:color w:val="000000"/>
          <w:spacing w:val="0"/>
          <w:kern w:val="2"/>
          <w:sz w:val="32"/>
          <w:szCs w:val="32"/>
          <w:shd w:val="clear" w:color="auto" w:fill="FFFFFF"/>
          <w:vertAlign w:val="baseline"/>
          <w:lang w:val="en-US" w:eastAsia="zh-CN" w:bidi="ar-SA"/>
        </w:rPr>
        <w:t>冷库库体、保温层、密封门完好，无破损、漏冷、结霜异常。库内温度、报警装置显示正常，通风换气设施运行良好。</w:t>
      </w:r>
    </w:p>
    <w:p w14:paraId="6DB10B9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配电房：</w:t>
      </w:r>
      <w:r>
        <w:rPr>
          <w:rFonts w:hint="eastAsia" w:ascii="仿宋" w:hAnsi="仿宋" w:eastAsia="仿宋" w:cs="仿宋"/>
          <w:i w:val="0"/>
          <w:iCs w:val="0"/>
          <w:caps w:val="0"/>
          <w:color w:val="000000"/>
          <w:spacing w:val="0"/>
          <w:sz w:val="32"/>
          <w:szCs w:val="32"/>
          <w:shd w:val="clear" w:color="auto" w:fill="FFFFFF"/>
          <w:vertAlign w:val="baseline"/>
          <w:lang w:val="en-US" w:eastAsia="zh-CN"/>
        </w:rPr>
        <w:t>配电柜、变压器外观完好，无异响、异味、过热、放电现象，仪表指示正常。</w:t>
      </w:r>
    </w:p>
    <w:p w14:paraId="2F0AE66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b/>
          <w:bCs/>
          <w:i w:val="0"/>
          <w:iCs w:val="0"/>
          <w:caps w:val="0"/>
          <w:color w:val="000000"/>
          <w:spacing w:val="0"/>
          <w:sz w:val="32"/>
          <w:szCs w:val="32"/>
          <w:shd w:val="clear" w:color="auto" w:fill="FFFFFF"/>
          <w:vertAlign w:val="baseline"/>
          <w:lang w:val="en-US" w:eastAsia="zh-CN"/>
        </w:rPr>
        <w:t>办公室：</w:t>
      </w:r>
      <w:r>
        <w:rPr>
          <w:rFonts w:hint="eastAsia" w:ascii="仿宋" w:hAnsi="仿宋" w:eastAsia="仿宋" w:cs="仿宋"/>
          <w:i w:val="0"/>
          <w:iCs w:val="0"/>
          <w:caps w:val="0"/>
          <w:color w:val="000000"/>
          <w:spacing w:val="0"/>
          <w:sz w:val="32"/>
          <w:szCs w:val="32"/>
          <w:shd w:val="clear" w:color="auto" w:fill="FFFFFF"/>
          <w:vertAlign w:val="baseline"/>
          <w:lang w:val="en-US" w:eastAsia="zh-CN"/>
        </w:rPr>
        <w:t>设有独立避雷装置，接地电阻经检测为合格。门窗、接地装置等金属部件已全部进行等电位连接。</w:t>
      </w:r>
    </w:p>
    <w:p w14:paraId="4528BDF9">
      <w:pPr>
        <w:rPr>
          <w:rFonts w:hint="default"/>
        </w:rPr>
      </w:pPr>
      <w:r>
        <w:rPr>
          <w:rFonts w:hint="default"/>
        </w:rPr>
        <w:br w:type="page"/>
      </w:r>
    </w:p>
    <w:p w14:paraId="67167648">
      <w:pPr>
        <w:pStyle w:val="3"/>
        <w:bidi w:val="0"/>
        <w:jc w:val="center"/>
        <w:rPr>
          <w:rFonts w:hint="default"/>
        </w:rPr>
      </w:pPr>
      <w:r>
        <w:rPr>
          <w:rFonts w:hint="default"/>
        </w:rPr>
        <w:t>第五章：雷电灾害风险识别与评估</w:t>
      </w:r>
    </w:p>
    <w:p w14:paraId="449D32CA">
      <w:pPr>
        <w:keepNext w:val="0"/>
        <w:keepLines w:val="0"/>
        <w:pageBreakBefore w:val="0"/>
        <w:widowControl w:val="0"/>
        <w:kinsoku/>
        <w:wordWrap/>
        <w:overflowPunct/>
        <w:topLinePunct w:val="0"/>
        <w:autoSpaceDE/>
        <w:autoSpaceDN/>
        <w:bidi w:val="0"/>
        <w:adjustRightInd/>
        <w:snapToGrid/>
        <w:spacing w:after="0" w:afterLines="50"/>
        <w:ind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根据评估方法，对该公司重点区域的风险评估结果如下：</w:t>
      </w:r>
    </w:p>
    <w:tbl>
      <w:tblPr>
        <w:tblStyle w:val="10"/>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303"/>
        <w:gridCol w:w="1367"/>
        <w:gridCol w:w="1203"/>
        <w:gridCol w:w="4429"/>
      </w:tblGrid>
      <w:tr w14:paraId="2E18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1356" w:type="dxa"/>
            <w:noWrap w:val="0"/>
            <w:vAlign w:val="center"/>
          </w:tcPr>
          <w:p w14:paraId="53668A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评估单元</w:t>
            </w:r>
          </w:p>
        </w:tc>
        <w:tc>
          <w:tcPr>
            <w:tcW w:w="1303" w:type="dxa"/>
            <w:noWrap w:val="0"/>
            <w:vAlign w:val="center"/>
          </w:tcPr>
          <w:p w14:paraId="623AE6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雷击可能性（L）</w:t>
            </w:r>
          </w:p>
        </w:tc>
        <w:tc>
          <w:tcPr>
            <w:tcW w:w="1367" w:type="dxa"/>
            <w:noWrap w:val="0"/>
            <w:vAlign w:val="center"/>
          </w:tcPr>
          <w:p w14:paraId="4AC4E6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后果严重性（S）</w:t>
            </w:r>
          </w:p>
        </w:tc>
        <w:tc>
          <w:tcPr>
            <w:tcW w:w="1203" w:type="dxa"/>
            <w:noWrap w:val="0"/>
            <w:vAlign w:val="center"/>
          </w:tcPr>
          <w:p w14:paraId="1E1F9F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风险等级（R）</w:t>
            </w:r>
          </w:p>
        </w:tc>
        <w:tc>
          <w:tcPr>
            <w:tcW w:w="4429" w:type="dxa"/>
            <w:noWrap w:val="0"/>
            <w:vAlign w:val="center"/>
          </w:tcPr>
          <w:p w14:paraId="26BB63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主要风险分析</w:t>
            </w:r>
          </w:p>
        </w:tc>
      </w:tr>
      <w:tr w14:paraId="2532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jc w:val="center"/>
        </w:trPr>
        <w:tc>
          <w:tcPr>
            <w:tcW w:w="1356" w:type="dxa"/>
            <w:noWrap w:val="0"/>
            <w:vAlign w:val="center"/>
          </w:tcPr>
          <w:p w14:paraId="090DD0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制冷机房</w:t>
            </w:r>
          </w:p>
        </w:tc>
        <w:tc>
          <w:tcPr>
            <w:tcW w:w="1303" w:type="dxa"/>
            <w:noWrap w:val="0"/>
            <w:vAlign w:val="center"/>
          </w:tcPr>
          <w:p w14:paraId="4B8F23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noWrap w:val="0"/>
            <w:vAlign w:val="center"/>
          </w:tcPr>
          <w:p w14:paraId="2DF2D7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严重</w:t>
            </w:r>
          </w:p>
        </w:tc>
        <w:tc>
          <w:tcPr>
            <w:tcW w:w="1203" w:type="dxa"/>
            <w:noWrap w:val="0"/>
            <w:vAlign w:val="center"/>
          </w:tcPr>
          <w:p w14:paraId="6C3894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较大风险</w:t>
            </w:r>
          </w:p>
        </w:tc>
        <w:tc>
          <w:tcPr>
            <w:tcW w:w="4429" w:type="dxa"/>
            <w:noWrap w:val="0"/>
            <w:vAlign w:val="center"/>
          </w:tcPr>
          <w:p w14:paraId="76137E2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直击雷击中液氨储罐、管道，产生冲击火花引燃泄漏的液氨蒸气（可燃且有毒），引发火灾爆炸及有毒气体扩散。</w:t>
            </w:r>
          </w:p>
        </w:tc>
      </w:tr>
      <w:tr w14:paraId="6279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noWrap w:val="0"/>
            <w:vAlign w:val="center"/>
          </w:tcPr>
          <w:p w14:paraId="3AFBE0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冷库</w:t>
            </w:r>
          </w:p>
        </w:tc>
        <w:tc>
          <w:tcPr>
            <w:tcW w:w="1303" w:type="dxa"/>
            <w:noWrap w:val="0"/>
            <w:vAlign w:val="center"/>
          </w:tcPr>
          <w:p w14:paraId="52BC9E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noWrap w:val="0"/>
            <w:vAlign w:val="center"/>
          </w:tcPr>
          <w:p w14:paraId="589CB7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w:t>
            </w:r>
          </w:p>
        </w:tc>
        <w:tc>
          <w:tcPr>
            <w:tcW w:w="1203" w:type="dxa"/>
            <w:noWrap w:val="0"/>
            <w:vAlign w:val="center"/>
          </w:tcPr>
          <w:p w14:paraId="35CA2B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一般风险</w:t>
            </w:r>
          </w:p>
        </w:tc>
        <w:tc>
          <w:tcPr>
            <w:tcW w:w="4429" w:type="dxa"/>
            <w:noWrap w:val="0"/>
            <w:vAlign w:val="center"/>
          </w:tcPr>
          <w:p w14:paraId="26D6F8D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库内温度极低，人员作业易发生皮肤冻伤。冷库潮湿、结露，电气受潮易漏电引发触电事故。电气老化、线路受潮短路，引发起火。</w:t>
            </w:r>
          </w:p>
        </w:tc>
      </w:tr>
      <w:tr w14:paraId="095C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noWrap w:val="0"/>
            <w:vAlign w:val="center"/>
          </w:tcPr>
          <w:p w14:paraId="279FEE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配电房</w:t>
            </w:r>
          </w:p>
        </w:tc>
        <w:tc>
          <w:tcPr>
            <w:tcW w:w="1303" w:type="dxa"/>
            <w:shd w:val="clear" w:color="auto" w:fill="auto"/>
            <w:noWrap w:val="0"/>
            <w:vAlign w:val="center"/>
          </w:tcPr>
          <w:p w14:paraId="0951A0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22D836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shd w:val="clear" w:color="auto" w:fill="auto"/>
            <w:noWrap w:val="0"/>
            <w:vAlign w:val="center"/>
          </w:tcPr>
          <w:p w14:paraId="21B82A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noWrap w:val="0"/>
            <w:vAlign w:val="center"/>
          </w:tcPr>
          <w:p w14:paraId="5B847A0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雷击直接击中配电房外部线路，导入雷电流击穿变压器、开关等核心设备，引发短路火灾或供电中断；接地电阻不达标加剧风险。</w:t>
            </w:r>
          </w:p>
        </w:tc>
      </w:tr>
      <w:tr w14:paraId="1099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noWrap w:val="0"/>
            <w:vAlign w:val="center"/>
          </w:tcPr>
          <w:p w14:paraId="0BF172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办公室</w:t>
            </w:r>
          </w:p>
        </w:tc>
        <w:tc>
          <w:tcPr>
            <w:tcW w:w="1303" w:type="dxa"/>
            <w:noWrap w:val="0"/>
            <w:vAlign w:val="center"/>
          </w:tcPr>
          <w:p w14:paraId="27C26A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极少</w:t>
            </w:r>
          </w:p>
        </w:tc>
        <w:tc>
          <w:tcPr>
            <w:tcW w:w="1367" w:type="dxa"/>
            <w:noWrap w:val="0"/>
            <w:vAlign w:val="center"/>
          </w:tcPr>
          <w:p w14:paraId="0060F4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noWrap w:val="0"/>
            <w:vAlign w:val="center"/>
          </w:tcPr>
          <w:p w14:paraId="54878F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noWrap w:val="0"/>
            <w:vAlign w:val="center"/>
          </w:tcPr>
          <w:p w14:paraId="55A9C12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风险可接受。</w:t>
            </w:r>
          </w:p>
        </w:tc>
      </w:tr>
    </w:tbl>
    <w:p w14:paraId="223F93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360" w:lineRule="auto"/>
        <w:ind w:lef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综合评估结论：该公司雷电灾害总体风险水平为</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较低防雷安全风险</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，制冷机房是安全管理的重中之重。</w:t>
      </w:r>
    </w:p>
    <w:p w14:paraId="490DD955">
      <w:pPr>
        <w:pStyle w:val="3"/>
        <w:bidi w:val="0"/>
        <w:jc w:val="center"/>
        <w:rPr>
          <w:rFonts w:hint="default"/>
          <w:lang w:val="en-US" w:eastAsia="zh-CN"/>
        </w:rPr>
      </w:pPr>
      <w:r>
        <w:rPr>
          <w:rFonts w:hint="default"/>
          <w:lang w:val="en-US" w:eastAsia="zh-CN"/>
        </w:rPr>
        <w:t>第六章：风险管理与控制措施​</w:t>
      </w:r>
    </w:p>
    <w:p w14:paraId="755A0B7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24" w:lineRule="atLeast"/>
        <w:ind w:left="0" w:firstLine="640" w:firstLineChars="200"/>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针对上述风险评估结果，提出以下风险管理措施：</w:t>
      </w:r>
    </w:p>
    <w:p w14:paraId="30B2FE1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0"/>
        <w:jc w:val="both"/>
        <w:textAlignment w:val="baseline"/>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（一） 技术措施（工程控制）</w:t>
      </w:r>
    </w:p>
    <w:p w14:paraId="45E3F9A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1、完善直击雷防护：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43B89E3C">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（1）液氨储罐、制冷机组等关键设备，安装独立接闪杆或沿建筑屋顶敷设闭合接闪带，确保所有设施处于防护范围内，甲类涉氨区域接闪网格≤3m×3m。</w:t>
      </w:r>
    </w:p>
    <w:p w14:paraId="288CFFB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（2）储罐、管道、金属支架等金属构件，与厂区联合接地网可靠连接，引下线间距≤18m 且做好防腐处理，整体接地电阻≤4Ω（高风险区域≤1Ω）。</w:t>
      </w:r>
    </w:p>
    <w:p w14:paraId="1AD3F2F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（3）制冷机房露天区域的设备、管廊，加装接闪线防护，接闪装置与设备保持安全间距，避免雷电反击。</w:t>
      </w:r>
    </w:p>
    <w:p w14:paraId="4B5770B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2、强化雷电电磁脉冲防护：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25CAF1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（1）涉氨区域配电线路穿金属屏蔽管敷设，屏蔽管两端及间隔 50m 处接地，切断电磁脉冲传导路径。</w:t>
      </w:r>
    </w:p>
    <w:p w14:paraId="656D562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（2）制冷机组控制柜、氨泄漏检测仪等设备电源端加装防爆型浪涌保护器（SPD），信号接口加装专用信号防雷器，且 SPD 需与场所防爆等级匹配。</w:t>
      </w:r>
    </w:p>
    <w:p w14:paraId="7F87B10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（3）构建全域等电位联结系统，将液氨储罐、管道、电气箱体等金属部件与接地网连通，消除电位差，避免脉冲引发放电火花；控制机柜做金属屏蔽并可靠接地。</w:t>
      </w:r>
    </w:p>
    <w:p w14:paraId="62B7B27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3、规范防静电措施：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25E0C6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定期检测储罐、管道、设备的静电接地，确保电阻值符合规范。</w:t>
      </w:r>
    </w:p>
    <w:p w14:paraId="1C1092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（二） 管理措施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CCABCA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1、健全制度：</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修订《防雷防静电安全管理制度》，明确各部门职责、日常巡查、定期检测、维护保养要求。</w:t>
      </w:r>
    </w:p>
    <w:p w14:paraId="285527E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2、应急响应：</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完善《雷电灾害专项应急预案》，并定期组织演练。确保在雷暴预警时，能迅速启动应急程序，必要时停止高危作业。</w:t>
      </w:r>
    </w:p>
    <w:p w14:paraId="2167771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3、检测与档案：</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委托具备资质的防雷检测机构，每年雷雨季节前对全厂防雷装置进行一次全面检测，并建立完整的技术档案。</w:t>
      </w:r>
    </w:p>
    <w:p w14:paraId="2686A2D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4、培训教育：</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定期对员工，特别是重点岗位员工进行防雷防静电安全知识培训，提高风险意识。</w:t>
      </w:r>
    </w:p>
    <w:p w14:paraId="0646C0EE">
      <w:pPr>
        <w:pStyle w:val="3"/>
        <w:bidi w:val="0"/>
        <w:jc w:val="center"/>
        <w:rPr>
          <w:rFonts w:hint="default"/>
          <w:lang w:val="en-US" w:eastAsia="zh-CN"/>
        </w:rPr>
      </w:pPr>
      <w:r>
        <w:rPr>
          <w:rFonts w:hint="default"/>
          <w:lang w:val="en-US" w:eastAsia="zh-CN"/>
        </w:rPr>
        <w:t>第七章：结论与建议</w:t>
      </w:r>
    </w:p>
    <w:p w14:paraId="7DA17E4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1、结论：</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经全面检测评估，该厂区防雷体系规范有效，制冷机房等关键区域的防雷接地、等电位连接及电磁脉冲防护均符合标准，无雷电灾害安全隐患，可有效抵御雷电风险，保障安全生产。</w:t>
      </w:r>
    </w:p>
    <w:p w14:paraId="6E26CE7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2、建议：</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3547996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（1）强化日常管控：</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执行防雷设施定期巡检，重点盯防制冷机房等关键部位接地及防雷器状态，建立台账记录设备信息。</w:t>
      </w:r>
    </w:p>
    <w:p w14:paraId="35A1A05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（2）规范周期检测：</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按规开展专业检测（接地电阻每半年复测，防雷器每年检测），确保设施达标，报告留存归档。</w:t>
      </w:r>
    </w:p>
    <w:p w14:paraId="4B86FA9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（3）保障持续投入：</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设立专项经费，用于防雷设施维保、设备更新及技术升级，避免防护体系弱化。</w:t>
      </w:r>
    </w:p>
    <w:p w14:paraId="7B1E197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（4）完善应急机制：</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结合天气预警修订应急预案，每年至少开展一次实战演练，提升应急处置能力。</w:t>
      </w:r>
    </w:p>
    <w:p w14:paraId="67934D6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附件1：企业基础信息收集表</w:t>
      </w:r>
    </w:p>
    <w:p w14:paraId="1EEF3F5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附件2：防雷重点单位风险评估方法</w:t>
      </w:r>
    </w:p>
    <w:p w14:paraId="1DA824A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附件3：防雷重点单位隐患排查表</w:t>
      </w:r>
    </w:p>
    <w:p w14:paraId="0400399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附件4：现场检查与核对照片</w:t>
      </w:r>
    </w:p>
    <w:p w14:paraId="36B41CA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附件5：防雷重点单位风险分类分级管控表                  </w:t>
      </w:r>
    </w:p>
    <w:p w14:paraId="2B5D4EC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附件6：防雷重点单位“重点部位”风险分类分级管控清单</w:t>
      </w:r>
    </w:p>
    <w:p w14:paraId="6344925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附件7：风险四色图</w:t>
      </w:r>
    </w:p>
    <w:p w14:paraId="46554F4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6F111CE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4800" w:firstLineChars="15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深圳市全民安全生产研究院</w:t>
      </w:r>
    </w:p>
    <w:p w14:paraId="4EE4B244">
      <w:pP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t xml:space="preserve">                                    2026年10月</w:t>
      </w:r>
    </w:p>
    <w:p w14:paraId="0460ED7E">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55B4D44B">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1C22C83A">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58D2B47A">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292251B7">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6A161E42">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5BFEA517">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37266727">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26DED2A1">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3E8F6611">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7071AF3F">
      <w:pPr>
        <w:pStyle w:val="6"/>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p>
    <w:p w14:paraId="1A5926EF">
      <w:pP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br w:type="page"/>
      </w:r>
    </w:p>
    <w:p w14:paraId="07428098">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rPr>
      </w:pPr>
      <w:r>
        <w:rPr>
          <w:rFonts w:hint="eastAsia"/>
          <w:sz w:val="32"/>
          <w:szCs w:val="20"/>
          <w:lang w:val="en-US" w:eastAsia="zh-CN"/>
        </w:rPr>
        <w:t>附件1：</w:t>
      </w:r>
      <w:r>
        <w:rPr>
          <w:rFonts w:hint="eastAsia"/>
          <w:sz w:val="32"/>
          <w:szCs w:val="20"/>
        </w:rPr>
        <w:t>企业基础信息收集表</w:t>
      </w:r>
    </w:p>
    <w:p w14:paraId="64594651">
      <w:pPr>
        <w:bidi w:val="0"/>
        <w:spacing w:line="360" w:lineRule="auto"/>
        <w:jc w:val="center"/>
        <w:rPr>
          <w:rFonts w:hint="eastAsia"/>
          <w:b/>
          <w:bCs/>
          <w:sz w:val="36"/>
          <w:szCs w:val="44"/>
        </w:rPr>
      </w:pPr>
      <w:r>
        <w:rPr>
          <w:rFonts w:hint="eastAsia" w:ascii="黑体" w:hAnsi="黑体" w:eastAsia="黑体" w:cs="黑体"/>
          <w:b/>
          <w:bCs/>
          <w:sz w:val="40"/>
          <w:szCs w:val="48"/>
        </w:rPr>
        <w:t>企业基础信息收集表</w:t>
      </w:r>
    </w:p>
    <w:p w14:paraId="79F23E53">
      <w:pPr>
        <w:keepNext w:val="0"/>
        <w:keepLines w:val="0"/>
        <w:pageBreakBefore w:val="0"/>
        <w:widowControl w:val="0"/>
        <w:kinsoku/>
        <w:wordWrap/>
        <w:overflowPunct/>
        <w:topLinePunct w:val="0"/>
        <w:autoSpaceDE/>
        <w:autoSpaceDN/>
        <w:bidi w:val="0"/>
        <w:adjustRightInd/>
        <w:snapToGrid w:val="0"/>
        <w:spacing w:line="360" w:lineRule="auto"/>
        <w:textAlignment w:val="auto"/>
        <w:rPr>
          <w:rFonts w:ascii="仿宋_GB2312" w:hAnsi="黑体" w:eastAsia="仿宋_GB2312"/>
          <w:color w:val="auto"/>
          <w:sz w:val="28"/>
          <w:szCs w:val="28"/>
          <w:u w:val="single"/>
        </w:rPr>
      </w:pPr>
      <w:r>
        <w:rPr>
          <w:rFonts w:hint="eastAsia" w:ascii="仿宋_GB2312" w:hAnsi="黑体" w:eastAsia="仿宋_GB2312"/>
          <w:color w:val="auto"/>
          <w:sz w:val="28"/>
          <w:szCs w:val="28"/>
        </w:rPr>
        <w:t>检查日期：</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u w:val="single"/>
          <w:lang w:val="en-US" w:eastAsia="zh-CN"/>
        </w:rPr>
        <w:t>2026.05.22</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rPr>
        <w:t xml:space="preserve">      </w:t>
      </w:r>
      <w:r>
        <w:rPr>
          <w:rFonts w:hint="eastAsia" w:ascii="仿宋_GB2312" w:hAnsi="黑体" w:eastAsia="仿宋_GB2312"/>
          <w:color w:val="auto"/>
          <w:sz w:val="28"/>
          <w:szCs w:val="28"/>
          <w:lang w:val="en-US" w:eastAsia="zh-CN"/>
        </w:rPr>
        <w:t xml:space="preserve">      </w:t>
      </w:r>
      <w:r>
        <w:rPr>
          <w:rFonts w:hint="eastAsia" w:ascii="仿宋_GB2312" w:hAnsi="黑体" w:eastAsia="仿宋_GB2312"/>
          <w:color w:val="auto"/>
          <w:sz w:val="28"/>
          <w:szCs w:val="28"/>
        </w:rPr>
        <w:t>检查人：</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u w:val="single"/>
          <w:lang w:val="en-US" w:eastAsia="zh-CN"/>
        </w:rPr>
        <w:t xml:space="preserve">李志华、陈正龙    </w:t>
      </w:r>
      <w:r>
        <w:rPr>
          <w:rFonts w:hint="eastAsia" w:ascii="仿宋_GB2312" w:hAnsi="黑体" w:eastAsia="仿宋_GB2312"/>
          <w:color w:val="auto"/>
          <w:sz w:val="28"/>
          <w:szCs w:val="28"/>
          <w:u w:val="single"/>
        </w:rPr>
        <w:t xml:space="preserve"> </w:t>
      </w:r>
    </w:p>
    <w:tbl>
      <w:tblPr>
        <w:tblStyle w:val="9"/>
        <w:tblW w:w="53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218"/>
        <w:gridCol w:w="1237"/>
        <w:gridCol w:w="1537"/>
        <w:gridCol w:w="1717"/>
        <w:gridCol w:w="1602"/>
        <w:gridCol w:w="1500"/>
        <w:gridCol w:w="1719"/>
      </w:tblGrid>
      <w:tr w14:paraId="0BE3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30" w:type="pct"/>
            <w:vMerge w:val="restart"/>
            <w:noWrap w:val="0"/>
            <w:vAlign w:val="center"/>
          </w:tcPr>
          <w:p w14:paraId="3DB892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基本</w:t>
            </w:r>
          </w:p>
          <w:p w14:paraId="4DD98E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r>
              <w:rPr>
                <w:rFonts w:hint="eastAsia" w:ascii="仿宋_GB2312" w:hAnsi="仿宋_GB2312" w:eastAsia="仿宋_GB2312" w:cs="仿宋_GB2312"/>
                <w:b/>
                <w:bCs/>
                <w:color w:val="auto"/>
                <w:sz w:val="24"/>
                <w:szCs w:val="24"/>
              </w:rPr>
              <w:t>情况</w:t>
            </w:r>
          </w:p>
        </w:tc>
        <w:tc>
          <w:tcPr>
            <w:tcW w:w="1466" w:type="pct"/>
            <w:gridSpan w:val="3"/>
            <w:noWrap w:val="0"/>
            <w:vAlign w:val="center"/>
          </w:tcPr>
          <w:p w14:paraId="51D4F1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单位名称</w:t>
            </w:r>
          </w:p>
        </w:tc>
        <w:tc>
          <w:tcPr>
            <w:tcW w:w="3203" w:type="pct"/>
            <w:gridSpan w:val="4"/>
            <w:noWrap w:val="0"/>
            <w:vAlign w:val="center"/>
          </w:tcPr>
          <w:p w14:paraId="696C58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招商局国际冷链(深圳)有限公司(华南冷库)</w:t>
            </w:r>
          </w:p>
        </w:tc>
      </w:tr>
      <w:tr w14:paraId="2CAF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30" w:type="pct"/>
            <w:vMerge w:val="continue"/>
            <w:noWrap w:val="0"/>
            <w:vAlign w:val="center"/>
          </w:tcPr>
          <w:p w14:paraId="3F18BA7A">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1466" w:type="pct"/>
            <w:gridSpan w:val="3"/>
            <w:noWrap w:val="0"/>
            <w:vAlign w:val="center"/>
          </w:tcPr>
          <w:p w14:paraId="7A672E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单位地址</w:t>
            </w:r>
          </w:p>
        </w:tc>
        <w:tc>
          <w:tcPr>
            <w:tcW w:w="3203" w:type="pct"/>
            <w:gridSpan w:val="4"/>
            <w:noWrap w:val="0"/>
            <w:vAlign w:val="center"/>
          </w:tcPr>
          <w:p w14:paraId="7CD3A7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default" w:ascii="仿宋_GB2312" w:hAnsi="仿宋_GB2312" w:eastAsia="仿宋_GB2312" w:cs="仿宋_GB2312"/>
                <w:color w:val="auto"/>
                <w:sz w:val="24"/>
                <w:szCs w:val="24"/>
                <w:u w:val="none"/>
                <w:lang w:val="en-US" w:eastAsia="zh-CN"/>
              </w:rPr>
              <w:t>深圳市南山区蛇口南湾路3号</w:t>
            </w:r>
          </w:p>
        </w:tc>
      </w:tr>
      <w:tr w14:paraId="510F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330" w:type="pct"/>
            <w:vMerge w:val="continue"/>
            <w:noWrap w:val="0"/>
            <w:vAlign w:val="center"/>
          </w:tcPr>
          <w:p w14:paraId="1D7DF855">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13" w:type="pct"/>
            <w:gridSpan w:val="2"/>
            <w:noWrap w:val="0"/>
            <w:vAlign w:val="center"/>
          </w:tcPr>
          <w:p w14:paraId="01464C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法定代表人</w:t>
            </w:r>
          </w:p>
          <w:p w14:paraId="2D89A7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(负责人)</w:t>
            </w:r>
          </w:p>
        </w:tc>
        <w:tc>
          <w:tcPr>
            <w:tcW w:w="752" w:type="pct"/>
            <w:noWrap w:val="0"/>
            <w:vAlign w:val="center"/>
          </w:tcPr>
          <w:p w14:paraId="0EA09A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余斌</w:t>
            </w:r>
          </w:p>
        </w:tc>
        <w:tc>
          <w:tcPr>
            <w:tcW w:w="841" w:type="pct"/>
            <w:noWrap w:val="0"/>
            <w:vAlign w:val="center"/>
          </w:tcPr>
          <w:p w14:paraId="283EA46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应急联系人</w:t>
            </w:r>
          </w:p>
        </w:tc>
        <w:tc>
          <w:tcPr>
            <w:tcW w:w="785" w:type="pct"/>
            <w:noWrap w:val="0"/>
            <w:vAlign w:val="center"/>
          </w:tcPr>
          <w:p w14:paraId="0ABA1A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张华行</w:t>
            </w:r>
          </w:p>
        </w:tc>
        <w:tc>
          <w:tcPr>
            <w:tcW w:w="735" w:type="pct"/>
            <w:noWrap w:val="0"/>
            <w:vAlign w:val="center"/>
          </w:tcPr>
          <w:p w14:paraId="0AD72E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安全员</w:t>
            </w:r>
          </w:p>
        </w:tc>
        <w:tc>
          <w:tcPr>
            <w:tcW w:w="839" w:type="pct"/>
            <w:noWrap w:val="0"/>
            <w:vAlign w:val="center"/>
          </w:tcPr>
          <w:p w14:paraId="34CC85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val="en-US" w:eastAsia="zh-CN"/>
              </w:rPr>
              <w:t>周惠澄</w:t>
            </w:r>
          </w:p>
        </w:tc>
      </w:tr>
      <w:tr w14:paraId="3761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330" w:type="pct"/>
            <w:vMerge w:val="continue"/>
            <w:noWrap w:val="0"/>
            <w:vAlign w:val="center"/>
          </w:tcPr>
          <w:p w14:paraId="162B57DF">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13" w:type="pct"/>
            <w:gridSpan w:val="2"/>
            <w:noWrap w:val="0"/>
            <w:vAlign w:val="center"/>
          </w:tcPr>
          <w:p w14:paraId="34F84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752" w:type="pct"/>
            <w:noWrap w:val="0"/>
            <w:vAlign w:val="center"/>
          </w:tcPr>
          <w:p w14:paraId="66AE6A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18018722629</w:t>
            </w:r>
          </w:p>
        </w:tc>
        <w:tc>
          <w:tcPr>
            <w:tcW w:w="841" w:type="pct"/>
            <w:noWrap w:val="0"/>
            <w:vAlign w:val="center"/>
          </w:tcPr>
          <w:p w14:paraId="1BBAFF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785" w:type="pct"/>
            <w:noWrap w:val="0"/>
            <w:vAlign w:val="center"/>
          </w:tcPr>
          <w:p w14:paraId="541B41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default" w:ascii="仿宋_GB2312" w:hAnsi="仿宋_GB2312" w:eastAsia="仿宋_GB2312" w:cs="仿宋_GB2312"/>
                <w:color w:val="auto"/>
                <w:sz w:val="24"/>
                <w:szCs w:val="24"/>
                <w:lang w:val="en-US" w:eastAsia="zh-CN"/>
              </w:rPr>
              <w:t>18018729032</w:t>
            </w:r>
          </w:p>
        </w:tc>
        <w:tc>
          <w:tcPr>
            <w:tcW w:w="735" w:type="pct"/>
            <w:noWrap w:val="0"/>
            <w:vAlign w:val="center"/>
          </w:tcPr>
          <w:p w14:paraId="5C84C7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39" w:type="pct"/>
            <w:noWrap w:val="0"/>
            <w:vAlign w:val="center"/>
          </w:tcPr>
          <w:p w14:paraId="59E200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default" w:ascii="仿宋_GB2312" w:hAnsi="仿宋_GB2312" w:eastAsia="仿宋_GB2312" w:cs="仿宋_GB2312"/>
                <w:color w:val="auto"/>
                <w:sz w:val="24"/>
                <w:szCs w:val="24"/>
                <w:lang w:val="en-US" w:eastAsia="zh-CN"/>
              </w:rPr>
              <w:t>18018722010</w:t>
            </w:r>
          </w:p>
        </w:tc>
      </w:tr>
      <w:tr w14:paraId="70C0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330" w:type="pct"/>
            <w:vMerge w:val="continue"/>
            <w:noWrap w:val="0"/>
            <w:vAlign w:val="center"/>
          </w:tcPr>
          <w:p w14:paraId="0B46F2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p>
        </w:tc>
        <w:tc>
          <w:tcPr>
            <w:tcW w:w="713" w:type="pct"/>
            <w:gridSpan w:val="2"/>
            <w:noWrap w:val="0"/>
            <w:vAlign w:val="center"/>
          </w:tcPr>
          <w:p w14:paraId="620F0E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经营状态</w:t>
            </w:r>
          </w:p>
        </w:tc>
        <w:tc>
          <w:tcPr>
            <w:tcW w:w="752" w:type="pct"/>
            <w:noWrap w:val="0"/>
            <w:vAlign w:val="center"/>
          </w:tcPr>
          <w:p w14:paraId="0DCCF1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正常</w:t>
            </w:r>
          </w:p>
        </w:tc>
        <w:tc>
          <w:tcPr>
            <w:tcW w:w="841" w:type="pct"/>
            <w:noWrap w:val="0"/>
            <w:vAlign w:val="center"/>
          </w:tcPr>
          <w:p w14:paraId="40A86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自查自报工作人员</w:t>
            </w:r>
          </w:p>
        </w:tc>
        <w:tc>
          <w:tcPr>
            <w:tcW w:w="785" w:type="pct"/>
            <w:noWrap w:val="0"/>
            <w:vAlign w:val="center"/>
          </w:tcPr>
          <w:p w14:paraId="4736F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周惠澄</w:t>
            </w:r>
          </w:p>
        </w:tc>
        <w:tc>
          <w:tcPr>
            <w:tcW w:w="735" w:type="pct"/>
            <w:noWrap w:val="0"/>
            <w:vAlign w:val="center"/>
          </w:tcPr>
          <w:p w14:paraId="03EBD5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39" w:type="pct"/>
            <w:noWrap w:val="0"/>
            <w:vAlign w:val="center"/>
          </w:tcPr>
          <w:p w14:paraId="3FFC83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18018722010</w:t>
            </w:r>
          </w:p>
        </w:tc>
      </w:tr>
      <w:tr w14:paraId="5EE3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1796" w:type="pct"/>
            <w:gridSpan w:val="4"/>
            <w:noWrap w:val="0"/>
            <w:vAlign w:val="center"/>
          </w:tcPr>
          <w:p w14:paraId="421AA2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lang w:eastAsia="zh-CN"/>
              </w:rPr>
              <w:t>社会统一信用代码</w:t>
            </w:r>
          </w:p>
        </w:tc>
        <w:tc>
          <w:tcPr>
            <w:tcW w:w="3203" w:type="pct"/>
            <w:gridSpan w:val="4"/>
            <w:noWrap w:val="0"/>
            <w:vAlign w:val="center"/>
          </w:tcPr>
          <w:p w14:paraId="42BC554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val="en-US" w:eastAsia="zh-CN"/>
              </w:rPr>
              <w:t>91440300618892223M</w:t>
            </w:r>
          </w:p>
        </w:tc>
      </w:tr>
      <w:tr w14:paraId="3AB4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043" w:type="pct"/>
            <w:gridSpan w:val="3"/>
            <w:noWrap w:val="0"/>
            <w:vAlign w:val="center"/>
          </w:tcPr>
          <w:p w14:paraId="01003E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b/>
                <w:bCs/>
                <w:color w:val="auto"/>
                <w:sz w:val="24"/>
                <w:szCs w:val="24"/>
                <w:lang w:eastAsia="zh-CN"/>
              </w:rPr>
              <w:t>经纬度</w:t>
            </w:r>
          </w:p>
        </w:tc>
        <w:tc>
          <w:tcPr>
            <w:tcW w:w="1594" w:type="pct"/>
            <w:gridSpan w:val="2"/>
            <w:noWrap w:val="0"/>
            <w:vAlign w:val="center"/>
          </w:tcPr>
          <w:p w14:paraId="77AAC78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eastAsia="zh-CN"/>
              </w:rPr>
              <w:t>东经：</w:t>
            </w:r>
            <w:r>
              <w:rPr>
                <w:rFonts w:hint="eastAsia" w:ascii="仿宋_GB2312" w:hAnsi="仿宋_GB2312" w:eastAsia="仿宋_GB2312" w:cs="仿宋_GB2312"/>
                <w:color w:val="auto"/>
                <w:sz w:val="24"/>
                <w:szCs w:val="24"/>
                <w:highlight w:val="none"/>
                <w:lang w:val="en-US" w:eastAsia="zh-CN"/>
              </w:rPr>
              <w:t>113°53′51″</w:t>
            </w:r>
          </w:p>
        </w:tc>
        <w:tc>
          <w:tcPr>
            <w:tcW w:w="2361" w:type="pct"/>
            <w:gridSpan w:val="3"/>
            <w:noWrap w:val="0"/>
            <w:vAlign w:val="center"/>
          </w:tcPr>
          <w:p w14:paraId="3E668D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eastAsia="zh-CN"/>
              </w:rPr>
              <w:t>北纬：</w:t>
            </w:r>
            <w:r>
              <w:rPr>
                <w:rFonts w:hint="eastAsia" w:ascii="仿宋_GB2312" w:hAnsi="仿宋_GB2312" w:eastAsia="仿宋_GB2312" w:cs="仿宋_GB2312"/>
                <w:color w:val="auto"/>
                <w:sz w:val="24"/>
                <w:szCs w:val="24"/>
                <w:highlight w:val="none"/>
                <w:lang w:val="en-US" w:eastAsia="zh-CN"/>
              </w:rPr>
              <w:t>22°28′5″</w:t>
            </w:r>
          </w:p>
        </w:tc>
      </w:tr>
      <w:tr w14:paraId="3626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043" w:type="pct"/>
            <w:gridSpan w:val="3"/>
            <w:noWrap w:val="0"/>
            <w:vAlign w:val="center"/>
          </w:tcPr>
          <w:p w14:paraId="732BA9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雷电监测设备</w:t>
            </w:r>
          </w:p>
        </w:tc>
        <w:tc>
          <w:tcPr>
            <w:tcW w:w="1594" w:type="pct"/>
            <w:gridSpan w:val="2"/>
            <w:noWrap w:val="0"/>
            <w:vAlign w:val="center"/>
          </w:tcPr>
          <w:p w14:paraId="25E68BA7">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有</w:t>
            </w:r>
            <w:r>
              <w:rPr>
                <w:rFonts w:hint="eastAsia" w:ascii="黑体" w:hAnsi="黑体" w:eastAsia="黑体"/>
                <w:color w:val="auto"/>
                <w:sz w:val="24"/>
                <w:szCs w:val="24"/>
                <w:lang w:val="en-US" w:eastAsia="zh-CN"/>
              </w:rPr>
              <w:t xml:space="preserve">  </w:t>
            </w:r>
            <w:r>
              <w:rPr>
                <w:rFonts w:ascii="仿宋_GB2312" w:hAnsi="等线" w:eastAsia="仿宋_GB2312" w:cs="等线"/>
                <w:color w:val="auto"/>
                <w:kern w:val="0"/>
                <w:sz w:val="28"/>
                <w:szCs w:val="28"/>
              </w:rPr>
              <w:sym w:font="Wingdings" w:char="00FE"/>
            </w:r>
            <w:r>
              <w:rPr>
                <w:rFonts w:hint="eastAsia" w:ascii="黑体" w:hAnsi="黑体" w:eastAsia="黑体"/>
                <w:color w:val="auto"/>
                <w:sz w:val="24"/>
                <w:szCs w:val="24"/>
              </w:rPr>
              <w:t>无</w:t>
            </w:r>
          </w:p>
        </w:tc>
        <w:tc>
          <w:tcPr>
            <w:tcW w:w="785" w:type="pct"/>
            <w:noWrap w:val="0"/>
            <w:vAlign w:val="center"/>
          </w:tcPr>
          <w:p w14:paraId="6BDDC2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auto"/>
                <w:sz w:val="24"/>
                <w:szCs w:val="24"/>
              </w:rPr>
            </w:pPr>
            <w:r>
              <w:rPr>
                <w:rFonts w:hint="eastAsia" w:ascii="仿宋_GB2312" w:hAnsi="黑体" w:eastAsia="仿宋_GB2312"/>
                <w:b/>
                <w:bCs/>
                <w:color w:val="auto"/>
                <w:sz w:val="24"/>
                <w:szCs w:val="24"/>
              </w:rPr>
              <w:t>是否</w:t>
            </w:r>
          </w:p>
          <w:p w14:paraId="35E4C1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黑体" w:eastAsia="仿宋_GB2312"/>
                <w:b/>
                <w:bCs/>
                <w:color w:val="auto"/>
                <w:sz w:val="24"/>
                <w:szCs w:val="24"/>
              </w:rPr>
            </w:pPr>
            <w:r>
              <w:rPr>
                <w:rFonts w:hint="eastAsia" w:ascii="仿宋_GB2312" w:hAnsi="黑体" w:eastAsia="仿宋_GB2312"/>
                <w:b/>
                <w:bCs/>
                <w:color w:val="auto"/>
                <w:sz w:val="24"/>
                <w:szCs w:val="24"/>
              </w:rPr>
              <w:t>正常运行</w:t>
            </w:r>
          </w:p>
        </w:tc>
        <w:tc>
          <w:tcPr>
            <w:tcW w:w="1575" w:type="pct"/>
            <w:gridSpan w:val="2"/>
            <w:noWrap w:val="0"/>
            <w:vAlign w:val="center"/>
          </w:tcPr>
          <w:p w14:paraId="536ABC11">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 xml:space="preserve">正常   </w:t>
            </w: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非正常</w:t>
            </w:r>
          </w:p>
        </w:tc>
      </w:tr>
      <w:tr w14:paraId="439B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437" w:type="pct"/>
            <w:gridSpan w:val="2"/>
            <w:vMerge w:val="restart"/>
            <w:noWrap w:val="0"/>
            <w:vAlign w:val="center"/>
          </w:tcPr>
          <w:p w14:paraId="3C883B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C00000"/>
                <w:sz w:val="24"/>
                <w:szCs w:val="24"/>
                <w:lang w:val="en-US" w:eastAsia="zh-CN"/>
              </w:rPr>
            </w:pPr>
            <w:r>
              <w:rPr>
                <w:rFonts w:hint="eastAsia" w:ascii="仿宋_GB2312" w:hAnsi="仿宋_GB2312" w:eastAsia="仿宋_GB2312" w:cs="仿宋_GB2312"/>
                <w:b/>
                <w:bCs/>
                <w:color w:val="auto"/>
                <w:sz w:val="24"/>
                <w:szCs w:val="24"/>
                <w:lang w:val="en-US" w:eastAsia="zh-CN"/>
              </w:rPr>
              <w:t>存放危险化学品</w:t>
            </w:r>
          </w:p>
        </w:tc>
        <w:tc>
          <w:tcPr>
            <w:tcW w:w="2200" w:type="pct"/>
            <w:gridSpan w:val="3"/>
            <w:noWrap w:val="0"/>
            <w:vAlign w:val="center"/>
          </w:tcPr>
          <w:p w14:paraId="030AE23D">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color w:val="auto"/>
                <w:kern w:val="2"/>
                <w:sz w:val="24"/>
                <w:szCs w:val="24"/>
                <w:lang w:val="en-US" w:eastAsia="zh-CN" w:bidi="ar-SA"/>
              </w:rPr>
            </w:pPr>
            <w:r>
              <w:rPr>
                <w:rFonts w:hint="eastAsia" w:ascii="黑体" w:hAnsi="黑体" w:eastAsia="黑体" w:cs="Times New Roman"/>
                <w:color w:val="auto"/>
                <w:kern w:val="2"/>
                <w:sz w:val="24"/>
                <w:szCs w:val="24"/>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是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不涉及</w:t>
            </w:r>
          </w:p>
        </w:tc>
        <w:tc>
          <w:tcPr>
            <w:tcW w:w="785" w:type="pct"/>
            <w:noWrap w:val="0"/>
            <w:vAlign w:val="center"/>
          </w:tcPr>
          <w:p w14:paraId="292502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危险化学品存放区域</w:t>
            </w:r>
          </w:p>
        </w:tc>
        <w:tc>
          <w:tcPr>
            <w:tcW w:w="1575" w:type="pct"/>
            <w:gridSpan w:val="2"/>
            <w:noWrap w:val="0"/>
            <w:vAlign w:val="center"/>
          </w:tcPr>
          <w:p w14:paraId="2D940C2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露天储罐/构筑物 </w:t>
            </w:r>
          </w:p>
          <w:p w14:paraId="1FE6832B">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中间仓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埋地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中转仓</w:t>
            </w:r>
          </w:p>
        </w:tc>
      </w:tr>
      <w:tr w14:paraId="5AC4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437" w:type="pct"/>
            <w:gridSpan w:val="2"/>
            <w:vMerge w:val="continue"/>
            <w:noWrap w:val="0"/>
            <w:vAlign w:val="center"/>
          </w:tcPr>
          <w:p w14:paraId="14D947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C00000"/>
                <w:sz w:val="24"/>
                <w:szCs w:val="24"/>
                <w:lang w:val="en-US" w:eastAsia="zh-CN"/>
              </w:rPr>
            </w:pPr>
          </w:p>
        </w:tc>
        <w:tc>
          <w:tcPr>
            <w:tcW w:w="606" w:type="pct"/>
            <w:noWrap w:val="0"/>
            <w:vAlign w:val="center"/>
          </w:tcPr>
          <w:p w14:paraId="2B5640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C00000"/>
                <w:kern w:val="2"/>
                <w:sz w:val="24"/>
                <w:szCs w:val="24"/>
                <w:lang w:val="en-US" w:eastAsia="zh-CN" w:bidi="ar-SA"/>
              </w:rPr>
            </w:pPr>
            <w:r>
              <w:rPr>
                <w:b/>
                <w:bCs/>
                <w:spacing w:val="16"/>
              </w:rPr>
              <w:t>危险性类别</w:t>
            </w:r>
          </w:p>
        </w:tc>
        <w:tc>
          <w:tcPr>
            <w:tcW w:w="1594" w:type="pct"/>
            <w:gridSpan w:val="2"/>
            <w:noWrap w:val="0"/>
            <w:vAlign w:val="center"/>
          </w:tcPr>
          <w:p w14:paraId="0C210AB9">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黑体" w:hAnsi="黑体" w:eastAsia="黑体" w:cs="Times New Roman"/>
                <w:color w:val="auto"/>
                <w:kern w:val="2"/>
                <w:sz w:val="24"/>
                <w:szCs w:val="24"/>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甲类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乙、丙类</w:t>
            </w:r>
            <w:r>
              <w:rPr>
                <w:rFonts w:hint="eastAsia" w:ascii="仿宋_GB2312" w:hAnsi="仿宋_GB2312" w:eastAsia="仿宋_GB2312" w:cs="仿宋_GB2312"/>
                <w:color w:val="auto"/>
                <w:kern w:val="2"/>
                <w:sz w:val="24"/>
                <w:szCs w:val="24"/>
                <w:u w:val="none"/>
                <w:lang w:val="en-US" w:eastAsia="zh-CN" w:bidi="ar-SA"/>
              </w:rPr>
              <w:br w:type="textWrapping"/>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丁 、戊类及其他</w:t>
            </w:r>
          </w:p>
        </w:tc>
        <w:tc>
          <w:tcPr>
            <w:tcW w:w="1602" w:type="dxa"/>
            <w:noWrap w:val="0"/>
            <w:vAlign w:val="center"/>
          </w:tcPr>
          <w:p w14:paraId="247742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防雷装置</w:t>
            </w:r>
          </w:p>
        </w:tc>
        <w:tc>
          <w:tcPr>
            <w:tcW w:w="3219" w:type="dxa"/>
            <w:gridSpan w:val="2"/>
            <w:noWrap w:val="0"/>
            <w:vAlign w:val="center"/>
          </w:tcPr>
          <w:p w14:paraId="03C13A1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接闪针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接闪带</w:t>
            </w:r>
          </w:p>
          <w:p w14:paraId="2A95F00C">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暗敷</w:t>
            </w:r>
          </w:p>
        </w:tc>
      </w:tr>
      <w:tr w14:paraId="013E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437" w:type="pct"/>
            <w:gridSpan w:val="2"/>
            <w:vMerge w:val="continue"/>
            <w:noWrap w:val="0"/>
            <w:vAlign w:val="center"/>
          </w:tcPr>
          <w:p w14:paraId="01DAD5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C00000"/>
                <w:sz w:val="24"/>
                <w:szCs w:val="24"/>
                <w:lang w:val="en-US" w:eastAsia="zh-CN"/>
              </w:rPr>
            </w:pPr>
          </w:p>
        </w:tc>
        <w:tc>
          <w:tcPr>
            <w:tcW w:w="606" w:type="pct"/>
            <w:noWrap w:val="0"/>
            <w:vAlign w:val="center"/>
          </w:tcPr>
          <w:p w14:paraId="1E3EE1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C00000"/>
                <w:sz w:val="24"/>
                <w:szCs w:val="24"/>
                <w:lang w:val="en-US" w:eastAsia="zh-CN"/>
              </w:rPr>
            </w:pPr>
            <w:r>
              <w:rPr>
                <w:b/>
                <w:bCs/>
                <w:spacing w:val="17"/>
              </w:rPr>
              <w:t>毒性危害类别</w:t>
            </w:r>
          </w:p>
        </w:tc>
        <w:tc>
          <w:tcPr>
            <w:tcW w:w="1594" w:type="pct"/>
            <w:gridSpan w:val="2"/>
            <w:noWrap w:val="0"/>
            <w:vAlign w:val="center"/>
          </w:tcPr>
          <w:p w14:paraId="370C79FF">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类别1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 类别 2 </w:t>
            </w:r>
          </w:p>
          <w:p w14:paraId="0E50C8E2">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类别3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 类别 4</w:t>
            </w:r>
          </w:p>
          <w:p w14:paraId="204C2937">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ascii="仿宋_GB2312" w:hAnsi="等线" w:eastAsia="仿宋_GB2312" w:cs="等线"/>
                <w:color w:val="C00000"/>
                <w:kern w:val="0"/>
                <w:sz w:val="28"/>
                <w:szCs w:val="28"/>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类别5 及其他</w:t>
            </w:r>
          </w:p>
        </w:tc>
        <w:tc>
          <w:tcPr>
            <w:tcW w:w="1602" w:type="dxa"/>
            <w:noWrap w:val="0"/>
            <w:vAlign w:val="center"/>
          </w:tcPr>
          <w:p w14:paraId="5130A0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危险工艺</w:t>
            </w:r>
          </w:p>
        </w:tc>
        <w:tc>
          <w:tcPr>
            <w:tcW w:w="3219" w:type="dxa"/>
            <w:gridSpan w:val="2"/>
            <w:noWrap w:val="0"/>
            <w:vAlign w:val="center"/>
          </w:tcPr>
          <w:p w14:paraId="4D955F05">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不涉及</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连续操作</w:t>
            </w:r>
          </w:p>
          <w:p w14:paraId="5078D3DD">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间歇操作</w:t>
            </w:r>
          </w:p>
        </w:tc>
      </w:tr>
      <w:tr w14:paraId="57CF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043" w:type="pct"/>
            <w:gridSpan w:val="3"/>
            <w:noWrap w:val="0"/>
            <w:vAlign w:val="center"/>
          </w:tcPr>
          <w:p w14:paraId="2BED00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重大危险源</w:t>
            </w:r>
          </w:p>
        </w:tc>
        <w:tc>
          <w:tcPr>
            <w:tcW w:w="3956" w:type="pct"/>
            <w:gridSpan w:val="5"/>
            <w:noWrap w:val="0"/>
            <w:vAlign w:val="center"/>
          </w:tcPr>
          <w:p w14:paraId="75A5EF84">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ind w:firstLine="280" w:firstLineChars="100"/>
              <w:textAlignment w:val="auto"/>
              <w:rPr>
                <w:rFonts w:hint="default" w:eastAsia="仿宋_GB2312"/>
                <w:color w:val="auto"/>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一级</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 xml:space="preserve">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 xml:space="preserve">二级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三级</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 xml:space="preserve">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b/>
                <w:bCs/>
                <w:color w:val="auto"/>
                <w:kern w:val="2"/>
                <w:sz w:val="24"/>
                <w:szCs w:val="24"/>
                <w:lang w:val="en-US" w:eastAsia="zh-CN" w:bidi="ar-SA"/>
              </w:rPr>
              <w:t xml:space="preserve">四级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不涉及</w:t>
            </w:r>
          </w:p>
        </w:tc>
      </w:tr>
      <w:tr w14:paraId="3AF3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796" w:type="pct"/>
            <w:gridSpan w:val="4"/>
            <w:noWrap w:val="0"/>
            <w:vAlign w:val="center"/>
          </w:tcPr>
          <w:p w14:paraId="04D697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等线" w:eastAsia="仿宋_GB2312" w:cs="等线"/>
                <w:color w:val="auto"/>
                <w:kern w:val="0"/>
                <w:szCs w:val="28"/>
                <w:lang w:val="en-US"/>
              </w:rPr>
            </w:pPr>
            <w:r>
              <w:rPr>
                <w:rFonts w:hint="eastAsia" w:ascii="仿宋_GB2312" w:hAnsi="仿宋_GB2312" w:eastAsia="仿宋_GB2312" w:cs="仿宋_GB2312"/>
                <w:b/>
                <w:bCs/>
                <w:color w:val="auto"/>
                <w:sz w:val="24"/>
                <w:szCs w:val="24"/>
                <w:lang w:val="en-US" w:eastAsia="zh-CN"/>
              </w:rPr>
              <w:t>风险单元现场最大人</w:t>
            </w:r>
          </w:p>
        </w:tc>
        <w:tc>
          <w:tcPr>
            <w:tcW w:w="3203" w:type="pct"/>
            <w:gridSpan w:val="4"/>
            <w:noWrap w:val="0"/>
            <w:vAlign w:val="center"/>
          </w:tcPr>
          <w:p w14:paraId="6E91178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（0-10）人；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（10-30）人；</w:t>
            </w:r>
          </w:p>
          <w:p w14:paraId="10210EC0">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仿宋_GB2312" w:hAnsi="等线" w:eastAsia="仿宋_GB2312" w:cs="等线"/>
                <w:color w:val="auto"/>
                <w:kern w:val="0"/>
                <w:sz w:val="28"/>
                <w:szCs w:val="28"/>
                <w:lang w:val="en-US" w:eastAsia="zh-CN"/>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30人及以上</w:t>
            </w:r>
          </w:p>
        </w:tc>
      </w:tr>
      <w:tr w14:paraId="2926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jc w:val="center"/>
        </w:trPr>
        <w:tc>
          <w:tcPr>
            <w:tcW w:w="1043" w:type="pct"/>
            <w:gridSpan w:val="3"/>
            <w:noWrap w:val="0"/>
            <w:vAlign w:val="center"/>
          </w:tcPr>
          <w:p w14:paraId="4F58E9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b/>
                <w:bCs/>
                <w:color w:val="auto"/>
                <w:sz w:val="24"/>
                <w:szCs w:val="24"/>
                <w:u w:val="none"/>
                <w:lang w:val="en-US" w:eastAsia="zh-CN"/>
              </w:rPr>
              <w:t>区域建筑物</w:t>
            </w:r>
          </w:p>
        </w:tc>
        <w:tc>
          <w:tcPr>
            <w:tcW w:w="3956" w:type="pct"/>
            <w:gridSpan w:val="5"/>
            <w:noWrap w:val="0"/>
            <w:vAlign w:val="center"/>
          </w:tcPr>
          <w:p w14:paraId="020D63AA">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区域建筑物面积：</w:t>
            </w:r>
            <w:r>
              <w:rPr>
                <w:rFonts w:hint="eastAsia" w:ascii="仿宋_GB2312" w:hAnsi="仿宋_GB2312" w:eastAsia="仿宋_GB2312" w:cs="仿宋_GB2312"/>
                <w:color w:val="auto"/>
                <w:sz w:val="24"/>
                <w:szCs w:val="24"/>
                <w:u w:val="single"/>
                <w:lang w:val="en-US" w:eastAsia="zh-CN"/>
              </w:rPr>
              <w:t xml:space="preserve">  3886m</w:t>
            </w:r>
            <w:r>
              <w:rPr>
                <w:rFonts w:hint="eastAsia" w:ascii="仿宋_GB2312" w:hAnsi="仿宋_GB2312" w:eastAsia="仿宋_GB2312" w:cs="仿宋_GB2312"/>
                <w:color w:val="auto"/>
                <w:sz w:val="24"/>
                <w:szCs w:val="24"/>
                <w:u w:val="single"/>
                <w:vertAlign w:val="superscript"/>
                <w:lang w:val="en-US" w:eastAsia="zh-CN"/>
              </w:rPr>
              <w:t>2</w:t>
            </w:r>
            <w:r>
              <w:rPr>
                <w:rFonts w:hint="eastAsia" w:ascii="仿宋_GB2312" w:hAnsi="仿宋_GB2312" w:eastAsia="仿宋_GB2312" w:cs="仿宋_GB2312"/>
                <w:color w:val="auto"/>
                <w:sz w:val="24"/>
                <w:szCs w:val="24"/>
                <w:u w:val="single"/>
                <w:lang w:val="en-US" w:eastAsia="zh-CN"/>
              </w:rPr>
              <w:t xml:space="preserve">       </w:t>
            </w:r>
            <w:r>
              <w:rPr>
                <w:rFonts w:hint="eastAsia" w:ascii="仿宋_GB2312" w:hAnsi="仿宋_GB2312" w:eastAsia="仿宋_GB2312" w:cs="仿宋_GB2312"/>
                <w:color w:val="auto"/>
                <w:sz w:val="24"/>
                <w:szCs w:val="24"/>
                <w:u w:val="none"/>
                <w:lang w:val="en-US" w:eastAsia="zh-CN"/>
              </w:rPr>
              <w:t>；2、建筑高度：</w:t>
            </w:r>
            <w:r>
              <w:rPr>
                <w:rFonts w:hint="eastAsia" w:ascii="仿宋_GB2312" w:hAnsi="仿宋_GB2312" w:eastAsia="仿宋_GB2312" w:cs="仿宋_GB2312"/>
                <w:color w:val="auto"/>
                <w:sz w:val="24"/>
                <w:szCs w:val="24"/>
                <w:u w:val="single"/>
                <w:lang w:val="en-US" w:eastAsia="zh-CN"/>
              </w:rPr>
              <w:t xml:space="preserve">  39m      </w:t>
            </w:r>
            <w:r>
              <w:rPr>
                <w:rFonts w:hint="eastAsia" w:ascii="仿宋_GB2312" w:hAnsi="仿宋_GB2312" w:eastAsia="仿宋_GB2312" w:cs="仿宋_GB2312"/>
                <w:color w:val="auto"/>
                <w:sz w:val="24"/>
                <w:szCs w:val="24"/>
                <w:u w:val="none"/>
                <w:lang w:val="en-US" w:eastAsia="zh-CN"/>
              </w:rPr>
              <w:t>；</w:t>
            </w:r>
          </w:p>
          <w:p w14:paraId="3D4B1B4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3、等效高度：</w:t>
            </w:r>
            <w:r>
              <w:rPr>
                <w:rFonts w:hint="eastAsia" w:ascii="仿宋_GB2312" w:hAnsi="仿宋_GB2312" w:eastAsia="仿宋_GB2312" w:cs="仿宋_GB2312"/>
                <w:color w:val="auto"/>
                <w:sz w:val="24"/>
                <w:szCs w:val="24"/>
                <w:u w:val="single"/>
                <w:lang w:val="en-US" w:eastAsia="zh-CN"/>
              </w:rPr>
              <w:t xml:space="preserve">   40m      </w:t>
            </w:r>
            <w:r>
              <w:rPr>
                <w:rFonts w:hint="eastAsia" w:ascii="仿宋_GB2312" w:hAnsi="仿宋_GB2312" w:eastAsia="仿宋_GB2312" w:cs="仿宋_GB2312"/>
                <w:color w:val="auto"/>
                <w:sz w:val="24"/>
                <w:szCs w:val="24"/>
                <w:u w:val="none"/>
                <w:lang w:val="en-US" w:eastAsia="zh-CN"/>
              </w:rPr>
              <w:t>； 4、相对高度：</w:t>
            </w:r>
            <w:r>
              <w:rPr>
                <w:rFonts w:hint="eastAsia" w:ascii="仿宋_GB2312" w:hAnsi="仿宋_GB2312" w:eastAsia="仿宋_GB2312" w:cs="仿宋_GB2312"/>
                <w:color w:val="auto"/>
                <w:sz w:val="24"/>
                <w:szCs w:val="24"/>
                <w:u w:val="single"/>
                <w:lang w:val="en-US" w:eastAsia="zh-CN"/>
              </w:rPr>
              <w:t xml:space="preserve">  39m     </w:t>
            </w:r>
            <w:r>
              <w:rPr>
                <w:rFonts w:hint="eastAsia" w:ascii="仿宋_GB2312" w:hAnsi="仿宋_GB2312" w:eastAsia="仿宋_GB2312" w:cs="仿宋_GB2312"/>
                <w:color w:val="auto"/>
                <w:sz w:val="24"/>
                <w:szCs w:val="24"/>
                <w:u w:val="none"/>
                <w:lang w:val="en-US" w:eastAsia="zh-CN"/>
              </w:rPr>
              <w:t>。</w:t>
            </w:r>
          </w:p>
        </w:tc>
      </w:tr>
      <w:tr w14:paraId="77AA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 w:hRule="atLeast"/>
          <w:jc w:val="center"/>
        </w:trPr>
        <w:tc>
          <w:tcPr>
            <w:tcW w:w="1043" w:type="pct"/>
            <w:gridSpan w:val="3"/>
            <w:noWrap w:val="0"/>
            <w:vAlign w:val="center"/>
          </w:tcPr>
          <w:p w14:paraId="295F89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周边地理情况</w:t>
            </w:r>
          </w:p>
        </w:tc>
        <w:tc>
          <w:tcPr>
            <w:tcW w:w="3956" w:type="pct"/>
            <w:gridSpan w:val="5"/>
            <w:noWrap w:val="0"/>
            <w:vAlign w:val="center"/>
          </w:tcPr>
          <w:p w14:paraId="3C9056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rPr>
              <w:t>地势情况：</w:t>
            </w:r>
            <w:r>
              <w:rPr>
                <w:rFonts w:hint="eastAsia" w:ascii="仿宋_GB2312" w:hAnsi="仿宋_GB2312" w:eastAsia="仿宋_GB2312" w:cs="仿宋_GB2312"/>
                <w:color w:val="auto"/>
                <w:sz w:val="24"/>
                <w:szCs w:val="24"/>
                <w:lang w:val="en-US" w:eastAsia="zh-CN"/>
              </w:rPr>
              <w:t xml:space="preserve">  </w:t>
            </w:r>
          </w:p>
          <w:p w14:paraId="1F1219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周边高层建筑物；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 xml:space="preserve">临海；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山坡</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孤立空旷；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高大树木遮挡；</w:t>
            </w:r>
          </w:p>
          <w:p w14:paraId="74C40C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rPr>
              <w:t>最近直线距离的公共区域</w:t>
            </w:r>
            <w:r>
              <w:rPr>
                <w:rFonts w:hint="eastAsia" w:ascii="仿宋_GB2312" w:hAnsi="仿宋_GB2312" w:eastAsia="仿宋_GB2312" w:cs="仿宋_GB2312"/>
                <w:b/>
                <w:bCs/>
                <w:color w:val="auto"/>
                <w:sz w:val="24"/>
                <w:szCs w:val="24"/>
                <w:lang w:eastAsia="zh-CN"/>
              </w:rPr>
              <w:t>：</w:t>
            </w:r>
          </w:p>
          <w:p w14:paraId="2603E7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黑体" w:cs="仿宋_GB2312"/>
                <w:color w:val="auto"/>
                <w:sz w:val="24"/>
                <w:szCs w:val="24"/>
                <w:u w:val="single"/>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学校</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机场</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小区</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加（充）油（气）站；</w:t>
            </w:r>
            <w:r>
              <w:rPr>
                <w:rFonts w:hint="eastAsia" w:ascii="仿宋_GB2312" w:hAnsi="仿宋_GB2312" w:eastAsia="仿宋_GB2312" w:cs="仿宋_GB2312"/>
                <w:color w:val="auto"/>
                <w:sz w:val="24"/>
                <w:szCs w:val="24"/>
                <w:u w:val="none"/>
                <w:lang w:val="en-US" w:eastAsia="zh-CN"/>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其它</w:t>
            </w:r>
          </w:p>
        </w:tc>
      </w:tr>
      <w:tr w14:paraId="7905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043" w:type="pct"/>
            <w:gridSpan w:val="3"/>
            <w:noWrap w:val="0"/>
            <w:vAlign w:val="center"/>
          </w:tcPr>
          <w:p w14:paraId="388295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是否</w:t>
            </w:r>
            <w:r>
              <w:rPr>
                <w:rFonts w:hint="eastAsia" w:ascii="仿宋_GB2312" w:hAnsi="仿宋_GB2312" w:eastAsia="仿宋_GB2312" w:cs="仿宋_GB2312"/>
                <w:b/>
                <w:bCs/>
                <w:color w:val="auto"/>
                <w:sz w:val="24"/>
                <w:szCs w:val="24"/>
                <w:lang w:eastAsia="zh-CN"/>
              </w:rPr>
              <w:t>有</w:t>
            </w:r>
            <w:r>
              <w:rPr>
                <w:rFonts w:hint="eastAsia" w:ascii="仿宋_GB2312" w:hAnsi="仿宋_GB2312" w:eastAsia="仿宋_GB2312" w:cs="仿宋_GB2312"/>
                <w:b/>
                <w:bCs/>
                <w:color w:val="auto"/>
                <w:sz w:val="24"/>
                <w:szCs w:val="24"/>
              </w:rPr>
              <w:t>历史灾情</w:t>
            </w:r>
          </w:p>
        </w:tc>
        <w:tc>
          <w:tcPr>
            <w:tcW w:w="3956" w:type="pct"/>
            <w:gridSpan w:val="5"/>
            <w:noWrap w:val="0"/>
            <w:vAlign w:val="center"/>
          </w:tcPr>
          <w:p w14:paraId="7953A1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b w:val="0"/>
                <w:bCs w:val="0"/>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b w:val="0"/>
                <w:bCs w:val="0"/>
                <w:color w:val="auto"/>
                <w:sz w:val="24"/>
                <w:szCs w:val="24"/>
              </w:rPr>
              <w:t xml:space="preserve">有    </w:t>
            </w:r>
            <w:r>
              <w:rPr>
                <w:rFonts w:ascii="仿宋_GB2312" w:hAnsi="等线" w:eastAsia="仿宋_GB2312" w:cs="等线"/>
                <w:color w:val="auto"/>
                <w:kern w:val="0"/>
                <w:sz w:val="28"/>
                <w:szCs w:val="28"/>
              </w:rPr>
              <w:sym w:font="Wingdings" w:char="00FE"/>
            </w:r>
            <w:r>
              <w:rPr>
                <w:rFonts w:hint="eastAsia" w:ascii="黑体" w:hAnsi="黑体" w:eastAsia="黑体"/>
                <w:b w:val="0"/>
                <w:bCs w:val="0"/>
                <w:color w:val="auto"/>
                <w:sz w:val="24"/>
                <w:szCs w:val="24"/>
              </w:rPr>
              <w:t>无</w:t>
            </w:r>
          </w:p>
          <w:p w14:paraId="07A882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rPr>
              <w:t>描述内容：</w:t>
            </w:r>
            <w:r>
              <w:rPr>
                <w:rFonts w:hint="eastAsia" w:ascii="仿宋_GB2312" w:hAnsi="仿宋_GB2312" w:eastAsia="仿宋_GB2312" w:cs="仿宋_GB2312"/>
                <w:color w:val="000000"/>
                <w:sz w:val="24"/>
                <w:szCs w:val="24"/>
                <w:u w:val="none"/>
                <w:lang w:val="en-US" w:eastAsia="zh-CN"/>
              </w:rPr>
              <w:t xml:space="preserve">无 </w:t>
            </w:r>
            <w:r>
              <w:rPr>
                <w:rFonts w:hint="eastAsia" w:ascii="仿宋_GB2312" w:hAnsi="仿宋_GB2312" w:eastAsia="仿宋_GB2312" w:cs="仿宋_GB2312"/>
                <w:color w:val="auto"/>
                <w:sz w:val="24"/>
                <w:szCs w:val="24"/>
                <w:u w:val="none"/>
                <w:lang w:val="en-US" w:eastAsia="zh-CN"/>
              </w:rPr>
              <w:t xml:space="preserve">                                                                                                       </w:t>
            </w:r>
          </w:p>
        </w:tc>
      </w:tr>
    </w:tbl>
    <w:p w14:paraId="5B27D871">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lang w:val="en-US" w:eastAsia="zh-CN"/>
        </w:rPr>
      </w:pPr>
      <w:r>
        <w:rPr>
          <w:rFonts w:hint="eastAsia" w:cs="Times New Roman"/>
          <w:b/>
          <w:sz w:val="32"/>
          <w:szCs w:val="20"/>
          <w:lang w:val="en-US" w:eastAsia="zh-CN"/>
        </w:rPr>
        <w:t>附件2：防雷重点单位风险评估法</w:t>
      </w:r>
    </w:p>
    <w:p w14:paraId="2AF413D8">
      <w:pPr>
        <w:bidi w:val="0"/>
        <w:spacing w:line="360" w:lineRule="auto"/>
        <w:jc w:val="center"/>
        <w:rPr>
          <w:rFonts w:hint="default" w:cs="Times New Roman"/>
          <w:b/>
          <w:sz w:val="32"/>
          <w:szCs w:val="32"/>
          <w:lang w:val="en-US" w:eastAsia="zh-CN"/>
        </w:rPr>
      </w:pPr>
      <w:r>
        <w:rPr>
          <w:rFonts w:hint="eastAsia" w:ascii="黑体" w:hAnsi="黑体" w:eastAsia="黑体" w:cs="黑体"/>
          <w:b/>
          <w:bCs/>
          <w:sz w:val="40"/>
          <w:szCs w:val="48"/>
          <w:lang w:val="en-US" w:eastAsia="zh-CN"/>
        </w:rPr>
        <w:t>防雷重点单位风险评估法</w:t>
      </w:r>
    </w:p>
    <w:p w14:paraId="2B626674">
      <w:pPr>
        <w:pStyle w:val="3"/>
        <w:bidi w:val="0"/>
        <w:ind w:firstLine="643" w:firstLineChars="200"/>
        <w:rPr>
          <w:rFonts w:hint="eastAsia"/>
          <w:lang w:val="en-US" w:eastAsia="zh-CN"/>
        </w:rPr>
      </w:pPr>
      <w:r>
        <w:rPr>
          <w:rFonts w:hint="eastAsia"/>
          <w:lang w:val="en-US" w:eastAsia="zh-CN"/>
        </w:rPr>
        <w:t>1、雷电灾害事故发生可能性评估（L）</w:t>
      </w:r>
    </w:p>
    <w:p w14:paraId="27077F73">
      <w:pPr>
        <w:pStyle w:val="14"/>
        <w:keepNext w:val="0"/>
        <w:keepLines w:val="0"/>
        <w:pageBreakBefore w:val="0"/>
        <w:widowControl w:val="0"/>
        <w:kinsoku/>
        <w:wordWrap/>
        <w:overflowPunct/>
        <w:topLinePunct w:val="0"/>
        <w:autoSpaceDE/>
        <w:autoSpaceDN/>
        <w:bidi w:val="0"/>
        <w:adjustRightInd/>
        <w:snapToGrid/>
        <w:spacing w:line="360" w:lineRule="auto"/>
        <w:ind w:left="193"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雷电灾害事故发生可能性（L），主要考察雷击发生可能性等级（L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）、雷电防护装置现状(L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)、防雷安全管理制度建立及执行情况（L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）三个部分，最后按公式（</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）。赋值与计算方法如下：</w:t>
      </w:r>
    </w:p>
    <w:p w14:paraId="123042A1">
      <w:pPr>
        <w:jc w:val="center"/>
        <w:rPr>
          <w:rFonts w:hint="eastAsia" w:ascii="微软雅黑" w:hAnsi="微软雅黑" w:eastAsia="微软雅黑" w:cs="微软雅黑"/>
          <w:snapToGrid w:val="0"/>
          <w:color w:val="000000"/>
          <w:spacing w:val="11"/>
          <w:kern w:val="0"/>
          <w:sz w:val="28"/>
          <w:szCs w:val="28"/>
          <w:lang w:val="en-US" w:eastAsia="zh-CN" w:bidi="ar-SA"/>
        </w:rPr>
      </w:pPr>
      <w:r>
        <w:rPr>
          <w:rFonts w:hint="eastAsia" w:ascii="微软雅黑" w:hAnsi="微软雅黑" w:eastAsia="微软雅黑" w:cs="微软雅黑"/>
          <w:snapToGrid w:val="0"/>
          <w:color w:val="000000"/>
          <w:spacing w:val="11"/>
          <w:kern w:val="0"/>
          <w:sz w:val="28"/>
          <w:szCs w:val="28"/>
          <w:lang w:val="en-US" w:eastAsia="zh-CN" w:bidi="ar-SA"/>
        </w:rPr>
        <w:t>表 A.1 雷电灾害事故发生可能性评价因子赋值</w:t>
      </w:r>
    </w:p>
    <w:tbl>
      <w:tblPr>
        <w:tblStyle w:val="15"/>
        <w:tblW w:w="995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5"/>
        <w:gridCol w:w="1570"/>
        <w:gridCol w:w="1609"/>
        <w:gridCol w:w="1705"/>
        <w:gridCol w:w="682"/>
        <w:gridCol w:w="654"/>
        <w:gridCol w:w="682"/>
        <w:gridCol w:w="764"/>
      </w:tblGrid>
      <w:tr w14:paraId="77BF50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1" w:hRule="atLeast"/>
          <w:jc w:val="center"/>
        </w:trPr>
        <w:tc>
          <w:tcPr>
            <w:tcW w:w="2285" w:type="dxa"/>
            <w:vMerge w:val="restart"/>
            <w:tcBorders>
              <w:top w:val="single" w:color="000000" w:sz="6" w:space="0"/>
              <w:left w:val="single" w:color="000000" w:sz="6" w:space="0"/>
              <w:bottom w:val="nil"/>
            </w:tcBorders>
            <w:noWrap w:val="0"/>
            <w:vAlign w:val="center"/>
          </w:tcPr>
          <w:p w14:paraId="511A64AB">
            <w:pPr>
              <w:jc w:val="center"/>
              <w:rPr>
                <w:rFonts w:hint="eastAsia" w:ascii="仿宋" w:hAnsi="仿宋" w:eastAsia="仿宋" w:cs="仿宋"/>
                <w:b/>
                <w:bCs/>
                <w:sz w:val="24"/>
                <w:szCs w:val="32"/>
              </w:rPr>
            </w:pPr>
            <w:r>
              <w:rPr>
                <w:rFonts w:hint="eastAsia" w:ascii="仿宋" w:hAnsi="仿宋" w:eastAsia="仿宋" w:cs="仿宋"/>
                <w:b/>
                <w:bCs/>
                <w:sz w:val="24"/>
                <w:szCs w:val="32"/>
              </w:rPr>
              <w:t>评价因子</w:t>
            </w:r>
          </w:p>
        </w:tc>
        <w:tc>
          <w:tcPr>
            <w:tcW w:w="4884" w:type="dxa"/>
            <w:gridSpan w:val="3"/>
            <w:tcBorders>
              <w:top w:val="single" w:color="000000" w:sz="6" w:space="0"/>
            </w:tcBorders>
            <w:noWrap w:val="0"/>
            <w:vAlign w:val="center"/>
          </w:tcPr>
          <w:p w14:paraId="0E9ADC60">
            <w:pPr>
              <w:jc w:val="center"/>
              <w:rPr>
                <w:rFonts w:hint="eastAsia" w:ascii="仿宋" w:hAnsi="仿宋" w:eastAsia="仿宋" w:cs="仿宋"/>
                <w:b/>
                <w:bCs/>
                <w:sz w:val="24"/>
                <w:szCs w:val="32"/>
              </w:rPr>
            </w:pPr>
            <w:r>
              <w:rPr>
                <w:rFonts w:hint="eastAsia" w:ascii="仿宋" w:hAnsi="仿宋" w:eastAsia="仿宋" w:cs="仿宋"/>
                <w:b/>
                <w:bCs/>
                <w:sz w:val="24"/>
                <w:szCs w:val="32"/>
              </w:rPr>
              <w:t>赋值</w:t>
            </w:r>
          </w:p>
        </w:tc>
        <w:tc>
          <w:tcPr>
            <w:tcW w:w="682" w:type="dxa"/>
            <w:vMerge w:val="restart"/>
            <w:tcBorders>
              <w:top w:val="single" w:color="000000" w:sz="6" w:space="0"/>
              <w:bottom w:val="nil"/>
              <w:right w:val="single" w:color="000000" w:sz="6" w:space="0"/>
            </w:tcBorders>
            <w:noWrap w:val="0"/>
            <w:vAlign w:val="center"/>
          </w:tcPr>
          <w:p w14:paraId="601CEC93">
            <w:pPr>
              <w:jc w:val="center"/>
              <w:rPr>
                <w:rFonts w:hint="eastAsia" w:ascii="仿宋" w:hAnsi="仿宋" w:eastAsia="仿宋" w:cs="仿宋"/>
                <w:b/>
                <w:bCs/>
                <w:sz w:val="24"/>
                <w:szCs w:val="32"/>
              </w:rPr>
            </w:pPr>
            <w:r>
              <w:rPr>
                <w:rFonts w:hint="eastAsia" w:ascii="仿宋" w:hAnsi="仿宋" w:eastAsia="仿宋" w:cs="仿宋"/>
                <w:b/>
                <w:bCs/>
                <w:sz w:val="24"/>
                <w:szCs w:val="32"/>
              </w:rPr>
              <w:t>Ln</w:t>
            </w:r>
          </w:p>
        </w:tc>
        <w:tc>
          <w:tcPr>
            <w:tcW w:w="1336" w:type="dxa"/>
            <w:gridSpan w:val="2"/>
            <w:vMerge w:val="restart"/>
            <w:tcBorders>
              <w:top w:val="single" w:color="000000" w:sz="6" w:space="0"/>
              <w:right w:val="single" w:color="000000" w:sz="6" w:space="0"/>
            </w:tcBorders>
            <w:noWrap w:val="0"/>
            <w:vAlign w:val="center"/>
          </w:tcPr>
          <w:p w14:paraId="2417A2FA">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权重</w:t>
            </w:r>
          </w:p>
          <w:p w14:paraId="1CFE659C">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赋值（W）</w:t>
            </w:r>
          </w:p>
        </w:tc>
        <w:tc>
          <w:tcPr>
            <w:tcW w:w="764" w:type="dxa"/>
            <w:vMerge w:val="restart"/>
            <w:tcBorders>
              <w:top w:val="single" w:color="000000" w:sz="6" w:space="0"/>
              <w:right w:val="single" w:color="000000" w:sz="6" w:space="0"/>
            </w:tcBorders>
            <w:noWrap w:val="0"/>
            <w:vAlign w:val="center"/>
          </w:tcPr>
          <w:p w14:paraId="0DD7D93B">
            <w:pPr>
              <w:jc w:val="center"/>
              <w:rPr>
                <w:rFonts w:hint="default" w:ascii="仿宋" w:hAnsi="仿宋" w:eastAsia="仿宋" w:cs="仿宋"/>
                <w:b/>
                <w:bCs/>
                <w:sz w:val="24"/>
                <w:szCs w:val="32"/>
                <w:lang w:val="en-US" w:eastAsia="zh-CN"/>
              </w:rPr>
            </w:pPr>
            <w:r>
              <w:rPr>
                <w:rFonts w:hint="eastAsia" w:ascii="仿宋" w:hAnsi="仿宋" w:eastAsia="仿宋" w:cs="仿宋"/>
                <w:b/>
                <w:bCs/>
                <w:sz w:val="24"/>
                <w:szCs w:val="32"/>
                <w:lang w:val="en-US" w:eastAsia="zh-CN"/>
              </w:rPr>
              <w:t>分值</w:t>
            </w:r>
          </w:p>
        </w:tc>
      </w:tr>
      <w:tr w14:paraId="583BC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2285" w:type="dxa"/>
            <w:vMerge w:val="continue"/>
            <w:tcBorders>
              <w:top w:val="nil"/>
              <w:left w:val="single" w:color="000000" w:sz="6" w:space="0"/>
              <w:bottom w:val="single" w:color="000000" w:sz="6" w:space="0"/>
            </w:tcBorders>
            <w:noWrap w:val="0"/>
            <w:vAlign w:val="center"/>
          </w:tcPr>
          <w:p w14:paraId="56299D9B">
            <w:pPr>
              <w:jc w:val="center"/>
              <w:rPr>
                <w:rFonts w:hint="eastAsia" w:ascii="仿宋" w:hAnsi="仿宋" w:eastAsia="仿宋" w:cs="仿宋"/>
                <w:b/>
                <w:bCs/>
                <w:sz w:val="24"/>
                <w:szCs w:val="32"/>
              </w:rPr>
            </w:pPr>
          </w:p>
        </w:tc>
        <w:tc>
          <w:tcPr>
            <w:tcW w:w="1570" w:type="dxa"/>
            <w:tcBorders>
              <w:bottom w:val="single" w:color="000000" w:sz="6" w:space="0"/>
            </w:tcBorders>
            <w:noWrap w:val="0"/>
            <w:vAlign w:val="center"/>
          </w:tcPr>
          <w:p w14:paraId="503FCE26">
            <w:pPr>
              <w:jc w:val="center"/>
              <w:rPr>
                <w:rFonts w:hint="eastAsia" w:ascii="仿宋" w:hAnsi="仿宋" w:eastAsia="仿宋" w:cs="仿宋"/>
                <w:b/>
                <w:bCs/>
                <w:sz w:val="24"/>
                <w:szCs w:val="32"/>
              </w:rPr>
            </w:pPr>
            <w:r>
              <w:rPr>
                <w:rFonts w:hint="eastAsia" w:ascii="仿宋" w:hAnsi="仿宋" w:eastAsia="仿宋" w:cs="仿宋"/>
                <w:b/>
                <w:bCs/>
                <w:sz w:val="24"/>
                <w:szCs w:val="32"/>
              </w:rPr>
              <w:t>1</w:t>
            </w:r>
          </w:p>
        </w:tc>
        <w:tc>
          <w:tcPr>
            <w:tcW w:w="1609" w:type="dxa"/>
            <w:tcBorders>
              <w:bottom w:val="single" w:color="000000" w:sz="6" w:space="0"/>
            </w:tcBorders>
            <w:noWrap w:val="0"/>
            <w:vAlign w:val="center"/>
          </w:tcPr>
          <w:p w14:paraId="5D120901">
            <w:pPr>
              <w:jc w:val="center"/>
              <w:rPr>
                <w:rFonts w:hint="eastAsia" w:ascii="仿宋" w:hAnsi="仿宋" w:eastAsia="仿宋" w:cs="仿宋"/>
                <w:b/>
                <w:bCs/>
                <w:sz w:val="24"/>
                <w:szCs w:val="32"/>
              </w:rPr>
            </w:pPr>
            <w:r>
              <w:rPr>
                <w:rFonts w:hint="eastAsia" w:ascii="仿宋" w:hAnsi="仿宋" w:eastAsia="仿宋" w:cs="仿宋"/>
                <w:b/>
                <w:bCs/>
                <w:sz w:val="24"/>
                <w:szCs w:val="32"/>
              </w:rPr>
              <w:t>2</w:t>
            </w:r>
          </w:p>
        </w:tc>
        <w:tc>
          <w:tcPr>
            <w:tcW w:w="1705" w:type="dxa"/>
            <w:tcBorders>
              <w:bottom w:val="single" w:color="000000" w:sz="6" w:space="0"/>
            </w:tcBorders>
            <w:noWrap w:val="0"/>
            <w:vAlign w:val="center"/>
          </w:tcPr>
          <w:p w14:paraId="5A3CF30F">
            <w:pPr>
              <w:jc w:val="center"/>
              <w:rPr>
                <w:rFonts w:hint="eastAsia" w:ascii="仿宋" w:hAnsi="仿宋" w:eastAsia="仿宋" w:cs="仿宋"/>
                <w:b/>
                <w:bCs/>
                <w:sz w:val="24"/>
                <w:szCs w:val="32"/>
              </w:rPr>
            </w:pPr>
            <w:r>
              <w:rPr>
                <w:rFonts w:hint="eastAsia" w:ascii="仿宋" w:hAnsi="仿宋" w:eastAsia="仿宋" w:cs="仿宋"/>
                <w:b/>
                <w:bCs/>
                <w:sz w:val="24"/>
                <w:szCs w:val="32"/>
              </w:rPr>
              <w:t>3</w:t>
            </w:r>
          </w:p>
        </w:tc>
        <w:tc>
          <w:tcPr>
            <w:tcW w:w="682" w:type="dxa"/>
            <w:vMerge w:val="continue"/>
            <w:tcBorders>
              <w:top w:val="nil"/>
              <w:bottom w:val="single" w:color="000000" w:sz="6" w:space="0"/>
              <w:right w:val="single" w:color="000000" w:sz="6" w:space="0"/>
            </w:tcBorders>
            <w:noWrap w:val="0"/>
            <w:vAlign w:val="center"/>
          </w:tcPr>
          <w:p w14:paraId="103DEDCD">
            <w:pPr>
              <w:jc w:val="center"/>
              <w:rPr>
                <w:rFonts w:hint="eastAsia" w:ascii="仿宋" w:hAnsi="仿宋" w:eastAsia="仿宋" w:cs="仿宋"/>
                <w:sz w:val="24"/>
                <w:szCs w:val="32"/>
              </w:rPr>
            </w:pPr>
          </w:p>
        </w:tc>
        <w:tc>
          <w:tcPr>
            <w:tcW w:w="1336" w:type="dxa"/>
            <w:gridSpan w:val="2"/>
            <w:vMerge w:val="continue"/>
            <w:tcBorders>
              <w:bottom w:val="single" w:color="000000" w:sz="6" w:space="0"/>
              <w:right w:val="single" w:color="000000" w:sz="6" w:space="0"/>
            </w:tcBorders>
            <w:noWrap w:val="0"/>
            <w:vAlign w:val="center"/>
          </w:tcPr>
          <w:p w14:paraId="4FC526E2">
            <w:pPr>
              <w:jc w:val="center"/>
              <w:rPr>
                <w:rFonts w:hint="eastAsia" w:ascii="仿宋" w:hAnsi="仿宋" w:eastAsia="仿宋" w:cs="仿宋"/>
                <w:sz w:val="24"/>
                <w:szCs w:val="32"/>
              </w:rPr>
            </w:pPr>
          </w:p>
        </w:tc>
        <w:tc>
          <w:tcPr>
            <w:tcW w:w="764" w:type="dxa"/>
            <w:vMerge w:val="continue"/>
            <w:tcBorders>
              <w:bottom w:val="single" w:color="000000" w:sz="6" w:space="0"/>
              <w:right w:val="single" w:color="000000" w:sz="6" w:space="0"/>
            </w:tcBorders>
            <w:noWrap w:val="0"/>
            <w:vAlign w:val="center"/>
          </w:tcPr>
          <w:p w14:paraId="62E1104F">
            <w:pPr>
              <w:jc w:val="center"/>
              <w:rPr>
                <w:rFonts w:hint="eastAsia" w:ascii="仿宋" w:hAnsi="仿宋" w:eastAsia="仿宋" w:cs="仿宋"/>
                <w:sz w:val="24"/>
                <w:szCs w:val="32"/>
              </w:rPr>
            </w:pPr>
          </w:p>
        </w:tc>
      </w:tr>
      <w:tr w14:paraId="5004D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85" w:type="dxa"/>
            <w:tcBorders>
              <w:top w:val="single" w:color="000000" w:sz="6" w:space="0"/>
              <w:left w:val="single" w:color="000000" w:sz="6" w:space="0"/>
            </w:tcBorders>
            <w:noWrap w:val="0"/>
            <w:vAlign w:val="center"/>
          </w:tcPr>
          <w:p w14:paraId="20F6FB80">
            <w:pPr>
              <w:jc w:val="center"/>
              <w:rPr>
                <w:rFonts w:hint="eastAsia" w:ascii="仿宋" w:hAnsi="仿宋" w:eastAsia="仿宋" w:cs="仿宋"/>
                <w:b/>
                <w:bCs/>
                <w:sz w:val="24"/>
                <w:szCs w:val="32"/>
              </w:rPr>
            </w:pPr>
            <w:r>
              <w:rPr>
                <w:rFonts w:hint="eastAsia" w:ascii="仿宋" w:hAnsi="仿宋" w:eastAsia="仿宋" w:cs="仿宋"/>
                <w:b/>
                <w:bCs/>
                <w:sz w:val="24"/>
                <w:szCs w:val="32"/>
              </w:rPr>
              <w:t>雷击发生可能性等级</w:t>
            </w:r>
          </w:p>
        </w:tc>
        <w:tc>
          <w:tcPr>
            <w:tcW w:w="1570" w:type="dxa"/>
            <w:tcBorders>
              <w:top w:val="single" w:color="000000" w:sz="6" w:space="0"/>
            </w:tcBorders>
            <w:noWrap w:val="0"/>
            <w:vAlign w:val="center"/>
          </w:tcPr>
          <w:p w14:paraId="3B5D93AB">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Ⅲ</w:t>
            </w:r>
          </w:p>
        </w:tc>
        <w:tc>
          <w:tcPr>
            <w:tcW w:w="1609" w:type="dxa"/>
            <w:tcBorders>
              <w:top w:val="single" w:color="000000" w:sz="6" w:space="0"/>
            </w:tcBorders>
            <w:noWrap w:val="0"/>
            <w:vAlign w:val="center"/>
          </w:tcPr>
          <w:p w14:paraId="07DB9F42">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Ⅱ</w:t>
            </w:r>
          </w:p>
        </w:tc>
        <w:tc>
          <w:tcPr>
            <w:tcW w:w="1705" w:type="dxa"/>
            <w:tcBorders>
              <w:top w:val="single" w:color="000000" w:sz="6" w:space="0"/>
            </w:tcBorders>
            <w:noWrap w:val="0"/>
            <w:vAlign w:val="center"/>
          </w:tcPr>
          <w:p w14:paraId="02E31D90">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I</w:t>
            </w:r>
          </w:p>
        </w:tc>
        <w:tc>
          <w:tcPr>
            <w:tcW w:w="682" w:type="dxa"/>
            <w:tcBorders>
              <w:top w:val="single" w:color="000000" w:sz="6" w:space="0"/>
              <w:right w:val="single" w:color="000000" w:sz="6" w:space="0"/>
            </w:tcBorders>
            <w:noWrap w:val="0"/>
            <w:vAlign w:val="center"/>
          </w:tcPr>
          <w:p w14:paraId="178B14F2">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1</w:t>
            </w:r>
          </w:p>
        </w:tc>
        <w:tc>
          <w:tcPr>
            <w:tcW w:w="654" w:type="dxa"/>
            <w:tcBorders>
              <w:top w:val="single" w:color="000000" w:sz="6" w:space="0"/>
              <w:right w:val="single" w:color="000000" w:sz="6" w:space="0"/>
            </w:tcBorders>
            <w:noWrap w:val="0"/>
            <w:vAlign w:val="center"/>
          </w:tcPr>
          <w:p w14:paraId="51821028">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1</w:t>
            </w:r>
          </w:p>
        </w:tc>
        <w:tc>
          <w:tcPr>
            <w:tcW w:w="682" w:type="dxa"/>
            <w:tcBorders>
              <w:top w:val="single" w:color="000000" w:sz="6" w:space="0"/>
              <w:right w:val="single" w:color="000000" w:sz="6" w:space="0"/>
            </w:tcBorders>
            <w:noWrap w:val="0"/>
            <w:vAlign w:val="center"/>
          </w:tcPr>
          <w:p w14:paraId="7D8D99CD">
            <w:pPr>
              <w:jc w:val="cente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0.2</w:t>
            </w:r>
          </w:p>
        </w:tc>
        <w:tc>
          <w:tcPr>
            <w:tcW w:w="764" w:type="dxa"/>
            <w:tcBorders>
              <w:top w:val="single" w:color="000000" w:sz="6" w:space="0"/>
              <w:right w:val="single" w:color="000000" w:sz="6" w:space="0"/>
            </w:tcBorders>
            <w:noWrap w:val="0"/>
            <w:vAlign w:val="center"/>
          </w:tcPr>
          <w:p w14:paraId="071A464B">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0.2</w:t>
            </w:r>
          </w:p>
        </w:tc>
      </w:tr>
      <w:tr w14:paraId="7FFDC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jc w:val="center"/>
        </w:trPr>
        <w:tc>
          <w:tcPr>
            <w:tcW w:w="2285" w:type="dxa"/>
            <w:tcBorders>
              <w:left w:val="single" w:color="000000" w:sz="6" w:space="0"/>
            </w:tcBorders>
            <w:noWrap w:val="0"/>
            <w:vAlign w:val="center"/>
          </w:tcPr>
          <w:p w14:paraId="38D64040">
            <w:pPr>
              <w:jc w:val="center"/>
              <w:rPr>
                <w:rFonts w:hint="eastAsia" w:ascii="仿宋" w:hAnsi="仿宋" w:eastAsia="仿宋" w:cs="仿宋"/>
                <w:b/>
                <w:bCs/>
                <w:sz w:val="24"/>
                <w:szCs w:val="32"/>
              </w:rPr>
            </w:pPr>
            <w:r>
              <w:rPr>
                <w:rFonts w:hint="eastAsia" w:ascii="仿宋" w:hAnsi="仿宋" w:eastAsia="仿宋" w:cs="仿宋"/>
                <w:b/>
                <w:bCs/>
                <w:sz w:val="24"/>
                <w:szCs w:val="32"/>
              </w:rPr>
              <w:t>雷电防护装置现状</w:t>
            </w:r>
          </w:p>
        </w:tc>
        <w:tc>
          <w:tcPr>
            <w:tcW w:w="1570" w:type="dxa"/>
            <w:noWrap w:val="0"/>
            <w:vAlign w:val="center"/>
          </w:tcPr>
          <w:p w14:paraId="40347BD7">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雷电防护装置正常运行</w:t>
            </w:r>
          </w:p>
        </w:tc>
        <w:tc>
          <w:tcPr>
            <w:tcW w:w="1609" w:type="dxa"/>
            <w:noWrap w:val="0"/>
            <w:vAlign w:val="center"/>
          </w:tcPr>
          <w:p w14:paraId="1DE6AAB4">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雷电防护装置存在隐患</w:t>
            </w:r>
          </w:p>
        </w:tc>
        <w:tc>
          <w:tcPr>
            <w:tcW w:w="1705" w:type="dxa"/>
            <w:noWrap w:val="0"/>
            <w:vAlign w:val="center"/>
          </w:tcPr>
          <w:p w14:paraId="1806088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雷电防护装置缺失或失效</w:t>
            </w:r>
          </w:p>
        </w:tc>
        <w:tc>
          <w:tcPr>
            <w:tcW w:w="682" w:type="dxa"/>
            <w:tcBorders>
              <w:right w:val="single" w:color="000000" w:sz="6" w:space="0"/>
            </w:tcBorders>
            <w:noWrap w:val="0"/>
            <w:vAlign w:val="center"/>
          </w:tcPr>
          <w:p w14:paraId="23B03B16">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2</w:t>
            </w:r>
          </w:p>
        </w:tc>
        <w:tc>
          <w:tcPr>
            <w:tcW w:w="654" w:type="dxa"/>
            <w:tcBorders>
              <w:right w:val="single" w:color="000000" w:sz="6" w:space="0"/>
            </w:tcBorders>
            <w:noWrap w:val="0"/>
            <w:vAlign w:val="center"/>
          </w:tcPr>
          <w:p w14:paraId="48BD85EC">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2</w:t>
            </w:r>
          </w:p>
        </w:tc>
        <w:tc>
          <w:tcPr>
            <w:tcW w:w="682" w:type="dxa"/>
            <w:tcBorders>
              <w:right w:val="single" w:color="000000" w:sz="6" w:space="0"/>
            </w:tcBorders>
            <w:noWrap w:val="0"/>
            <w:vAlign w:val="center"/>
          </w:tcPr>
          <w:p w14:paraId="50D38CFC">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right w:val="single" w:color="000000" w:sz="6" w:space="0"/>
            </w:tcBorders>
            <w:noWrap w:val="0"/>
            <w:vAlign w:val="center"/>
          </w:tcPr>
          <w:p w14:paraId="49715DEA">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78851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3" w:hRule="atLeast"/>
          <w:jc w:val="center"/>
        </w:trPr>
        <w:tc>
          <w:tcPr>
            <w:tcW w:w="2285" w:type="dxa"/>
            <w:tcBorders>
              <w:left w:val="single" w:color="000000" w:sz="6" w:space="0"/>
              <w:bottom w:val="single" w:color="000000" w:sz="6" w:space="0"/>
            </w:tcBorders>
            <w:noWrap w:val="0"/>
            <w:vAlign w:val="center"/>
          </w:tcPr>
          <w:p w14:paraId="7C73B143">
            <w:pPr>
              <w:jc w:val="center"/>
              <w:rPr>
                <w:rFonts w:hint="eastAsia" w:ascii="仿宋" w:hAnsi="仿宋" w:eastAsia="仿宋" w:cs="仿宋"/>
                <w:b/>
                <w:bCs/>
                <w:sz w:val="24"/>
                <w:szCs w:val="32"/>
              </w:rPr>
            </w:pPr>
            <w:r>
              <w:rPr>
                <w:rFonts w:hint="eastAsia" w:ascii="仿宋" w:hAnsi="仿宋" w:eastAsia="仿宋" w:cs="仿宋"/>
                <w:b/>
                <w:bCs/>
                <w:sz w:val="24"/>
                <w:szCs w:val="32"/>
              </w:rPr>
              <w:t>防雷安全管理制度建立及执行情况</w:t>
            </w:r>
          </w:p>
        </w:tc>
        <w:tc>
          <w:tcPr>
            <w:tcW w:w="1570" w:type="dxa"/>
            <w:tcBorders>
              <w:bottom w:val="single" w:color="000000" w:sz="6" w:space="0"/>
            </w:tcBorders>
            <w:noWrap w:val="0"/>
            <w:vAlign w:val="center"/>
          </w:tcPr>
          <w:p w14:paraId="74FE0CF7">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防雷安全管理制度完善且执行到位</w:t>
            </w:r>
          </w:p>
        </w:tc>
        <w:tc>
          <w:tcPr>
            <w:tcW w:w="1609" w:type="dxa"/>
            <w:tcBorders>
              <w:bottom w:val="single" w:color="000000" w:sz="6" w:space="0"/>
            </w:tcBorders>
            <w:noWrap w:val="0"/>
            <w:vAlign w:val="center"/>
          </w:tcPr>
          <w:p w14:paraId="5C25CEE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防雷安全管理制度不完善或执行不到位</w:t>
            </w:r>
          </w:p>
        </w:tc>
        <w:tc>
          <w:tcPr>
            <w:tcW w:w="1705" w:type="dxa"/>
            <w:tcBorders>
              <w:bottom w:val="single" w:color="000000" w:sz="6" w:space="0"/>
            </w:tcBorders>
            <w:noWrap w:val="0"/>
            <w:vAlign w:val="center"/>
          </w:tcPr>
          <w:p w14:paraId="5D52A274">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无防雷安全管理制度</w:t>
            </w:r>
          </w:p>
        </w:tc>
        <w:tc>
          <w:tcPr>
            <w:tcW w:w="682" w:type="dxa"/>
            <w:tcBorders>
              <w:bottom w:val="single" w:color="000000" w:sz="6" w:space="0"/>
              <w:right w:val="single" w:color="000000" w:sz="6" w:space="0"/>
            </w:tcBorders>
            <w:noWrap w:val="0"/>
            <w:vAlign w:val="center"/>
          </w:tcPr>
          <w:p w14:paraId="0C1868BC">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3</w:t>
            </w:r>
          </w:p>
        </w:tc>
        <w:tc>
          <w:tcPr>
            <w:tcW w:w="654" w:type="dxa"/>
            <w:tcBorders>
              <w:bottom w:val="single" w:color="000000" w:sz="6" w:space="0"/>
              <w:right w:val="single" w:color="000000" w:sz="6" w:space="0"/>
            </w:tcBorders>
            <w:noWrap w:val="0"/>
            <w:vAlign w:val="center"/>
          </w:tcPr>
          <w:p w14:paraId="09371963">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3</w:t>
            </w:r>
          </w:p>
        </w:tc>
        <w:tc>
          <w:tcPr>
            <w:tcW w:w="682" w:type="dxa"/>
            <w:tcBorders>
              <w:bottom w:val="single" w:color="000000" w:sz="6" w:space="0"/>
              <w:right w:val="single" w:color="000000" w:sz="6" w:space="0"/>
            </w:tcBorders>
            <w:noWrap w:val="0"/>
            <w:vAlign w:val="center"/>
          </w:tcPr>
          <w:p w14:paraId="20E09AC4">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bottom w:val="single" w:color="000000" w:sz="6" w:space="0"/>
              <w:right w:val="single" w:color="000000" w:sz="6" w:space="0"/>
            </w:tcBorders>
            <w:noWrap w:val="0"/>
            <w:vAlign w:val="center"/>
          </w:tcPr>
          <w:p w14:paraId="21AEFEC1">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bl>
    <w:p w14:paraId="4A8A7AEF">
      <w:pPr>
        <w:keepNext w:val="0"/>
        <w:keepLines w:val="0"/>
        <w:pageBreakBefore w:val="0"/>
        <w:widowControl w:val="0"/>
        <w:kinsoku/>
        <w:wordWrap/>
        <w:overflowPunct/>
        <w:topLinePunct w:val="0"/>
        <w:autoSpaceDE/>
        <w:autoSpaceDN/>
        <w:bidi w:val="0"/>
        <w:adjustRightInd/>
        <w:snapToGrid/>
        <w:spacing w:before="157" w:beforeLines="50" w:line="236" w:lineRule="auto"/>
        <w:jc w:val="center"/>
        <w:textAlignment w:val="auto"/>
        <w:rPr>
          <w:rFonts w:hint="eastAsia" w:ascii="微软雅黑" w:hAnsi="微软雅黑" w:eastAsia="微软雅黑" w:cs="微软雅黑"/>
          <w:b w:val="0"/>
          <w:bCs w:val="0"/>
          <w:i/>
          <w:iCs/>
          <w:snapToGrid w:val="0"/>
          <w:color w:val="000000"/>
          <w:spacing w:val="11"/>
          <w:kern w:val="0"/>
          <w:sz w:val="28"/>
          <w:szCs w:val="28"/>
          <w:lang w:val="en-US" w:eastAsia="en-US" w:bidi="ar-SA"/>
        </w:rPr>
      </w:pPr>
      <w:r>
        <w:rPr>
          <w:rFonts w:hint="eastAsia" w:ascii="微软雅黑" w:hAnsi="微软雅黑" w:eastAsia="微软雅黑" w:cs="微软雅黑"/>
          <w:b w:val="0"/>
          <w:bCs w:val="0"/>
          <w:i/>
          <w:iCs/>
          <w:snapToGrid w:val="0"/>
          <w:color w:val="000000"/>
          <w:spacing w:val="11"/>
          <w:kern w:val="0"/>
          <w:sz w:val="28"/>
          <w:szCs w:val="28"/>
          <w:lang w:val="en-US" w:eastAsia="en-US" w:bidi="ar-SA"/>
        </w:rPr>
        <w:t>L = 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ascii="Arial" w:hAnsi="Arial" w:eastAsia="Arial" w:cs="Arial"/>
          <w:position w:val="-2"/>
          <w:sz w:val="10"/>
          <w:szCs w:val="10"/>
        </w:rPr>
        <w:t xml:space="preserve"> </w:t>
      </w:r>
      <w:r>
        <w:rPr>
          <w:rFonts w:ascii="Arial" w:hAnsi="Arial" w:eastAsia="Arial" w:cs="Arial"/>
          <w:position w:val="-2"/>
          <w:sz w:val="32"/>
          <w:szCs w:val="32"/>
          <w:vertAlign w:val="baseline"/>
        </w:rPr>
        <w:t xml:space="preserve"> </w:t>
      </w:r>
      <w:r>
        <w:rPr>
          <w:rFonts w:hint="eastAsia" w:ascii="Arial" w:hAnsi="Arial" w:cs="Arial"/>
          <w:position w:val="-2"/>
          <w:sz w:val="32"/>
          <w:szCs w:val="32"/>
          <w:vertAlign w:val="baseline"/>
          <w:lang w:val="en-US" w:eastAsia="zh-CN"/>
        </w:rPr>
        <w:t>=1</w:t>
      </w:r>
      <w:r>
        <w:rPr>
          <w:rFonts w:ascii="Arial" w:hAnsi="Arial" w:eastAsia="Arial" w:cs="Arial"/>
          <w:position w:val="-2"/>
          <w:sz w:val="32"/>
          <w:szCs w:val="32"/>
          <w:vertAlign w:val="baseline"/>
        </w:rPr>
        <w:t xml:space="preserve"> </w:t>
      </w:r>
      <w:r>
        <w:rPr>
          <w:spacing w:val="13"/>
          <w:position w:val="1"/>
          <w:sz w:val="28"/>
          <w:szCs w:val="28"/>
        </w:rPr>
        <w:t>………………(</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spacing w:val="13"/>
          <w:sz w:val="28"/>
          <w:szCs w:val="28"/>
        </w:rPr>
        <w:t>)</w:t>
      </w:r>
    </w:p>
    <w:p w14:paraId="1169E299">
      <w:pPr>
        <w:keepNext w:val="0"/>
        <w:keepLines w:val="0"/>
        <w:pageBreakBefore w:val="0"/>
        <w:widowControl w:val="0"/>
        <w:kinsoku/>
        <w:wordWrap/>
        <w:overflowPunct/>
        <w:topLinePunct w:val="0"/>
        <w:autoSpaceDE/>
        <w:autoSpaceDN/>
        <w:bidi w:val="0"/>
        <w:adjustRightInd/>
        <w:snapToGrid/>
        <w:spacing w:line="236" w:lineRule="auto"/>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7DAE4AC0">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—雷电灾害事故发生可能性, L级差为1 , 当 L大于 1 且小于等于2时 , L取2 , 依此类推;</w:t>
      </w:r>
    </w:p>
    <w:p w14:paraId="57CE0ACE">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雷击发生可能性等级分值 , 雷击发生可能性等级按照 A. 1 . 2 确定;</w:t>
      </w:r>
    </w:p>
    <w:p w14:paraId="74AEA5AB">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lang w:val="en-US" w:eastAsia="en-US"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雷电防护装置现状分值;</w:t>
      </w:r>
    </w:p>
    <w:p w14:paraId="040FF53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防雷安全管理制度建立及执行情况分值;</w:t>
      </w:r>
    </w:p>
    <w:p w14:paraId="2AA59C5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雷击发生可能性等级权重值;</w:t>
      </w:r>
    </w:p>
    <w:p w14:paraId="2B32775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雷电防护装置现状权重值;</w:t>
      </w:r>
    </w:p>
    <w:p w14:paraId="2B830E9F">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仿宋" w:hAnsi="仿宋" w:eastAsia="仿宋" w:cs="仿宋"/>
          <w:sz w:val="24"/>
          <w:szCs w:val="32"/>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防雷安全管理制度建立及执行情况权重值。</w:t>
      </w:r>
    </w:p>
    <w:p w14:paraId="53FDEFE2">
      <w:pPr>
        <w:pStyle w:val="6"/>
        <w:spacing w:before="226" w:line="360" w:lineRule="auto"/>
        <w:ind w:left="21" w:right="15" w:firstLine="419"/>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1、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iCs/>
          <w:caps w:val="0"/>
          <w:color w:val="000000"/>
          <w:spacing w:val="0"/>
          <w:kern w:val="0"/>
          <w:sz w:val="32"/>
          <w:szCs w:val="32"/>
          <w:shd w:val="clear" w:color="auto" w:fill="FFFFFF"/>
          <w:vertAlign w:val="subscript"/>
          <w:lang w:val="en-US" w:eastAsia="en-US" w:bidi="ar"/>
        </w:rPr>
        <w:t>1</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—雷击发生可能性等级分值</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确定：</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按表 A.2进行雷击发生可能性评价因子赋值, 再按公式(A.2)计算雷击发生可能性分值, 最后按表 A.3划分为 I、Ⅱ、Ⅲ三个等级。</w:t>
      </w:r>
    </w:p>
    <w:p w14:paraId="10F5B376">
      <w:pPr>
        <w:pStyle w:val="6"/>
        <w:spacing w:before="111" w:line="178" w:lineRule="auto"/>
        <w:jc w:val="center"/>
        <w:rPr>
          <w:rFonts w:hint="eastAsia" w:ascii="仿宋" w:hAnsi="仿宋" w:eastAsia="仿宋" w:cs="仿宋"/>
          <w:sz w:val="24"/>
          <w:szCs w:val="32"/>
        </w:rPr>
      </w:pPr>
      <w:r>
        <w:rPr>
          <w:rFonts w:hint="eastAsia" w:ascii="微软雅黑" w:hAnsi="微软雅黑" w:eastAsia="微软雅黑" w:cs="微软雅黑"/>
          <w:snapToGrid w:val="0"/>
          <w:color w:val="000000"/>
          <w:spacing w:val="11"/>
          <w:kern w:val="0"/>
          <w:sz w:val="28"/>
          <w:szCs w:val="28"/>
          <w:lang w:val="en-US" w:eastAsia="en-US" w:bidi="ar-SA"/>
        </w:rPr>
        <w:t>表 A. 2  雷击发生可能性评价因子赋值</w:t>
      </w:r>
    </w:p>
    <w:p w14:paraId="6EC418A3">
      <w:pPr>
        <w:jc w:val="center"/>
        <w:rPr>
          <w:rFonts w:hint="eastAsia" w:ascii="仿宋" w:hAnsi="仿宋" w:eastAsia="仿宋" w:cs="仿宋"/>
          <w:sz w:val="24"/>
          <w:szCs w:val="32"/>
        </w:rPr>
      </w:pPr>
    </w:p>
    <w:tbl>
      <w:tblPr>
        <w:tblStyle w:val="15"/>
        <w:tblW w:w="981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1"/>
        <w:gridCol w:w="1380"/>
        <w:gridCol w:w="1400"/>
        <w:gridCol w:w="1413"/>
        <w:gridCol w:w="1512"/>
        <w:gridCol w:w="1404"/>
        <w:gridCol w:w="681"/>
        <w:gridCol w:w="655"/>
      </w:tblGrid>
      <w:tr w14:paraId="3C5860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jc w:val="center"/>
        </w:trPr>
        <w:tc>
          <w:tcPr>
            <w:tcW w:w="1371" w:type="dxa"/>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0AA695F6">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评价因子</w:t>
            </w:r>
          </w:p>
        </w:tc>
        <w:tc>
          <w:tcPr>
            <w:tcW w:w="7109"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5142B3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赋值</w:t>
            </w:r>
          </w:p>
        </w:tc>
        <w:tc>
          <w:tcPr>
            <w:tcW w:w="68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72FE3D">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Pn</w:t>
            </w:r>
          </w:p>
        </w:tc>
        <w:tc>
          <w:tcPr>
            <w:tcW w:w="655" w:type="dxa"/>
            <w:vMerge w:val="restart"/>
            <w:tcBorders>
              <w:top w:val="single" w:color="000000" w:sz="4" w:space="0"/>
              <w:left w:val="single" w:color="000000" w:sz="4" w:space="0"/>
              <w:right w:val="single" w:color="000000" w:sz="4" w:space="0"/>
            </w:tcBorders>
            <w:shd w:val="clear" w:color="auto" w:fill="FFFFFF"/>
            <w:noWrap w:val="0"/>
            <w:vAlign w:val="center"/>
          </w:tcPr>
          <w:p w14:paraId="636DA06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24B664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jc w:val="center"/>
        </w:trPr>
        <w:tc>
          <w:tcPr>
            <w:tcW w:w="137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9D7EA5">
            <w:pPr>
              <w:jc w:val="center"/>
              <w:rPr>
                <w:rFonts w:hint="eastAsia" w:ascii="仿宋" w:hAnsi="仿宋" w:eastAsia="仿宋" w:cs="仿宋"/>
                <w:b w:val="0"/>
                <w:color w:val="000000"/>
                <w:sz w:val="24"/>
                <w:szCs w:val="32"/>
              </w:rPr>
            </w:pP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877012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A90458">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0DD50A7">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0B59216">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8AF023C">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5</w:t>
            </w:r>
          </w:p>
        </w:tc>
        <w:tc>
          <w:tcPr>
            <w:tcW w:w="68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241C52">
            <w:pPr>
              <w:jc w:val="center"/>
              <w:rPr>
                <w:rFonts w:hint="eastAsia" w:ascii="仿宋" w:hAnsi="仿宋" w:eastAsia="仿宋" w:cs="仿宋"/>
                <w:b w:val="0"/>
                <w:color w:val="000000"/>
                <w:sz w:val="24"/>
                <w:szCs w:val="32"/>
              </w:rPr>
            </w:pPr>
          </w:p>
        </w:tc>
        <w:tc>
          <w:tcPr>
            <w:tcW w:w="655" w:type="dxa"/>
            <w:vMerge w:val="continue"/>
            <w:tcBorders>
              <w:left w:val="single" w:color="000000" w:sz="4" w:space="0"/>
              <w:bottom w:val="single" w:color="000000" w:sz="4" w:space="0"/>
              <w:right w:val="single" w:color="000000" w:sz="4" w:space="0"/>
            </w:tcBorders>
            <w:shd w:val="clear" w:color="auto" w:fill="FFFFFF"/>
            <w:noWrap w:val="0"/>
            <w:vAlign w:val="center"/>
          </w:tcPr>
          <w:p w14:paraId="52C20904">
            <w:pPr>
              <w:jc w:val="center"/>
              <w:rPr>
                <w:rFonts w:hint="eastAsia" w:ascii="仿宋" w:hAnsi="仿宋" w:eastAsia="仿宋" w:cs="仿宋"/>
                <w:b w:val="0"/>
                <w:color w:val="000000"/>
                <w:sz w:val="24"/>
                <w:szCs w:val="32"/>
              </w:rPr>
            </w:pPr>
          </w:p>
        </w:tc>
      </w:tr>
      <w:tr w14:paraId="531AB8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9B6833">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sz w:val="24"/>
                <w:szCs w:val="32"/>
              </w:rPr>
              <w:t xml:space="preserve">雷击密度次/(Km2 </w:t>
            </w:r>
            <w:r>
              <w:rPr>
                <w:rFonts w:hint="eastAsia" w:ascii="仿宋" w:hAnsi="仿宋" w:eastAsia="仿宋" w:cs="仿宋"/>
                <w:b/>
                <w:bCs/>
                <w:color w:val="000000"/>
                <w:sz w:val="13"/>
                <w:szCs w:val="16"/>
              </w:rPr>
              <w:t>●</w:t>
            </w:r>
            <w:r>
              <w:rPr>
                <w:rFonts w:hint="eastAsia" w:ascii="仿宋" w:hAnsi="仿宋" w:eastAsia="仿宋" w:cs="仿宋"/>
                <w:b/>
                <w:bCs/>
                <w:color w:val="000000"/>
                <w:sz w:val="24"/>
                <w:szCs w:val="32"/>
              </w:rPr>
              <w:t xml:space="preserve"> 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9AD26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[0 , 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3AC039">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[1 , 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A7C70B">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[2 , 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1B5D9D1">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[3 , 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3A2C64">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[4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48A934">
            <w:pPr>
              <w:jc w:val="center"/>
              <w:rPr>
                <w:rFonts w:hint="eastAsia" w:ascii="仿宋" w:hAnsi="仿宋" w:eastAsia="仿宋" w:cs="仿宋"/>
                <w:b/>
                <w:bCs/>
                <w:i/>
                <w:iCs/>
                <w:color w:val="000000"/>
                <w:kern w:val="2"/>
                <w:sz w:val="24"/>
                <w:szCs w:val="32"/>
                <w:lang w:val="en-US" w:eastAsia="zh-CN" w:bidi="ar-SA"/>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rPr>
              <w:t>1</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E7E648">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2131D4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C67E9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地形地貌</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72457B">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周边高层建筑</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C0E90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丘陵</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FEB501">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山地</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6B60C9">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河流</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湖泊</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低洼潮湿地 区</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山间风口等</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F75BA2">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旷野孤立或突 出区域</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C76607">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2</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223D5E">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4</w:t>
            </w:r>
          </w:p>
        </w:tc>
      </w:tr>
      <w:tr w14:paraId="47270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CEA4A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相对高度</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83F939">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风险单元被比风险单元内高的外部建(构)筑物或其他雷击可接闪物所环绕</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CA6590">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风险单元外局部方向有高于风险</w:t>
            </w:r>
            <w:r>
              <w:rPr>
                <w:rFonts w:hint="eastAsia" w:ascii="仿宋" w:hAnsi="仿宋" w:eastAsia="仿宋" w:cs="仿宋"/>
                <w:b w:val="0"/>
                <w:color w:val="000000"/>
                <w:sz w:val="24"/>
                <w:szCs w:val="32"/>
                <w:lang w:val="en-US" w:eastAsia="zh-CN"/>
              </w:rPr>
              <w:t>单</w:t>
            </w:r>
            <w:r>
              <w:rPr>
                <w:rFonts w:hint="eastAsia" w:ascii="仿宋" w:hAnsi="仿宋" w:eastAsia="仿宋" w:cs="仿宋"/>
                <w:b w:val="0"/>
                <w:color w:val="000000"/>
                <w:sz w:val="24"/>
                <w:szCs w:val="32"/>
              </w:rPr>
              <w:t>元内的建(构)筑物或其他雷击可接闪物</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8F976D">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 建(构)筑物 或其他雷击可接闪物与风险单元内高度基本持平</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9BB787">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风险单元外建(构)筑物 或其他雷击可接闪物低于风险单元内高度</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BF6567">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风险单元外无建(构)筑 物或其他雷击可接闪物</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F35AE0">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3</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52C3B6">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r>
      <w:tr w14:paraId="23C0BA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55AB8">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占地面积m</w:t>
            </w:r>
            <w:r>
              <w:rPr>
                <w:rFonts w:hint="eastAsia" w:ascii="仿宋" w:hAnsi="仿宋" w:eastAsia="仿宋" w:cs="仿宋"/>
                <w:b/>
                <w:bCs/>
                <w:color w:val="000000"/>
                <w:sz w:val="24"/>
                <w:szCs w:val="32"/>
                <w:vertAlign w:val="superscript"/>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A600B3">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2500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54CBE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250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5000</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2B96F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5000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7500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212195">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750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10000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FE6BD5">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10000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8B3AA6">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4</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ED247F">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r>
      <w:tr w14:paraId="65565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9D491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等效高度m</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42B356">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0 , 30)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9DD798">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[30 , 45)</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F83EE8">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45 , 60)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F3951E">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60 , 100)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D37F7E">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100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194C5C">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strike/>
                <w:dstrike w:val="0"/>
                <w:color w:val="000000"/>
                <w:sz w:val="24"/>
                <w:szCs w:val="32"/>
                <w:vertAlign w:val="subscript"/>
                <w:lang w:val="en-US" w:eastAsia="zh-CN"/>
              </w:rPr>
              <w:t>5</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48867F">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r>
      <w:tr w14:paraId="68E4DA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D269F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风险单元内建(构)筑物防雷分类</w:t>
            </w:r>
            <w:r>
              <w:rPr>
                <w:rFonts w:hint="eastAsia" w:ascii="仿宋" w:hAnsi="仿宋" w:eastAsia="仿宋" w:cs="仿宋"/>
                <w:b/>
                <w:bCs/>
                <w:color w:val="000000"/>
                <w:sz w:val="24"/>
                <w:szCs w:val="32"/>
                <w:vertAlign w:val="superscript"/>
              </w:rPr>
              <w:t>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89B6B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第三类</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FCD590">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1330F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第二类</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61CB67">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ADBA8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第一类</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410821">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6</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67DBF8">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bl>
    <w:p w14:paraId="2014B78F">
      <w:pPr>
        <w:pStyle w:val="6"/>
        <w:keepNext w:val="0"/>
        <w:keepLines w:val="0"/>
        <w:pageBreakBefore w:val="0"/>
        <w:widowControl w:val="0"/>
        <w:kinsoku/>
        <w:wordWrap/>
        <w:overflowPunct/>
        <w:topLinePunct w:val="0"/>
        <w:autoSpaceDE/>
        <w:autoSpaceDN/>
        <w:bidi w:val="0"/>
        <w:adjustRightInd/>
        <w:snapToGrid/>
        <w:spacing w:before="0" w:beforeLines="50" w:line="240" w:lineRule="auto"/>
        <w:ind w:right="40"/>
        <w:jc w:val="center"/>
        <w:textAlignment w:val="auto"/>
        <w:rPr>
          <w:rFonts w:hint="default" w:eastAsia="宋体"/>
          <w:sz w:val="24"/>
          <w:szCs w:val="24"/>
          <w:lang w:val="en-US" w:eastAsia="zh-CN"/>
        </w:rPr>
      </w:pPr>
      <w:r>
        <w:rPr>
          <w:rFonts w:ascii="Arial" w:hAnsi="Arial" w:eastAsia="Arial" w:cs="Arial"/>
          <w:i/>
          <w:iCs/>
          <w:spacing w:val="5"/>
          <w:sz w:val="28"/>
          <w:szCs w:val="28"/>
        </w:rPr>
        <w:t xml:space="preserve">P </w:t>
      </w:r>
      <w:r>
        <w:rPr>
          <w:spacing w:val="5"/>
          <w:position w:val="-1"/>
          <w:sz w:val="28"/>
          <w:szCs w:val="28"/>
        </w:rPr>
        <w:t>=</w:t>
      </w:r>
      <w:r>
        <w:rPr>
          <w:spacing w:val="49"/>
          <w:w w:val="101"/>
          <w:position w:val="-1"/>
          <w:sz w:val="28"/>
          <w:szCs w:val="28"/>
        </w:rPr>
        <w:t xml:space="preserve">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1</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rPr>
        <w:t>2</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3</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4</w:t>
      </w:r>
      <w:r>
        <w:rPr>
          <w:rFonts w:ascii="Arial" w:hAnsi="Arial" w:eastAsia="Arial" w:cs="Arial"/>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5</w:t>
      </w:r>
      <w:r>
        <w:rPr>
          <w:rFonts w:ascii="Arial" w:hAnsi="Arial" w:eastAsia="Arial" w:cs="Arial"/>
          <w:spacing w:val="2"/>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6</w:t>
      </w:r>
      <w:r>
        <w:rPr>
          <w:rFonts w:hint="eastAsia" w:ascii="Arial" w:hAnsi="Arial" w:eastAsia="宋体" w:cs="Arial"/>
          <w:spacing w:val="5"/>
          <w:position w:val="-2"/>
          <w:sz w:val="28"/>
          <w:szCs w:val="28"/>
          <w:vertAlign w:val="subscript"/>
          <w:lang w:val="en-US" w:eastAsia="zh-CN"/>
        </w:rPr>
        <w:t xml:space="preserve"> </w:t>
      </w:r>
      <w:r>
        <w:rPr>
          <w:rFonts w:hint="eastAsia" w:ascii="Arial" w:hAnsi="Arial" w:eastAsia="宋体" w:cs="Arial"/>
          <w:spacing w:val="5"/>
          <w:position w:val="-2"/>
          <w:sz w:val="28"/>
          <w:szCs w:val="28"/>
          <w:vertAlign w:val="baseline"/>
          <w:lang w:val="en-US" w:eastAsia="zh-CN"/>
        </w:rPr>
        <w:t xml:space="preserve">= </w:t>
      </w:r>
      <w:r>
        <w:rPr>
          <w:rFonts w:hint="eastAsia" w:ascii="Arial" w:hAnsi="Arial" w:eastAsia="宋体" w:cs="Arial"/>
          <w:spacing w:val="5"/>
          <w:position w:val="-2"/>
          <w:sz w:val="36"/>
          <w:szCs w:val="36"/>
          <w:vertAlign w:val="baseline"/>
          <w:lang w:val="en-US" w:eastAsia="zh-CN"/>
        </w:rPr>
        <w:t>18</w:t>
      </w:r>
    </w:p>
    <w:p w14:paraId="7AE33EED">
      <w:pPr>
        <w:pStyle w:val="6"/>
        <w:keepNext w:val="0"/>
        <w:keepLines w:val="0"/>
        <w:pageBreakBefore w:val="0"/>
        <w:widowControl w:val="0"/>
        <w:kinsoku/>
        <w:wordWrap/>
        <w:overflowPunct/>
        <w:topLinePunct w:val="0"/>
        <w:autoSpaceDE/>
        <w:autoSpaceDN/>
        <w:bidi w:val="0"/>
        <w:adjustRightInd/>
        <w:snapToGrid/>
        <w:spacing w:line="420" w:lineRule="exact"/>
        <w:ind w:left="438"/>
        <w:textAlignment w:val="auto"/>
        <w:rPr>
          <w:sz w:val="24"/>
          <w:szCs w:val="24"/>
        </w:rPr>
      </w:pPr>
      <w:r>
        <w:rPr>
          <w:spacing w:val="16"/>
          <w:sz w:val="24"/>
          <w:szCs w:val="24"/>
        </w:rPr>
        <w:t>式中:</w:t>
      </w:r>
    </w:p>
    <w:p w14:paraId="6036911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3"/>
          <w:position w:val="-1"/>
          <w:sz w:val="24"/>
          <w:szCs w:val="24"/>
        </w:rPr>
        <w:t>P</w:t>
      </w:r>
      <w:r>
        <w:rPr>
          <w:rFonts w:ascii="Arial" w:hAnsi="Arial" w:eastAsia="Arial" w:cs="Arial"/>
          <w:i/>
          <w:iCs/>
          <w:spacing w:val="-3"/>
          <w:position w:val="-1"/>
          <w:sz w:val="24"/>
          <w:szCs w:val="24"/>
        </w:rPr>
        <w:t xml:space="preserve"> </w:t>
      </w:r>
      <w:r>
        <w:rPr>
          <w:rFonts w:ascii="Arial" w:hAnsi="Arial" w:eastAsia="Arial" w:cs="Arial"/>
          <w:b/>
          <w:bCs/>
          <w:spacing w:val="33"/>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雷击发生可能性分值;</w:t>
      </w:r>
    </w:p>
    <w:p w14:paraId="68E7C38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1</w:t>
      </w:r>
      <w:r>
        <w:rPr>
          <w:rFonts w:ascii="Arial" w:hAnsi="Arial" w:eastAsia="Arial" w:cs="Arial"/>
          <w:spacing w:val="17"/>
          <w:w w:val="102"/>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雷击密度分值;</w:t>
      </w:r>
    </w:p>
    <w:p w14:paraId="71EC0595">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8"/>
          <w:position w:val="-1"/>
          <w:sz w:val="24"/>
          <w:szCs w:val="24"/>
        </w:rPr>
        <w:t>P</w:t>
      </w:r>
      <w:r>
        <w:rPr>
          <w:rFonts w:ascii="Arial" w:hAnsi="Arial" w:eastAsia="Arial" w:cs="Arial"/>
          <w:spacing w:val="28"/>
          <w:position w:val="-3"/>
          <w:sz w:val="24"/>
          <w:szCs w:val="24"/>
          <w:vertAlign w:val="subscript"/>
        </w:rPr>
        <w:t>2</w:t>
      </w:r>
      <w:r>
        <w:rPr>
          <w:rFonts w:ascii="Arial" w:hAnsi="Arial" w:eastAsia="Arial" w:cs="Arial"/>
          <w:spacing w:val="29"/>
          <w:position w:val="-3"/>
          <w:sz w:val="24"/>
          <w:szCs w:val="24"/>
        </w:rPr>
        <w:t xml:space="preserve"> </w:t>
      </w:r>
      <w:r>
        <w:rPr>
          <w:rFonts w:ascii="Arial" w:hAnsi="Arial" w:eastAsia="Arial" w:cs="Arial"/>
          <w:b/>
          <w:bCs/>
          <w:spacing w:val="29"/>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地形地貌分值;</w:t>
      </w:r>
    </w:p>
    <w:p w14:paraId="4F6D2F1C">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3</w:t>
      </w:r>
      <w:r>
        <w:rPr>
          <w:rFonts w:ascii="Arial" w:hAnsi="Arial" w:eastAsia="Arial" w:cs="Arial"/>
          <w:spacing w:val="19"/>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相对高度分值;</w:t>
      </w:r>
    </w:p>
    <w:p w14:paraId="3D6B9D5C">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4</w:t>
      </w:r>
      <w:r>
        <w:rPr>
          <w:rFonts w:ascii="Arial" w:hAnsi="Arial" w:eastAsia="Arial" w:cs="Arial"/>
          <w:spacing w:val="22"/>
          <w:w w:val="102"/>
          <w:position w:val="-3"/>
          <w:sz w:val="24"/>
          <w:szCs w:val="24"/>
        </w:rPr>
        <w:t xml:space="preserve"> </w:t>
      </w:r>
      <w:r>
        <w:rPr>
          <w:rFonts w:ascii="Arial" w:hAnsi="Arial" w:eastAsia="Arial" w:cs="Arial"/>
          <w:b/>
          <w:bCs/>
          <w:spacing w:val="27"/>
          <w:position w:val="1"/>
          <w:sz w:val="24"/>
          <w:szCs w:val="24"/>
        </w:rPr>
        <w:t>—</w:t>
      </w:r>
      <w:r>
        <w:rPr>
          <w:rFonts w:ascii="Arial" w:hAnsi="Arial" w:eastAsia="Arial" w:cs="Arial"/>
          <w:b/>
          <w:bCs/>
          <w:spacing w:val="-4"/>
          <w:position w:val="1"/>
          <w:sz w:val="24"/>
          <w:szCs w:val="24"/>
        </w:rPr>
        <w:t xml:space="preserve"> </w:t>
      </w:r>
      <w:r>
        <w:rPr>
          <w:spacing w:val="27"/>
          <w:sz w:val="24"/>
          <w:szCs w:val="24"/>
        </w:rPr>
        <w:t>占地面积分值</w:t>
      </w:r>
      <w:r>
        <w:rPr>
          <w:spacing w:val="27"/>
          <w:position w:val="1"/>
          <w:sz w:val="24"/>
          <w:szCs w:val="24"/>
        </w:rPr>
        <w:t>;</w:t>
      </w:r>
    </w:p>
    <w:p w14:paraId="7436976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5</w:t>
      </w:r>
      <w:r>
        <w:rPr>
          <w:rFonts w:ascii="Arial" w:hAnsi="Arial" w:eastAsia="Arial" w:cs="Arial"/>
          <w:spacing w:val="28"/>
          <w:position w:val="-3"/>
          <w:sz w:val="24"/>
          <w:szCs w:val="24"/>
        </w:rPr>
        <w:t xml:space="preserve"> </w:t>
      </w:r>
      <w:r>
        <w:rPr>
          <w:rFonts w:ascii="Arial" w:hAnsi="Arial" w:eastAsia="Arial" w:cs="Arial"/>
          <w:b/>
          <w:bCs/>
          <w:spacing w:val="28"/>
          <w:position w:val="1"/>
          <w:sz w:val="24"/>
          <w:szCs w:val="24"/>
        </w:rPr>
        <w:t>—</w:t>
      </w:r>
      <w:r>
        <w:rPr>
          <w:rFonts w:ascii="Arial" w:hAnsi="Arial" w:eastAsia="Arial" w:cs="Arial"/>
          <w:b/>
          <w:bCs/>
          <w:spacing w:val="-20"/>
          <w:position w:val="1"/>
          <w:sz w:val="24"/>
          <w:szCs w:val="24"/>
        </w:rPr>
        <w:t xml:space="preserve"> </w:t>
      </w:r>
      <w:r>
        <w:rPr>
          <w:spacing w:val="28"/>
          <w:sz w:val="24"/>
          <w:szCs w:val="24"/>
        </w:rPr>
        <w:t>等效高度分值</w:t>
      </w:r>
      <w:r>
        <w:rPr>
          <w:spacing w:val="28"/>
          <w:position w:val="1"/>
          <w:sz w:val="24"/>
          <w:szCs w:val="24"/>
        </w:rPr>
        <w:t>;</w:t>
      </w:r>
    </w:p>
    <w:p w14:paraId="0CC2625D">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19"/>
          <w:szCs w:val="19"/>
        </w:rPr>
      </w:pPr>
      <w:r>
        <w:rPr>
          <w:rFonts w:ascii="Arial" w:hAnsi="Arial" w:eastAsia="Arial" w:cs="Arial"/>
          <w:i/>
          <w:iCs/>
          <w:spacing w:val="27"/>
          <w:position w:val="-1"/>
          <w:sz w:val="24"/>
          <w:szCs w:val="24"/>
        </w:rPr>
        <w:t>P</w:t>
      </w:r>
      <w:r>
        <w:rPr>
          <w:rFonts w:ascii="Arial" w:hAnsi="Arial" w:eastAsia="Arial" w:cs="Arial"/>
          <w:spacing w:val="27"/>
          <w:position w:val="-3"/>
          <w:sz w:val="24"/>
          <w:szCs w:val="24"/>
          <w:vertAlign w:val="subscript"/>
        </w:rPr>
        <w:t>6</w:t>
      </w:r>
      <w:r>
        <w:rPr>
          <w:rFonts w:ascii="Arial" w:hAnsi="Arial" w:eastAsia="Arial" w:cs="Arial"/>
          <w:spacing w:val="26"/>
          <w:position w:val="-3"/>
          <w:sz w:val="24"/>
          <w:szCs w:val="24"/>
        </w:rPr>
        <w:t xml:space="preserve"> </w:t>
      </w:r>
      <w:r>
        <w:rPr>
          <w:rFonts w:ascii="Arial" w:hAnsi="Arial" w:eastAsia="Arial" w:cs="Arial"/>
          <w:b/>
          <w:bCs/>
          <w:spacing w:val="26"/>
          <w:sz w:val="24"/>
          <w:szCs w:val="24"/>
        </w:rPr>
        <w:t>—</w:t>
      </w:r>
      <w:r>
        <w:rPr>
          <w:rFonts w:ascii="Arial" w:hAnsi="Arial" w:eastAsia="Arial" w:cs="Arial"/>
          <w:b/>
          <w:bCs/>
          <w:spacing w:val="-25"/>
          <w:sz w:val="24"/>
          <w:szCs w:val="24"/>
        </w:rPr>
        <w:t xml:space="preserve"> </w:t>
      </w:r>
      <w:r>
        <w:rPr>
          <w:spacing w:val="26"/>
          <w:sz w:val="24"/>
          <w:szCs w:val="24"/>
        </w:rPr>
        <w:t>风险单元内建(构)筑物防雷分类分值。</w:t>
      </w:r>
    </w:p>
    <w:p w14:paraId="34AA6818">
      <w:pPr>
        <w:pStyle w:val="6"/>
        <w:keepNext w:val="0"/>
        <w:keepLines w:val="0"/>
        <w:pageBreakBefore w:val="0"/>
        <w:widowControl w:val="0"/>
        <w:kinsoku/>
        <w:wordWrap/>
        <w:overflowPunct/>
        <w:topLinePunct w:val="0"/>
        <w:autoSpaceDE/>
        <w:autoSpaceDN/>
        <w:bidi w:val="0"/>
        <w:adjustRightInd/>
        <w:snapToGrid/>
        <w:spacing w:before="231" w:line="178"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3 雷击发生可能性分级</w:t>
      </w:r>
    </w:p>
    <w:p w14:paraId="01B59DEC">
      <w:pPr>
        <w:spacing w:line="214" w:lineRule="exact"/>
      </w:pPr>
    </w:p>
    <w:tbl>
      <w:tblPr>
        <w:tblStyle w:val="15"/>
        <w:tblW w:w="931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767"/>
        <w:gridCol w:w="3362"/>
        <w:gridCol w:w="2188"/>
      </w:tblGrid>
      <w:tr w14:paraId="07A077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0" w:hRule="atLeast"/>
          <w:jc w:val="center"/>
        </w:trPr>
        <w:tc>
          <w:tcPr>
            <w:tcW w:w="3767" w:type="dxa"/>
            <w:tcBorders>
              <w:right w:val="single" w:color="000000" w:sz="2" w:space="0"/>
            </w:tcBorders>
            <w:noWrap w:val="0"/>
            <w:vAlign w:val="top"/>
          </w:tcPr>
          <w:p w14:paraId="56494F5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雷击发生可能性分值</w:t>
            </w:r>
          </w:p>
        </w:tc>
        <w:tc>
          <w:tcPr>
            <w:tcW w:w="3362" w:type="dxa"/>
            <w:tcBorders>
              <w:left w:val="single" w:color="000000" w:sz="2" w:space="0"/>
            </w:tcBorders>
            <w:noWrap w:val="0"/>
            <w:vAlign w:val="top"/>
          </w:tcPr>
          <w:p w14:paraId="705D99D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雷击发生可能性等级</w:t>
            </w:r>
          </w:p>
        </w:tc>
        <w:tc>
          <w:tcPr>
            <w:tcW w:w="2188" w:type="dxa"/>
            <w:tcBorders>
              <w:left w:val="single" w:color="000000" w:sz="2" w:space="0"/>
            </w:tcBorders>
            <w:noWrap w:val="0"/>
            <w:vAlign w:val="top"/>
          </w:tcPr>
          <w:p w14:paraId="02FB8ED4">
            <w:pPr>
              <w:jc w:val="center"/>
              <w:rPr>
                <w:rFonts w:hint="default" w:ascii="仿宋" w:hAnsi="仿宋" w:eastAsia="仿宋" w:cs="仿宋"/>
                <w:b/>
                <w:bCs/>
                <w:color w:val="000000"/>
                <w:sz w:val="24"/>
                <w:szCs w:val="32"/>
                <w:lang w:val="en-US" w:eastAsia="zh-CN"/>
              </w:rPr>
            </w:pPr>
            <w:r>
              <w:rPr>
                <w:rFonts w:hint="eastAsia" w:ascii="仿宋" w:hAnsi="仿宋" w:eastAsia="仿宋" w:cs="仿宋"/>
                <w:b/>
                <w:bCs/>
                <w:i/>
                <w:iCs/>
                <w:color w:val="000000"/>
                <w:sz w:val="24"/>
                <w:szCs w:val="32"/>
                <w:lang w:val="en-US" w:eastAsia="zh-CN"/>
              </w:rPr>
              <w:t>L</w:t>
            </w:r>
            <w:r>
              <w:rPr>
                <w:rFonts w:hint="eastAsia" w:ascii="仿宋" w:hAnsi="仿宋" w:eastAsia="仿宋" w:cs="仿宋"/>
                <w:b/>
                <w:bCs/>
                <w:i w:val="0"/>
                <w:iCs w:val="0"/>
                <w:color w:val="000000"/>
                <w:sz w:val="24"/>
                <w:szCs w:val="32"/>
                <w:vertAlign w:val="subscript"/>
                <w:lang w:val="en-US" w:eastAsia="zh-CN"/>
              </w:rPr>
              <w:t>1</w:t>
            </w:r>
            <w:r>
              <w:rPr>
                <w:rFonts w:hint="eastAsia" w:ascii="仿宋" w:hAnsi="仿宋" w:eastAsia="仿宋" w:cs="仿宋"/>
                <w:b/>
                <w:bCs/>
                <w:color w:val="000000"/>
                <w:sz w:val="24"/>
                <w:szCs w:val="32"/>
                <w:lang w:val="en-US" w:eastAsia="zh-CN"/>
              </w:rPr>
              <w:t>分值</w:t>
            </w:r>
          </w:p>
        </w:tc>
      </w:tr>
      <w:tr w14:paraId="0DCE4E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2" w:hRule="atLeast"/>
          <w:jc w:val="center"/>
        </w:trPr>
        <w:tc>
          <w:tcPr>
            <w:tcW w:w="3767" w:type="dxa"/>
            <w:tcBorders>
              <w:bottom w:val="single" w:color="000000" w:sz="2" w:space="0"/>
              <w:right w:val="single" w:color="000000" w:sz="2" w:space="0"/>
            </w:tcBorders>
            <w:noWrap w:val="0"/>
            <w:vAlign w:val="top"/>
          </w:tcPr>
          <w:p w14:paraId="05DC3D5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[8 , 18]</w:t>
            </w:r>
          </w:p>
        </w:tc>
        <w:tc>
          <w:tcPr>
            <w:tcW w:w="3362" w:type="dxa"/>
            <w:tcBorders>
              <w:left w:val="single" w:color="000000" w:sz="2" w:space="0"/>
              <w:bottom w:val="single" w:color="000000" w:sz="2" w:space="0"/>
            </w:tcBorders>
            <w:noWrap w:val="0"/>
            <w:vAlign w:val="top"/>
          </w:tcPr>
          <w:p w14:paraId="04F31C1B">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Ⅲ</w:t>
            </w:r>
          </w:p>
        </w:tc>
        <w:tc>
          <w:tcPr>
            <w:tcW w:w="2188" w:type="dxa"/>
            <w:tcBorders>
              <w:left w:val="single" w:color="000000" w:sz="2" w:space="0"/>
              <w:bottom w:val="single" w:color="000000" w:sz="2" w:space="0"/>
            </w:tcBorders>
            <w:noWrap w:val="0"/>
            <w:vAlign w:val="top"/>
          </w:tcPr>
          <w:p w14:paraId="0049D18B">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18</w:t>
            </w:r>
          </w:p>
        </w:tc>
      </w:tr>
      <w:tr w14:paraId="4F581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2" w:hRule="atLeast"/>
          <w:jc w:val="center"/>
        </w:trPr>
        <w:tc>
          <w:tcPr>
            <w:tcW w:w="3767" w:type="dxa"/>
            <w:tcBorders>
              <w:top w:val="single" w:color="000000" w:sz="2" w:space="0"/>
              <w:bottom w:val="single" w:color="000000" w:sz="2" w:space="0"/>
              <w:right w:val="single" w:color="000000" w:sz="2" w:space="0"/>
            </w:tcBorders>
            <w:noWrap w:val="0"/>
            <w:vAlign w:val="top"/>
          </w:tcPr>
          <w:p w14:paraId="12F2FEBD">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[19 , 29]</w:t>
            </w:r>
          </w:p>
        </w:tc>
        <w:tc>
          <w:tcPr>
            <w:tcW w:w="3362" w:type="dxa"/>
            <w:tcBorders>
              <w:top w:val="single" w:color="000000" w:sz="2" w:space="0"/>
              <w:left w:val="single" w:color="000000" w:sz="2" w:space="0"/>
              <w:bottom w:val="single" w:color="000000" w:sz="2" w:space="0"/>
            </w:tcBorders>
            <w:noWrap w:val="0"/>
            <w:vAlign w:val="top"/>
          </w:tcPr>
          <w:p w14:paraId="35C562F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Ⅱ</w:t>
            </w:r>
          </w:p>
        </w:tc>
        <w:tc>
          <w:tcPr>
            <w:tcW w:w="2188" w:type="dxa"/>
            <w:tcBorders>
              <w:top w:val="single" w:color="000000" w:sz="2" w:space="0"/>
              <w:left w:val="single" w:color="000000" w:sz="2" w:space="0"/>
              <w:bottom w:val="single" w:color="000000" w:sz="2" w:space="0"/>
            </w:tcBorders>
            <w:noWrap w:val="0"/>
            <w:vAlign w:val="top"/>
          </w:tcPr>
          <w:p w14:paraId="39A8122A">
            <w:pPr>
              <w:jc w:val="center"/>
              <w:rPr>
                <w:rFonts w:hint="default" w:ascii="仿宋" w:hAnsi="仿宋" w:eastAsia="仿宋" w:cs="仿宋"/>
                <w:b w:val="0"/>
                <w:color w:val="000000"/>
                <w:sz w:val="24"/>
                <w:szCs w:val="32"/>
                <w:lang w:val="en-US" w:eastAsia="zh-CN"/>
              </w:rPr>
            </w:pPr>
          </w:p>
        </w:tc>
      </w:tr>
      <w:tr w14:paraId="744A6F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jc w:val="center"/>
        </w:trPr>
        <w:tc>
          <w:tcPr>
            <w:tcW w:w="3767" w:type="dxa"/>
            <w:tcBorders>
              <w:top w:val="single" w:color="000000" w:sz="2" w:space="0"/>
              <w:right w:val="single" w:color="000000" w:sz="2" w:space="0"/>
            </w:tcBorders>
            <w:noWrap w:val="0"/>
            <w:vAlign w:val="top"/>
          </w:tcPr>
          <w:p w14:paraId="496061C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[30 , 40]</w:t>
            </w:r>
          </w:p>
        </w:tc>
        <w:tc>
          <w:tcPr>
            <w:tcW w:w="3362" w:type="dxa"/>
            <w:tcBorders>
              <w:top w:val="single" w:color="000000" w:sz="2" w:space="0"/>
              <w:left w:val="single" w:color="000000" w:sz="2" w:space="0"/>
            </w:tcBorders>
            <w:noWrap w:val="0"/>
            <w:vAlign w:val="top"/>
          </w:tcPr>
          <w:p w14:paraId="7F232EC0">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I</w:t>
            </w:r>
          </w:p>
        </w:tc>
        <w:tc>
          <w:tcPr>
            <w:tcW w:w="2188" w:type="dxa"/>
            <w:tcBorders>
              <w:top w:val="single" w:color="000000" w:sz="2" w:space="0"/>
              <w:left w:val="single" w:color="000000" w:sz="2" w:space="0"/>
            </w:tcBorders>
            <w:noWrap w:val="0"/>
            <w:vAlign w:val="top"/>
          </w:tcPr>
          <w:p w14:paraId="0C66591C">
            <w:pPr>
              <w:jc w:val="center"/>
              <w:rPr>
                <w:rFonts w:hint="eastAsia" w:ascii="仿宋" w:hAnsi="仿宋" w:eastAsia="仿宋" w:cs="仿宋"/>
                <w:b w:val="0"/>
                <w:color w:val="000000"/>
                <w:sz w:val="24"/>
                <w:szCs w:val="32"/>
              </w:rPr>
            </w:pPr>
          </w:p>
        </w:tc>
      </w:tr>
    </w:tbl>
    <w:p w14:paraId="4B71B5E5">
      <w:pPr>
        <w:pStyle w:val="14"/>
        <w:keepNext w:val="0"/>
        <w:keepLines w:val="0"/>
        <w:pageBreakBefore w:val="0"/>
        <w:widowControl w:val="0"/>
        <w:numPr>
          <w:ilvl w:val="0"/>
          <w:numId w:val="0"/>
        </w:numPr>
        <w:kinsoku/>
        <w:wordWrap/>
        <w:overflowPunct/>
        <w:topLinePunct w:val="0"/>
        <w:autoSpaceDE/>
        <w:autoSpaceDN/>
        <w:bidi w:val="0"/>
        <w:adjustRightInd/>
        <w:snapToGrid/>
        <w:spacing w:before="263" w:line="360" w:lineRule="auto"/>
        <w:ind w:leftChars="0" w:firstLine="643" w:firstLineChars="200"/>
        <w:textAlignment w:val="auto"/>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注2、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雷电防护装置现状</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防雷安全管理制度建立及执行情况</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等分值确定：</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如出现表A.4 中所列情况中的任一条 , 雷电灾害事故发生可能性直接赋值“3”。</w:t>
      </w:r>
    </w:p>
    <w:p w14:paraId="5F147E9E">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4雷电灾害事故发生可能性直接赋值</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的情况列表</w:t>
      </w:r>
    </w:p>
    <w:p w14:paraId="1FF0E557">
      <w:pPr>
        <w:spacing w:line="236" w:lineRule="exact"/>
      </w:pPr>
    </w:p>
    <w:tbl>
      <w:tblPr>
        <w:tblStyle w:val="15"/>
        <w:tblW w:w="9479" w:type="dxa"/>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0" w:type="dxa"/>
          <w:bottom w:w="0" w:type="dxa"/>
          <w:right w:w="0" w:type="dxa"/>
        </w:tblCellMar>
      </w:tblPr>
      <w:tblGrid>
        <w:gridCol w:w="2595"/>
        <w:gridCol w:w="6884"/>
      </w:tblGrid>
      <w:tr w14:paraId="719F72B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449" w:hRule="atLeast"/>
          <w:jc w:val="center"/>
        </w:trPr>
        <w:tc>
          <w:tcPr>
            <w:tcW w:w="2595" w:type="dxa"/>
            <w:tcBorders>
              <w:tl2br w:val="nil"/>
              <w:tr2bl w:val="nil"/>
            </w:tcBorders>
            <w:noWrap w:val="0"/>
            <w:vAlign w:val="center"/>
          </w:tcPr>
          <w:p w14:paraId="6BBE4394">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项 目</w:t>
            </w:r>
          </w:p>
        </w:tc>
        <w:tc>
          <w:tcPr>
            <w:tcW w:w="6884" w:type="dxa"/>
            <w:tcBorders>
              <w:tl2br w:val="nil"/>
              <w:tr2bl w:val="nil"/>
            </w:tcBorders>
            <w:noWrap w:val="0"/>
            <w:vAlign w:val="center"/>
          </w:tcPr>
          <w:p w14:paraId="7D6A71C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存在情况</w:t>
            </w:r>
          </w:p>
        </w:tc>
      </w:tr>
      <w:tr w14:paraId="359BA93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restart"/>
            <w:tcBorders>
              <w:tl2br w:val="nil"/>
              <w:tr2bl w:val="nil"/>
            </w:tcBorders>
            <w:noWrap w:val="0"/>
            <w:vAlign w:val="center"/>
          </w:tcPr>
          <w:p w14:paraId="2B3521A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防雷安全管理</w:t>
            </w:r>
          </w:p>
        </w:tc>
        <w:tc>
          <w:tcPr>
            <w:tcW w:w="6884" w:type="dxa"/>
            <w:tcBorders>
              <w:tl2br w:val="nil"/>
              <w:tr2bl w:val="nil"/>
            </w:tcBorders>
            <w:noWrap w:val="0"/>
            <w:vAlign w:val="center"/>
          </w:tcPr>
          <w:p w14:paraId="4BC5079B">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无雷电预警信息接收和响应机制</w:t>
            </w:r>
          </w:p>
        </w:tc>
      </w:tr>
      <w:tr w14:paraId="3B42383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061018C5">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475D88D9">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无防雷安全管理工作机构和管理人员</w:t>
            </w:r>
          </w:p>
        </w:tc>
      </w:tr>
      <w:tr w14:paraId="5C604A0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0EAFC01B">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55921012">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无防雷安全规章制度</w:t>
            </w:r>
          </w:p>
        </w:tc>
      </w:tr>
      <w:tr w14:paraId="0B6F404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453EDFF2">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3B7C3DAD">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无雷电灾害应急预案,且未组织演练</w:t>
            </w:r>
          </w:p>
        </w:tc>
      </w:tr>
      <w:tr w14:paraId="0417D22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46" w:hRule="atLeast"/>
          <w:jc w:val="center"/>
        </w:trPr>
        <w:tc>
          <w:tcPr>
            <w:tcW w:w="2595" w:type="dxa"/>
            <w:vMerge w:val="restart"/>
            <w:tcBorders>
              <w:tl2br w:val="nil"/>
              <w:tr2bl w:val="nil"/>
            </w:tcBorders>
            <w:noWrap w:val="0"/>
            <w:vAlign w:val="center"/>
          </w:tcPr>
          <w:p w14:paraId="14DE8C80">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雷电防护装置设施现状</w:t>
            </w:r>
          </w:p>
        </w:tc>
        <w:tc>
          <w:tcPr>
            <w:tcW w:w="6884" w:type="dxa"/>
            <w:tcBorders>
              <w:tl2br w:val="nil"/>
              <w:tr2bl w:val="nil"/>
            </w:tcBorders>
            <w:noWrap w:val="0"/>
            <w:vAlign w:val="center"/>
          </w:tcPr>
          <w:p w14:paraId="446BA550">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独立接闪杆、架空接闪线或网的支柱及其接地装置至被保护建(构)筑物及与其有联系的管道、电缆等金属物之间的间隔距离不满足 GB50057 中的间隔距离要求</w:t>
            </w:r>
          </w:p>
        </w:tc>
      </w:tr>
      <w:tr w14:paraId="068C80D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tl2br w:val="nil"/>
              <w:tr2bl w:val="nil"/>
            </w:tcBorders>
            <w:noWrap w:val="0"/>
            <w:vAlign w:val="center"/>
          </w:tcPr>
          <w:p w14:paraId="267BCC7A">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7B2E816A">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建(构)筑物周边有树木且不在接闪器保护范围之内时, 树木与建筑物之间的净距小于 5 m</w:t>
            </w:r>
          </w:p>
        </w:tc>
      </w:tr>
      <w:tr w14:paraId="58388E0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bottom w:val="single" w:color="auto" w:sz="4" w:space="0"/>
              <w:tl2br w:val="nil"/>
              <w:tr2bl w:val="nil"/>
            </w:tcBorders>
            <w:noWrap w:val="0"/>
            <w:vAlign w:val="center"/>
          </w:tcPr>
          <w:p w14:paraId="78359951">
            <w:pPr>
              <w:jc w:val="center"/>
              <w:rPr>
                <w:rFonts w:hint="eastAsia" w:ascii="仿宋" w:hAnsi="仿宋" w:eastAsia="仿宋" w:cs="仿宋"/>
                <w:b/>
                <w:bCs/>
                <w:color w:val="000000"/>
                <w:sz w:val="24"/>
                <w:szCs w:val="32"/>
              </w:rPr>
            </w:pPr>
          </w:p>
        </w:tc>
        <w:tc>
          <w:tcPr>
            <w:tcW w:w="6884" w:type="dxa"/>
            <w:tcBorders>
              <w:bottom w:val="single" w:color="auto" w:sz="4" w:space="0"/>
              <w:tl2br w:val="nil"/>
              <w:tr2bl w:val="nil"/>
            </w:tcBorders>
            <w:noWrap w:val="0"/>
            <w:vAlign w:val="center"/>
          </w:tcPr>
          <w:p w14:paraId="6E4D0740">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建(构)筑物、户外生产设施等未按照 GB50057 中的要求设置防跨步电压和接触电压措施</w:t>
            </w:r>
          </w:p>
        </w:tc>
      </w:tr>
      <w:tr w14:paraId="0621411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536F524D">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雷电防护装置定期检测</w:t>
            </w:r>
          </w:p>
        </w:tc>
        <w:tc>
          <w:tcPr>
            <w:tcW w:w="6884" w:type="dxa"/>
            <w:tcBorders>
              <w:tl2br w:val="nil"/>
              <w:tr2bl w:val="nil"/>
            </w:tcBorders>
            <w:noWrap w:val="0"/>
            <w:vAlign w:val="center"/>
          </w:tcPr>
          <w:p w14:paraId="244F120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建(构)筑物雷电防护装置未按照 GB/T 21431 中的周期要求进行检测工作</w:t>
            </w:r>
          </w:p>
        </w:tc>
      </w:tr>
      <w:tr w14:paraId="3B122E4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36CE1917">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2E65A52C">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根据年度安全检测工作的合同和协议, 完成建(构)筑物雷电防护装置的检测机构资质等级不符合《雷电防护资质检测资质管理办法》的要求</w:t>
            </w:r>
          </w:p>
        </w:tc>
      </w:tr>
      <w:tr w14:paraId="17ACA42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385D7F43">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0B8CD751">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建(构)筑物、户外生产设施、电子电气系统的雷电防护装置不符合国家标准中强制性条文内容且未做整改的</w:t>
            </w:r>
          </w:p>
        </w:tc>
      </w:tr>
      <w:tr w14:paraId="36FCA4C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6225B82E">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06CFF3B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建(构)筑物、户外生产设施、电子电气系统的雷电防护装置不符合国家标准中非强制性条文内容且未做整改超过 3 项(含 3 项)</w:t>
            </w:r>
          </w:p>
        </w:tc>
      </w:tr>
      <w:tr w14:paraId="72DC9B8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26EBE60A">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13BA20D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部分需进行年度安全检测工作的雷电防护装置无检测报告的</w:t>
            </w:r>
          </w:p>
        </w:tc>
      </w:tr>
      <w:tr w14:paraId="103D26E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7124C6F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新、改、扩建项目雷电防护装置审查和竣工验收</w:t>
            </w:r>
          </w:p>
        </w:tc>
        <w:tc>
          <w:tcPr>
            <w:tcW w:w="6884" w:type="dxa"/>
            <w:tcBorders>
              <w:tl2br w:val="nil"/>
              <w:tr2bl w:val="nil"/>
            </w:tcBorders>
            <w:noWrap w:val="0"/>
            <w:vAlign w:val="center"/>
          </w:tcPr>
          <w:p w14:paraId="3204998D">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新、改、扩(建)项目无防雷设计审查意见或防雷施工图审查意见</w:t>
            </w:r>
          </w:p>
        </w:tc>
      </w:tr>
      <w:tr w14:paraId="58BE2E4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continue"/>
            <w:tcBorders>
              <w:tl2br w:val="nil"/>
              <w:tr2bl w:val="nil"/>
            </w:tcBorders>
            <w:noWrap w:val="0"/>
            <w:vAlign w:val="center"/>
          </w:tcPr>
          <w:p w14:paraId="10EAAA5C">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7726100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新投入使用的建(构)筑物, 其雷电防护装置未取得竣工验收合格报告</w:t>
            </w:r>
          </w:p>
        </w:tc>
      </w:tr>
      <w:tr w14:paraId="0C67FDC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tcBorders>
              <w:tl2br w:val="nil"/>
              <w:tr2bl w:val="nil"/>
            </w:tcBorders>
            <w:noWrap w:val="0"/>
            <w:vAlign w:val="center"/>
          </w:tcPr>
          <w:p w14:paraId="7A273C0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防雷安全标志</w:t>
            </w:r>
          </w:p>
        </w:tc>
        <w:tc>
          <w:tcPr>
            <w:tcW w:w="6884" w:type="dxa"/>
            <w:tcBorders>
              <w:tl2br w:val="nil"/>
              <w:tr2bl w:val="nil"/>
            </w:tcBorders>
            <w:noWrap w:val="0"/>
            <w:vAlign w:val="center"/>
          </w:tcPr>
          <w:p w14:paraId="74FA748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对于人员密集场所且具有雷击风险的户外区域、具有爆炸和火灾危险环境的露天生产设备未设置护栏、警告牌等防雷安全标志</w:t>
            </w:r>
          </w:p>
        </w:tc>
      </w:tr>
      <w:tr w14:paraId="5B9BFCF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36FDCD6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雷电灾害历史</w:t>
            </w:r>
          </w:p>
        </w:tc>
        <w:tc>
          <w:tcPr>
            <w:tcW w:w="6884" w:type="dxa"/>
            <w:tcBorders>
              <w:tl2br w:val="nil"/>
              <w:tr2bl w:val="nil"/>
            </w:tcBorders>
            <w:noWrap w:val="0"/>
            <w:vAlign w:val="center"/>
          </w:tcPr>
          <w:p w14:paraId="468AEEDE">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经气象主管机构调查和鉴定后未采取相关改善措施</w:t>
            </w:r>
          </w:p>
        </w:tc>
      </w:tr>
      <w:tr w14:paraId="0DB8307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62" w:hRule="atLeast"/>
          <w:jc w:val="center"/>
        </w:trPr>
        <w:tc>
          <w:tcPr>
            <w:tcW w:w="2595" w:type="dxa"/>
            <w:vMerge w:val="continue"/>
            <w:tcBorders>
              <w:tl2br w:val="nil"/>
              <w:tr2bl w:val="nil"/>
            </w:tcBorders>
            <w:noWrap w:val="0"/>
            <w:vAlign w:val="center"/>
          </w:tcPr>
          <w:p w14:paraId="26A40616">
            <w:pPr>
              <w:jc w:val="center"/>
              <w:rPr>
                <w:rFonts w:hint="eastAsia" w:ascii="仿宋" w:hAnsi="仿宋" w:eastAsia="仿宋" w:cs="仿宋"/>
                <w:b w:val="0"/>
                <w:color w:val="000000"/>
                <w:sz w:val="24"/>
                <w:szCs w:val="32"/>
              </w:rPr>
            </w:pPr>
          </w:p>
        </w:tc>
        <w:tc>
          <w:tcPr>
            <w:tcW w:w="6884" w:type="dxa"/>
            <w:tcBorders>
              <w:tl2br w:val="nil"/>
              <w:tr2bl w:val="nil"/>
            </w:tcBorders>
            <w:noWrap w:val="0"/>
            <w:vAlign w:val="center"/>
          </w:tcPr>
          <w:p w14:paraId="2054102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未向气象主管机构上报灾害情况的</w:t>
            </w:r>
          </w:p>
        </w:tc>
      </w:tr>
    </w:tbl>
    <w:p w14:paraId="02876BD1">
      <w:pPr>
        <w:pStyle w:val="3"/>
        <w:keepNext/>
        <w:keepLines/>
        <w:pageBreakBefore w:val="0"/>
        <w:widowControl w:val="0"/>
        <w:numPr>
          <w:ilvl w:val="0"/>
          <w:numId w:val="0"/>
        </w:numPr>
        <w:kinsoku/>
        <w:wordWrap/>
        <w:overflowPunct/>
        <w:topLinePunct w:val="0"/>
        <w:autoSpaceDE/>
        <w:autoSpaceDN/>
        <w:bidi w:val="0"/>
        <w:adjustRightInd/>
        <w:snapToGrid/>
        <w:spacing w:before="0" w:beforeLines="100" w:after="0" w:line="413" w:lineRule="auto"/>
        <w:ind w:firstLine="643" w:firstLineChars="200"/>
        <w:textAlignment w:val="auto"/>
        <w:rPr>
          <w:rFonts w:hint="eastAsia"/>
          <w:lang w:val="en-US" w:eastAsia="zh-CN"/>
        </w:rPr>
      </w:pPr>
      <w:r>
        <w:rPr>
          <w:rFonts w:hint="eastAsia"/>
          <w:lang w:val="en-US" w:eastAsia="zh-CN"/>
        </w:rPr>
        <w:t>2、雷电灾害事故后果严重性评估（S）</w:t>
      </w:r>
    </w:p>
    <w:p w14:paraId="68EB197F">
      <w:pPr>
        <w:pStyle w:val="6"/>
        <w:spacing w:before="226" w:line="360" w:lineRule="auto"/>
        <w:ind w:right="15"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雷电灾害事故后果严重性评价应先按表A. 5进行雷电灾害事故后果严重性评价因子赋值 , 再按公式(A. 3)计算 。</w:t>
      </w:r>
    </w:p>
    <w:p w14:paraId="6C4B7B9E">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5 雷电灾害事故后果严重性评价因子赋值</w:t>
      </w:r>
    </w:p>
    <w:p w14:paraId="481671D4">
      <w:pPr>
        <w:spacing w:line="201" w:lineRule="exact"/>
      </w:pPr>
    </w:p>
    <w:tbl>
      <w:tblPr>
        <w:tblStyle w:val="15"/>
        <w:tblW w:w="96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8"/>
        <w:gridCol w:w="1997"/>
        <w:gridCol w:w="2338"/>
        <w:gridCol w:w="1808"/>
        <w:gridCol w:w="667"/>
        <w:gridCol w:w="689"/>
      </w:tblGrid>
      <w:tr w14:paraId="04E44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jc w:val="center"/>
        </w:trPr>
        <w:tc>
          <w:tcPr>
            <w:tcW w:w="2138" w:type="dxa"/>
            <w:vMerge w:val="restart"/>
            <w:tcBorders>
              <w:top w:val="single" w:color="000000" w:sz="6" w:space="0"/>
              <w:left w:val="single" w:color="000000" w:sz="6" w:space="0"/>
              <w:bottom w:val="nil"/>
            </w:tcBorders>
            <w:noWrap w:val="0"/>
            <w:vAlign w:val="center"/>
          </w:tcPr>
          <w:p w14:paraId="043240E3">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评价因子</w:t>
            </w:r>
          </w:p>
        </w:tc>
        <w:tc>
          <w:tcPr>
            <w:tcW w:w="6143" w:type="dxa"/>
            <w:gridSpan w:val="3"/>
            <w:tcBorders>
              <w:top w:val="single" w:color="000000" w:sz="6" w:space="0"/>
            </w:tcBorders>
            <w:noWrap w:val="0"/>
            <w:vAlign w:val="center"/>
          </w:tcPr>
          <w:p w14:paraId="09C7F26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赋值</w:t>
            </w:r>
          </w:p>
        </w:tc>
        <w:tc>
          <w:tcPr>
            <w:tcW w:w="667" w:type="dxa"/>
            <w:vMerge w:val="restart"/>
            <w:tcBorders>
              <w:top w:val="single" w:color="000000" w:sz="6" w:space="0"/>
              <w:bottom w:val="nil"/>
              <w:right w:val="single" w:color="000000" w:sz="6" w:space="0"/>
            </w:tcBorders>
            <w:noWrap w:val="0"/>
            <w:vAlign w:val="center"/>
          </w:tcPr>
          <w:p w14:paraId="6BE7D400">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Sn</w:t>
            </w:r>
          </w:p>
        </w:tc>
        <w:tc>
          <w:tcPr>
            <w:tcW w:w="689" w:type="dxa"/>
            <w:vMerge w:val="restart"/>
            <w:tcBorders>
              <w:top w:val="single" w:color="000000" w:sz="6" w:space="0"/>
              <w:right w:val="single" w:color="000000" w:sz="6" w:space="0"/>
            </w:tcBorders>
            <w:noWrap w:val="0"/>
            <w:vAlign w:val="center"/>
          </w:tcPr>
          <w:p w14:paraId="03924F75">
            <w:pPr>
              <w:jc w:val="center"/>
              <w:rPr>
                <w:rFonts w:hint="default"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4B9F2B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138" w:type="dxa"/>
            <w:vMerge w:val="continue"/>
            <w:tcBorders>
              <w:top w:val="nil"/>
              <w:left w:val="single" w:color="000000" w:sz="6" w:space="0"/>
              <w:bottom w:val="single" w:color="000000" w:sz="6" w:space="0"/>
            </w:tcBorders>
            <w:noWrap w:val="0"/>
            <w:vAlign w:val="center"/>
          </w:tcPr>
          <w:p w14:paraId="32C70BDB">
            <w:pPr>
              <w:jc w:val="center"/>
              <w:rPr>
                <w:rFonts w:hint="eastAsia" w:ascii="仿宋" w:hAnsi="仿宋" w:eastAsia="仿宋" w:cs="仿宋"/>
                <w:b/>
                <w:bCs/>
                <w:color w:val="000000"/>
                <w:sz w:val="24"/>
                <w:szCs w:val="32"/>
                <w:lang w:val="en-US" w:eastAsia="zh-CN"/>
              </w:rPr>
            </w:pPr>
          </w:p>
        </w:tc>
        <w:tc>
          <w:tcPr>
            <w:tcW w:w="1997" w:type="dxa"/>
            <w:tcBorders>
              <w:bottom w:val="single" w:color="000000" w:sz="6" w:space="0"/>
            </w:tcBorders>
            <w:noWrap w:val="0"/>
            <w:vAlign w:val="center"/>
          </w:tcPr>
          <w:p w14:paraId="25EBD16C">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1</w:t>
            </w:r>
          </w:p>
        </w:tc>
        <w:tc>
          <w:tcPr>
            <w:tcW w:w="2338" w:type="dxa"/>
            <w:tcBorders>
              <w:bottom w:val="single" w:color="000000" w:sz="6" w:space="0"/>
            </w:tcBorders>
            <w:noWrap w:val="0"/>
            <w:vAlign w:val="center"/>
          </w:tcPr>
          <w:p w14:paraId="3445870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2</w:t>
            </w:r>
          </w:p>
        </w:tc>
        <w:tc>
          <w:tcPr>
            <w:tcW w:w="1808" w:type="dxa"/>
            <w:tcBorders>
              <w:bottom w:val="single" w:color="000000" w:sz="6" w:space="0"/>
            </w:tcBorders>
            <w:noWrap w:val="0"/>
            <w:vAlign w:val="center"/>
          </w:tcPr>
          <w:p w14:paraId="02A02A44">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3</w:t>
            </w:r>
          </w:p>
        </w:tc>
        <w:tc>
          <w:tcPr>
            <w:tcW w:w="667" w:type="dxa"/>
            <w:vMerge w:val="continue"/>
            <w:tcBorders>
              <w:top w:val="nil"/>
              <w:bottom w:val="single" w:color="000000" w:sz="6" w:space="0"/>
              <w:right w:val="single" w:color="000000" w:sz="6" w:space="0"/>
            </w:tcBorders>
            <w:noWrap w:val="0"/>
            <w:vAlign w:val="center"/>
          </w:tcPr>
          <w:p w14:paraId="564B2512">
            <w:pPr>
              <w:jc w:val="center"/>
              <w:rPr>
                <w:rFonts w:hint="eastAsia" w:ascii="仿宋" w:hAnsi="仿宋" w:eastAsia="仿宋" w:cs="仿宋"/>
                <w:b w:val="0"/>
                <w:color w:val="000000"/>
                <w:sz w:val="24"/>
                <w:szCs w:val="32"/>
                <w:lang w:val="en-US" w:eastAsia="zh-CN"/>
              </w:rPr>
            </w:pPr>
          </w:p>
        </w:tc>
        <w:tc>
          <w:tcPr>
            <w:tcW w:w="689" w:type="dxa"/>
            <w:vMerge w:val="continue"/>
            <w:tcBorders>
              <w:bottom w:val="single" w:color="000000" w:sz="6" w:space="0"/>
              <w:right w:val="single" w:color="000000" w:sz="6" w:space="0"/>
            </w:tcBorders>
            <w:noWrap w:val="0"/>
            <w:vAlign w:val="center"/>
          </w:tcPr>
          <w:p w14:paraId="17297899">
            <w:pPr>
              <w:jc w:val="center"/>
              <w:rPr>
                <w:rFonts w:hint="eastAsia" w:ascii="仿宋" w:hAnsi="仿宋" w:eastAsia="仿宋" w:cs="仿宋"/>
                <w:b w:val="0"/>
                <w:color w:val="000000"/>
                <w:sz w:val="24"/>
                <w:szCs w:val="32"/>
                <w:lang w:val="en-US" w:eastAsia="zh-CN"/>
              </w:rPr>
            </w:pPr>
          </w:p>
        </w:tc>
      </w:tr>
      <w:tr w14:paraId="71940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4" w:hRule="atLeast"/>
          <w:jc w:val="center"/>
        </w:trPr>
        <w:tc>
          <w:tcPr>
            <w:tcW w:w="2138" w:type="dxa"/>
            <w:tcBorders>
              <w:top w:val="single" w:color="000000" w:sz="6" w:space="0"/>
              <w:left w:val="single" w:color="000000" w:sz="6" w:space="0"/>
            </w:tcBorders>
            <w:noWrap w:val="0"/>
            <w:vAlign w:val="center"/>
          </w:tcPr>
          <w:p w14:paraId="0D5753DD">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风险单元现场人数最大值a</w:t>
            </w:r>
          </w:p>
        </w:tc>
        <w:tc>
          <w:tcPr>
            <w:tcW w:w="1997" w:type="dxa"/>
            <w:tcBorders>
              <w:top w:val="single" w:color="000000" w:sz="6" w:space="0"/>
            </w:tcBorders>
            <w:noWrap w:val="0"/>
            <w:vAlign w:val="center"/>
          </w:tcPr>
          <w:p w14:paraId="6491B36F">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0 , 10)</w:t>
            </w:r>
          </w:p>
        </w:tc>
        <w:tc>
          <w:tcPr>
            <w:tcW w:w="2338" w:type="dxa"/>
            <w:tcBorders>
              <w:top w:val="single" w:color="000000" w:sz="6" w:space="0"/>
            </w:tcBorders>
            <w:noWrap w:val="0"/>
            <w:vAlign w:val="center"/>
          </w:tcPr>
          <w:p w14:paraId="4AEB08D1">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10 , 30)</w:t>
            </w:r>
          </w:p>
        </w:tc>
        <w:tc>
          <w:tcPr>
            <w:tcW w:w="1808" w:type="dxa"/>
            <w:tcBorders>
              <w:top w:val="single" w:color="000000" w:sz="6" w:space="0"/>
            </w:tcBorders>
            <w:noWrap w:val="0"/>
            <w:vAlign w:val="center"/>
          </w:tcPr>
          <w:p w14:paraId="7C195B95">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30 , ∞)</w:t>
            </w:r>
          </w:p>
        </w:tc>
        <w:tc>
          <w:tcPr>
            <w:tcW w:w="667" w:type="dxa"/>
            <w:tcBorders>
              <w:top w:val="single" w:color="000000" w:sz="6" w:space="0"/>
              <w:right w:val="single" w:color="000000" w:sz="6" w:space="0"/>
            </w:tcBorders>
            <w:noWrap w:val="0"/>
            <w:vAlign w:val="center"/>
          </w:tcPr>
          <w:p w14:paraId="13DD072B">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1</w:t>
            </w:r>
          </w:p>
        </w:tc>
        <w:tc>
          <w:tcPr>
            <w:tcW w:w="689" w:type="dxa"/>
            <w:tcBorders>
              <w:top w:val="single" w:color="000000" w:sz="6" w:space="0"/>
              <w:right w:val="single" w:color="000000" w:sz="6" w:space="0"/>
            </w:tcBorders>
            <w:noWrap w:val="0"/>
            <w:vAlign w:val="center"/>
          </w:tcPr>
          <w:p w14:paraId="579C246E">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3</w:t>
            </w:r>
          </w:p>
        </w:tc>
      </w:tr>
      <w:tr w14:paraId="3920D9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0" w:hRule="atLeast"/>
          <w:jc w:val="center"/>
        </w:trPr>
        <w:tc>
          <w:tcPr>
            <w:tcW w:w="2138" w:type="dxa"/>
            <w:tcBorders>
              <w:left w:val="single" w:color="000000" w:sz="6" w:space="0"/>
            </w:tcBorders>
            <w:noWrap w:val="0"/>
            <w:vAlign w:val="center"/>
          </w:tcPr>
          <w:p w14:paraId="30911B2C">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风险单元边界外 500 m范围内防护目标情况</w:t>
            </w:r>
            <w:r>
              <w:rPr>
                <w:rFonts w:hint="eastAsia" w:ascii="仿宋" w:hAnsi="仿宋" w:eastAsia="仿宋" w:cs="仿宋"/>
                <w:b/>
                <w:bCs/>
                <w:color w:val="000000"/>
                <w:sz w:val="24"/>
                <w:szCs w:val="32"/>
                <w:vertAlign w:val="superscript"/>
                <w:lang w:val="en-US" w:eastAsia="zh-CN"/>
              </w:rPr>
              <w:t>b</w:t>
            </w:r>
          </w:p>
        </w:tc>
        <w:tc>
          <w:tcPr>
            <w:tcW w:w="1997" w:type="dxa"/>
            <w:noWrap w:val="0"/>
            <w:vAlign w:val="center"/>
          </w:tcPr>
          <w:p w14:paraId="75BCDE27">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无防护目标</w:t>
            </w:r>
          </w:p>
        </w:tc>
        <w:tc>
          <w:tcPr>
            <w:tcW w:w="2338" w:type="dxa"/>
            <w:noWrap w:val="0"/>
            <w:vAlign w:val="center"/>
          </w:tcPr>
          <w:p w14:paraId="7C03FBA8">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仅涉及 1~2 个一般防护目标中的三类防护目标</w:t>
            </w:r>
          </w:p>
        </w:tc>
        <w:tc>
          <w:tcPr>
            <w:tcW w:w="1808" w:type="dxa"/>
            <w:noWrap w:val="0"/>
            <w:vAlign w:val="center"/>
          </w:tcPr>
          <w:p w14:paraId="77690B8E">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涉及防护目标的其他情况</w:t>
            </w:r>
          </w:p>
        </w:tc>
        <w:tc>
          <w:tcPr>
            <w:tcW w:w="667" w:type="dxa"/>
            <w:tcBorders>
              <w:right w:val="single" w:color="000000" w:sz="6" w:space="0"/>
            </w:tcBorders>
            <w:noWrap w:val="0"/>
            <w:vAlign w:val="center"/>
          </w:tcPr>
          <w:p w14:paraId="76D7F68A">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2</w:t>
            </w:r>
          </w:p>
        </w:tc>
        <w:tc>
          <w:tcPr>
            <w:tcW w:w="689" w:type="dxa"/>
            <w:tcBorders>
              <w:right w:val="single" w:color="000000" w:sz="6" w:space="0"/>
            </w:tcBorders>
            <w:noWrap w:val="0"/>
            <w:vAlign w:val="center"/>
          </w:tcPr>
          <w:p w14:paraId="12CA3A81">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2</w:t>
            </w:r>
          </w:p>
        </w:tc>
      </w:tr>
      <w:tr w14:paraId="688A8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6" w:hRule="atLeast"/>
          <w:jc w:val="center"/>
        </w:trPr>
        <w:tc>
          <w:tcPr>
            <w:tcW w:w="2138" w:type="dxa"/>
            <w:tcBorders>
              <w:left w:val="single" w:color="000000" w:sz="6" w:space="0"/>
              <w:bottom w:val="single" w:color="000000" w:sz="6" w:space="0"/>
            </w:tcBorders>
            <w:noWrap w:val="0"/>
            <w:vAlign w:val="center"/>
          </w:tcPr>
          <w:p w14:paraId="72E52DB4">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风险单元化学品固有危险性等级</w:t>
            </w:r>
          </w:p>
        </w:tc>
        <w:tc>
          <w:tcPr>
            <w:tcW w:w="1997" w:type="dxa"/>
            <w:tcBorders>
              <w:bottom w:val="single" w:color="000000" w:sz="6" w:space="0"/>
            </w:tcBorders>
            <w:noWrap w:val="0"/>
            <w:vAlign w:val="center"/>
          </w:tcPr>
          <w:p w14:paraId="3275F436">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Ⅲ</w:t>
            </w:r>
          </w:p>
        </w:tc>
        <w:tc>
          <w:tcPr>
            <w:tcW w:w="2338" w:type="dxa"/>
            <w:tcBorders>
              <w:bottom w:val="single" w:color="000000" w:sz="6" w:space="0"/>
            </w:tcBorders>
            <w:noWrap w:val="0"/>
            <w:vAlign w:val="center"/>
          </w:tcPr>
          <w:p w14:paraId="26DFFB02">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Ⅱ</w:t>
            </w:r>
          </w:p>
        </w:tc>
        <w:tc>
          <w:tcPr>
            <w:tcW w:w="1808" w:type="dxa"/>
            <w:tcBorders>
              <w:bottom w:val="single" w:color="000000" w:sz="6" w:space="0"/>
            </w:tcBorders>
            <w:noWrap w:val="0"/>
            <w:vAlign w:val="center"/>
          </w:tcPr>
          <w:p w14:paraId="4C992C1B">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I</w:t>
            </w:r>
          </w:p>
        </w:tc>
        <w:tc>
          <w:tcPr>
            <w:tcW w:w="667" w:type="dxa"/>
            <w:tcBorders>
              <w:bottom w:val="single" w:color="000000" w:sz="6" w:space="0"/>
              <w:right w:val="single" w:color="000000" w:sz="6" w:space="0"/>
            </w:tcBorders>
            <w:noWrap w:val="0"/>
            <w:vAlign w:val="center"/>
          </w:tcPr>
          <w:p w14:paraId="38458057">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3</w:t>
            </w:r>
          </w:p>
        </w:tc>
        <w:tc>
          <w:tcPr>
            <w:tcW w:w="689" w:type="dxa"/>
            <w:tcBorders>
              <w:bottom w:val="single" w:color="000000" w:sz="6" w:space="0"/>
              <w:right w:val="single" w:color="000000" w:sz="6" w:space="0"/>
            </w:tcBorders>
            <w:noWrap w:val="0"/>
            <w:vAlign w:val="center"/>
          </w:tcPr>
          <w:p w14:paraId="35CDFD0E">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3</w:t>
            </w:r>
          </w:p>
        </w:tc>
      </w:tr>
    </w:tbl>
    <w:p w14:paraId="339F616C">
      <w:pPr>
        <w:keepNext w:val="0"/>
        <w:keepLines w:val="0"/>
        <w:pageBreakBefore w:val="0"/>
        <w:widowControl w:val="0"/>
        <w:kinsoku/>
        <w:wordWrap/>
        <w:overflowPunct/>
        <w:topLinePunct w:val="0"/>
        <w:autoSpaceDE/>
        <w:autoSpaceDN/>
        <w:bidi w:val="0"/>
        <w:adjustRightInd/>
        <w:snapToGrid/>
        <w:spacing w:before="0" w:beforeLines="100" w:line="420" w:lineRule="exact"/>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S=MAX(</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1</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2</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w:t>
      </w:r>
      <w:r>
        <w:rPr>
          <w:rFonts w:hint="eastAsia" w:ascii="微软雅黑" w:hAnsi="微软雅黑" w:eastAsia="微软雅黑" w:cs="微软雅黑"/>
          <w:snapToGrid w:val="0"/>
          <w:color w:val="000000"/>
          <w:spacing w:val="11"/>
          <w:kern w:val="0"/>
          <w:sz w:val="28"/>
          <w:szCs w:val="28"/>
          <w:lang w:val="en-US" w:eastAsia="zh-CN"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………………(A. 3)</w:t>
      </w:r>
    </w:p>
    <w:p w14:paraId="31EDD96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3B6EF4B9">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snapToGrid w:val="0"/>
          <w:color w:val="000000"/>
          <w:spacing w:val="11"/>
          <w:kern w:val="0"/>
          <w:sz w:val="24"/>
          <w:szCs w:val="24"/>
          <w:lang w:val="en-US" w:eastAsia="en-US" w:bidi="ar-SA"/>
        </w:rPr>
        <w:t xml:space="preserve"> — 雷电灾害事故后果严重性;</w:t>
      </w:r>
    </w:p>
    <w:p w14:paraId="037ABA0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风险单元现场人数最大值分值;</w:t>
      </w:r>
    </w:p>
    <w:p w14:paraId="2141F508">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风险单元边界外 500 m范围内防护目标情况分值;</w:t>
      </w:r>
    </w:p>
    <w:p w14:paraId="63EC02DD">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风险单元化学品固有危险性等级分值。</w:t>
      </w:r>
    </w:p>
    <w:p w14:paraId="2EC00B8C">
      <w:pPr>
        <w:pStyle w:val="6"/>
        <w:spacing w:before="226" w:line="360" w:lineRule="auto"/>
        <w:ind w:right="15" w:firstLine="643"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S</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 风险单元化学品固有危险性等级赋值：</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化学品固有危险性等级确定按表 A. 6 进行化学品固有危险性等级评价因子赋值, 再按公式(A. 4)计算化学品固有危险性分值, 最后按表 A. 7 划分为 I 、Ⅱ 、Ⅲ三个等级 。</w:t>
      </w:r>
    </w:p>
    <w:p w14:paraId="187B75EE">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6 化学品固有危险性评价因子赋值</w:t>
      </w:r>
    </w:p>
    <w:p w14:paraId="581691F2">
      <w:pPr>
        <w:spacing w:line="201" w:lineRule="exact"/>
      </w:pPr>
    </w:p>
    <w:tbl>
      <w:tblPr>
        <w:tblStyle w:val="15"/>
        <w:tblW w:w="988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7"/>
        <w:gridCol w:w="2175"/>
        <w:gridCol w:w="1994"/>
        <w:gridCol w:w="1997"/>
        <w:gridCol w:w="767"/>
        <w:gridCol w:w="767"/>
      </w:tblGrid>
      <w:tr w14:paraId="17032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2187" w:type="dxa"/>
            <w:vMerge w:val="restart"/>
            <w:tcBorders>
              <w:top w:val="single" w:color="000000" w:sz="6" w:space="0"/>
              <w:left w:val="single" w:color="000000" w:sz="6" w:space="0"/>
              <w:bottom w:val="nil"/>
            </w:tcBorders>
            <w:noWrap w:val="0"/>
            <w:vAlign w:val="top"/>
          </w:tcPr>
          <w:p w14:paraId="68DEE9B0">
            <w:pPr>
              <w:pStyle w:val="14"/>
              <w:spacing w:before="272" w:line="183" w:lineRule="auto"/>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评价因子</w:t>
            </w:r>
          </w:p>
        </w:tc>
        <w:tc>
          <w:tcPr>
            <w:tcW w:w="6166" w:type="dxa"/>
            <w:gridSpan w:val="3"/>
            <w:tcBorders>
              <w:top w:val="single" w:color="000000" w:sz="6" w:space="0"/>
            </w:tcBorders>
            <w:noWrap w:val="0"/>
            <w:vAlign w:val="top"/>
          </w:tcPr>
          <w:p w14:paraId="6E3C218B">
            <w:pPr>
              <w:pStyle w:val="14"/>
              <w:spacing w:before="93" w:line="184" w:lineRule="auto"/>
              <w:ind w:left="2893"/>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赋值</w:t>
            </w:r>
          </w:p>
        </w:tc>
        <w:tc>
          <w:tcPr>
            <w:tcW w:w="767" w:type="dxa"/>
            <w:vMerge w:val="restart"/>
            <w:tcBorders>
              <w:top w:val="single" w:color="000000" w:sz="6" w:space="0"/>
              <w:bottom w:val="nil"/>
              <w:right w:val="single" w:color="000000" w:sz="6" w:space="0"/>
            </w:tcBorders>
            <w:noWrap w:val="0"/>
            <w:vAlign w:val="top"/>
          </w:tcPr>
          <w:p w14:paraId="7AF07215">
            <w:pPr>
              <w:spacing w:before="278" w:line="238" w:lineRule="auto"/>
              <w:ind w:left="277"/>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Mn</w:t>
            </w:r>
          </w:p>
        </w:tc>
        <w:tc>
          <w:tcPr>
            <w:tcW w:w="767" w:type="dxa"/>
            <w:vMerge w:val="restart"/>
            <w:tcBorders>
              <w:top w:val="single" w:color="000000" w:sz="6" w:space="0"/>
              <w:right w:val="single" w:color="000000" w:sz="6" w:space="0"/>
            </w:tcBorders>
            <w:noWrap w:val="0"/>
            <w:vAlign w:val="top"/>
          </w:tcPr>
          <w:p w14:paraId="386F2447">
            <w:pPr>
              <w:spacing w:before="278" w:line="238" w:lineRule="auto"/>
              <w:jc w:val="center"/>
              <w:rPr>
                <w:rFonts w:hint="default"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分值</w:t>
            </w:r>
          </w:p>
        </w:tc>
      </w:tr>
      <w:tr w14:paraId="13D48D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2187" w:type="dxa"/>
            <w:vMerge w:val="continue"/>
            <w:tcBorders>
              <w:top w:val="nil"/>
              <w:left w:val="single" w:color="000000" w:sz="6" w:space="0"/>
              <w:bottom w:val="single" w:color="000000" w:sz="6" w:space="0"/>
            </w:tcBorders>
            <w:noWrap w:val="0"/>
            <w:vAlign w:val="top"/>
          </w:tcPr>
          <w:p w14:paraId="3FDF9BF1">
            <w:pPr>
              <w:jc w:val="center"/>
              <w:rPr>
                <w:rFonts w:hint="eastAsia" w:ascii="仿宋" w:hAnsi="仿宋" w:eastAsia="仿宋" w:cs="仿宋"/>
                <w:b/>
                <w:bCs/>
                <w:color w:val="000000"/>
                <w:kern w:val="2"/>
                <w:sz w:val="24"/>
                <w:szCs w:val="32"/>
                <w:lang w:val="en-US" w:eastAsia="zh-CN" w:bidi="ar-SA"/>
              </w:rPr>
            </w:pPr>
          </w:p>
        </w:tc>
        <w:tc>
          <w:tcPr>
            <w:tcW w:w="2175" w:type="dxa"/>
            <w:tcBorders>
              <w:bottom w:val="single" w:color="000000" w:sz="6" w:space="0"/>
            </w:tcBorders>
            <w:noWrap w:val="0"/>
            <w:vAlign w:val="top"/>
          </w:tcPr>
          <w:p w14:paraId="5D4A4A4D">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1</w:t>
            </w:r>
          </w:p>
        </w:tc>
        <w:tc>
          <w:tcPr>
            <w:tcW w:w="1994" w:type="dxa"/>
            <w:tcBorders>
              <w:bottom w:val="single" w:color="000000" w:sz="6" w:space="0"/>
            </w:tcBorders>
            <w:noWrap w:val="0"/>
            <w:vAlign w:val="top"/>
          </w:tcPr>
          <w:p w14:paraId="28220DC5">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2</w:t>
            </w:r>
          </w:p>
        </w:tc>
        <w:tc>
          <w:tcPr>
            <w:tcW w:w="1997" w:type="dxa"/>
            <w:tcBorders>
              <w:bottom w:val="single" w:color="000000" w:sz="6" w:space="0"/>
            </w:tcBorders>
            <w:noWrap w:val="0"/>
            <w:vAlign w:val="top"/>
          </w:tcPr>
          <w:p w14:paraId="2C5ADF48">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3</w:t>
            </w:r>
          </w:p>
        </w:tc>
        <w:tc>
          <w:tcPr>
            <w:tcW w:w="767" w:type="dxa"/>
            <w:vMerge w:val="continue"/>
            <w:tcBorders>
              <w:top w:val="nil"/>
              <w:bottom w:val="single" w:color="000000" w:sz="6" w:space="0"/>
              <w:right w:val="single" w:color="000000" w:sz="6" w:space="0"/>
            </w:tcBorders>
            <w:noWrap w:val="0"/>
            <w:vAlign w:val="top"/>
          </w:tcPr>
          <w:p w14:paraId="3FEA97EB">
            <w:pPr>
              <w:jc w:val="center"/>
              <w:rPr>
                <w:rFonts w:hint="eastAsia" w:ascii="仿宋" w:hAnsi="仿宋" w:eastAsia="仿宋" w:cs="仿宋"/>
                <w:b w:val="0"/>
                <w:color w:val="000000"/>
                <w:kern w:val="2"/>
                <w:sz w:val="24"/>
                <w:szCs w:val="32"/>
                <w:lang w:val="en-US" w:eastAsia="zh-CN" w:bidi="ar-SA"/>
              </w:rPr>
            </w:pPr>
          </w:p>
        </w:tc>
        <w:tc>
          <w:tcPr>
            <w:tcW w:w="767" w:type="dxa"/>
            <w:vMerge w:val="continue"/>
            <w:tcBorders>
              <w:bottom w:val="single" w:color="000000" w:sz="6" w:space="0"/>
              <w:right w:val="single" w:color="000000" w:sz="6" w:space="0"/>
            </w:tcBorders>
            <w:noWrap w:val="0"/>
            <w:vAlign w:val="top"/>
          </w:tcPr>
          <w:p w14:paraId="5D28F78B">
            <w:pPr>
              <w:jc w:val="center"/>
              <w:rPr>
                <w:rFonts w:hint="eastAsia" w:ascii="仿宋" w:hAnsi="仿宋" w:eastAsia="仿宋" w:cs="仿宋"/>
                <w:b w:val="0"/>
                <w:color w:val="000000"/>
                <w:kern w:val="2"/>
                <w:sz w:val="24"/>
                <w:szCs w:val="32"/>
                <w:lang w:val="en-US" w:eastAsia="zh-CN" w:bidi="ar-SA"/>
              </w:rPr>
            </w:pPr>
          </w:p>
        </w:tc>
      </w:tr>
      <w:tr w14:paraId="03AA7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2187" w:type="dxa"/>
            <w:tcBorders>
              <w:top w:val="single" w:color="000000" w:sz="6" w:space="0"/>
              <w:left w:val="single" w:color="000000" w:sz="6" w:space="0"/>
            </w:tcBorders>
            <w:noWrap w:val="0"/>
            <w:vAlign w:val="center"/>
          </w:tcPr>
          <w:p w14:paraId="4B53F59E">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火灾危险性类别</w:t>
            </w:r>
            <w:r>
              <w:rPr>
                <w:rFonts w:hint="eastAsia" w:ascii="仿宋" w:hAnsi="仿宋" w:eastAsia="仿宋" w:cs="仿宋"/>
                <w:b/>
                <w:bCs/>
                <w:color w:val="000000"/>
                <w:sz w:val="24"/>
                <w:szCs w:val="32"/>
                <w:vertAlign w:val="superscript"/>
                <w:lang w:val="en-US" w:eastAsia="zh-CN"/>
              </w:rPr>
              <w:t>a</w:t>
            </w:r>
          </w:p>
        </w:tc>
        <w:tc>
          <w:tcPr>
            <w:tcW w:w="2175" w:type="dxa"/>
            <w:tcBorders>
              <w:top w:val="single" w:color="000000" w:sz="6" w:space="0"/>
            </w:tcBorders>
            <w:noWrap w:val="0"/>
            <w:vAlign w:val="center"/>
          </w:tcPr>
          <w:p w14:paraId="4DC2C8E0">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丁、戊类及其他</w:t>
            </w:r>
          </w:p>
        </w:tc>
        <w:tc>
          <w:tcPr>
            <w:tcW w:w="1994" w:type="dxa"/>
            <w:tcBorders>
              <w:top w:val="single" w:color="000000" w:sz="6" w:space="0"/>
            </w:tcBorders>
            <w:noWrap w:val="0"/>
            <w:vAlign w:val="center"/>
          </w:tcPr>
          <w:p w14:paraId="70884BC0">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乙、丙类</w:t>
            </w:r>
          </w:p>
        </w:tc>
        <w:tc>
          <w:tcPr>
            <w:tcW w:w="1997" w:type="dxa"/>
            <w:tcBorders>
              <w:top w:val="single" w:color="000000" w:sz="6" w:space="0"/>
            </w:tcBorders>
            <w:noWrap w:val="0"/>
            <w:vAlign w:val="center"/>
          </w:tcPr>
          <w:p w14:paraId="76BCF3B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甲类</w:t>
            </w:r>
          </w:p>
        </w:tc>
        <w:tc>
          <w:tcPr>
            <w:tcW w:w="767" w:type="dxa"/>
            <w:tcBorders>
              <w:top w:val="single" w:color="000000" w:sz="6" w:space="0"/>
              <w:right w:val="single" w:color="000000" w:sz="6" w:space="0"/>
            </w:tcBorders>
            <w:noWrap w:val="0"/>
            <w:vAlign w:val="center"/>
          </w:tcPr>
          <w:p w14:paraId="4CAE0BA2">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1</w:t>
            </w:r>
          </w:p>
        </w:tc>
        <w:tc>
          <w:tcPr>
            <w:tcW w:w="767" w:type="dxa"/>
            <w:tcBorders>
              <w:top w:val="single" w:color="000000" w:sz="6" w:space="0"/>
              <w:right w:val="single" w:color="000000" w:sz="6" w:space="0"/>
            </w:tcBorders>
            <w:noWrap w:val="0"/>
            <w:vAlign w:val="center"/>
          </w:tcPr>
          <w:p w14:paraId="57A0E886">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3</w:t>
            </w:r>
          </w:p>
        </w:tc>
      </w:tr>
      <w:tr w14:paraId="5B6D1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jc w:val="center"/>
        </w:trPr>
        <w:tc>
          <w:tcPr>
            <w:tcW w:w="2187" w:type="dxa"/>
            <w:tcBorders>
              <w:left w:val="single" w:color="000000" w:sz="6" w:space="0"/>
            </w:tcBorders>
            <w:noWrap w:val="0"/>
            <w:vAlign w:val="center"/>
          </w:tcPr>
          <w:p w14:paraId="6B3F02F3">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化学品急性毒性危害类别</w:t>
            </w:r>
            <w:r>
              <w:rPr>
                <w:rFonts w:hint="eastAsia" w:ascii="仿宋" w:hAnsi="仿宋" w:eastAsia="仿宋" w:cs="仿宋"/>
                <w:b/>
                <w:bCs/>
                <w:color w:val="000000"/>
                <w:sz w:val="24"/>
                <w:szCs w:val="32"/>
                <w:vertAlign w:val="superscript"/>
                <w:lang w:val="en-US" w:eastAsia="zh-CN"/>
              </w:rPr>
              <w:t>b</w:t>
            </w:r>
          </w:p>
        </w:tc>
        <w:tc>
          <w:tcPr>
            <w:tcW w:w="2175" w:type="dxa"/>
            <w:noWrap w:val="0"/>
            <w:vAlign w:val="center"/>
          </w:tcPr>
          <w:p w14:paraId="71F5317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类别4、类别5及其他</w:t>
            </w:r>
          </w:p>
        </w:tc>
        <w:tc>
          <w:tcPr>
            <w:tcW w:w="1994" w:type="dxa"/>
            <w:noWrap w:val="0"/>
            <w:vAlign w:val="center"/>
          </w:tcPr>
          <w:p w14:paraId="36450DC7">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类别2、类别3</w:t>
            </w:r>
          </w:p>
        </w:tc>
        <w:tc>
          <w:tcPr>
            <w:tcW w:w="1997" w:type="dxa"/>
            <w:noWrap w:val="0"/>
            <w:vAlign w:val="center"/>
          </w:tcPr>
          <w:p w14:paraId="46DCE77C">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类别1</w:t>
            </w:r>
          </w:p>
        </w:tc>
        <w:tc>
          <w:tcPr>
            <w:tcW w:w="767" w:type="dxa"/>
            <w:tcBorders>
              <w:right w:val="single" w:color="000000" w:sz="6" w:space="0"/>
            </w:tcBorders>
            <w:noWrap w:val="0"/>
            <w:vAlign w:val="center"/>
          </w:tcPr>
          <w:p w14:paraId="6247FD5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2</w:t>
            </w:r>
          </w:p>
        </w:tc>
        <w:tc>
          <w:tcPr>
            <w:tcW w:w="767" w:type="dxa"/>
            <w:tcBorders>
              <w:right w:val="single" w:color="000000" w:sz="6" w:space="0"/>
            </w:tcBorders>
            <w:noWrap w:val="0"/>
            <w:vAlign w:val="center"/>
          </w:tcPr>
          <w:p w14:paraId="785C3FA1">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2</w:t>
            </w:r>
          </w:p>
        </w:tc>
      </w:tr>
      <w:tr w14:paraId="7CC01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81" w:hRule="atLeast"/>
          <w:jc w:val="center"/>
        </w:trPr>
        <w:tc>
          <w:tcPr>
            <w:tcW w:w="2187" w:type="dxa"/>
            <w:tcBorders>
              <w:left w:val="single" w:color="000000" w:sz="6" w:space="0"/>
            </w:tcBorders>
            <w:noWrap w:val="0"/>
            <w:vAlign w:val="center"/>
          </w:tcPr>
          <w:p w14:paraId="74431A9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危险工艺和操作</w:t>
            </w:r>
          </w:p>
        </w:tc>
        <w:tc>
          <w:tcPr>
            <w:tcW w:w="2175" w:type="dxa"/>
            <w:noWrap w:val="0"/>
            <w:vAlign w:val="center"/>
          </w:tcPr>
          <w:p w14:paraId="399B001F">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不涉及危险化工 工艺和金属有机物合成反应(包括格氏反应), 且采用连续、间歇或半连续操作</w:t>
            </w:r>
          </w:p>
        </w:tc>
        <w:tc>
          <w:tcPr>
            <w:tcW w:w="1994" w:type="dxa"/>
            <w:noWrap w:val="0"/>
            <w:vAlign w:val="center"/>
          </w:tcPr>
          <w:p w14:paraId="76CEBE29">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涉及危险工艺和金属有机物合成反应(包括格氏反 应), 且采用连续操作</w:t>
            </w:r>
          </w:p>
        </w:tc>
        <w:tc>
          <w:tcPr>
            <w:tcW w:w="1997" w:type="dxa"/>
            <w:noWrap w:val="0"/>
            <w:vAlign w:val="center"/>
          </w:tcPr>
          <w:p w14:paraId="3CC4EE08">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涉及危险工艺或金属有机物合成反应(包括格氏反 应),且采用间歇或半连续操作</w:t>
            </w:r>
          </w:p>
        </w:tc>
        <w:tc>
          <w:tcPr>
            <w:tcW w:w="767" w:type="dxa"/>
            <w:tcBorders>
              <w:right w:val="single" w:color="000000" w:sz="6" w:space="0"/>
            </w:tcBorders>
            <w:noWrap w:val="0"/>
            <w:vAlign w:val="center"/>
          </w:tcPr>
          <w:p w14:paraId="50872C5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3</w:t>
            </w:r>
          </w:p>
        </w:tc>
        <w:tc>
          <w:tcPr>
            <w:tcW w:w="767" w:type="dxa"/>
            <w:tcBorders>
              <w:right w:val="single" w:color="000000" w:sz="6" w:space="0"/>
            </w:tcBorders>
            <w:noWrap w:val="0"/>
            <w:vAlign w:val="center"/>
          </w:tcPr>
          <w:p w14:paraId="74FB1E3C">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1</w:t>
            </w:r>
          </w:p>
        </w:tc>
      </w:tr>
      <w:tr w14:paraId="4AB43D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4" w:hRule="atLeast"/>
          <w:jc w:val="center"/>
        </w:trPr>
        <w:tc>
          <w:tcPr>
            <w:tcW w:w="2187" w:type="dxa"/>
            <w:tcBorders>
              <w:left w:val="single" w:color="000000" w:sz="6" w:space="0"/>
              <w:bottom w:val="single" w:color="000000" w:sz="6" w:space="0"/>
            </w:tcBorders>
            <w:noWrap w:val="0"/>
            <w:vAlign w:val="center"/>
          </w:tcPr>
          <w:p w14:paraId="1112C2A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重大危险源等级</w:t>
            </w:r>
            <w:r>
              <w:rPr>
                <w:rFonts w:hint="eastAsia" w:ascii="仿宋" w:hAnsi="仿宋" w:eastAsia="仿宋" w:cs="仿宋"/>
                <w:b/>
                <w:bCs/>
                <w:color w:val="000000"/>
                <w:sz w:val="24"/>
                <w:szCs w:val="32"/>
                <w:vertAlign w:val="superscript"/>
                <w:lang w:val="en-US" w:eastAsia="zh-CN"/>
              </w:rPr>
              <w:t>c</w:t>
            </w:r>
          </w:p>
        </w:tc>
        <w:tc>
          <w:tcPr>
            <w:tcW w:w="2175" w:type="dxa"/>
            <w:tcBorders>
              <w:bottom w:val="single" w:color="000000" w:sz="6" w:space="0"/>
            </w:tcBorders>
            <w:noWrap w:val="0"/>
            <w:vAlign w:val="center"/>
          </w:tcPr>
          <w:p w14:paraId="5D362AF4">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非危险化学品重大危险源</w:t>
            </w:r>
          </w:p>
        </w:tc>
        <w:tc>
          <w:tcPr>
            <w:tcW w:w="1994" w:type="dxa"/>
            <w:tcBorders>
              <w:bottom w:val="single" w:color="000000" w:sz="6" w:space="0"/>
            </w:tcBorders>
            <w:noWrap w:val="0"/>
            <w:vAlign w:val="center"/>
          </w:tcPr>
          <w:p w14:paraId="3E2558B3">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三级 、四级</w:t>
            </w:r>
          </w:p>
        </w:tc>
        <w:tc>
          <w:tcPr>
            <w:tcW w:w="1997" w:type="dxa"/>
            <w:tcBorders>
              <w:bottom w:val="single" w:color="000000" w:sz="6" w:space="0"/>
            </w:tcBorders>
            <w:noWrap w:val="0"/>
            <w:vAlign w:val="center"/>
          </w:tcPr>
          <w:p w14:paraId="1468EA97">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二级 、一级</w:t>
            </w:r>
          </w:p>
        </w:tc>
        <w:tc>
          <w:tcPr>
            <w:tcW w:w="767" w:type="dxa"/>
            <w:tcBorders>
              <w:bottom w:val="single" w:color="000000" w:sz="6" w:space="0"/>
              <w:right w:val="single" w:color="000000" w:sz="6" w:space="0"/>
            </w:tcBorders>
            <w:noWrap w:val="0"/>
            <w:vAlign w:val="center"/>
          </w:tcPr>
          <w:p w14:paraId="10B8B13F">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4</w:t>
            </w:r>
          </w:p>
        </w:tc>
        <w:tc>
          <w:tcPr>
            <w:tcW w:w="767" w:type="dxa"/>
            <w:tcBorders>
              <w:bottom w:val="single" w:color="000000" w:sz="6" w:space="0"/>
              <w:right w:val="single" w:color="000000" w:sz="6" w:space="0"/>
            </w:tcBorders>
            <w:noWrap w:val="0"/>
            <w:vAlign w:val="center"/>
          </w:tcPr>
          <w:p w14:paraId="466A4EEC">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2</w:t>
            </w:r>
          </w:p>
        </w:tc>
      </w:tr>
    </w:tbl>
    <w:p w14:paraId="74BFABB3">
      <w:pPr>
        <w:pStyle w:val="6"/>
        <w:keepNext w:val="0"/>
        <w:keepLines w:val="0"/>
        <w:pageBreakBefore w:val="0"/>
        <w:widowControl w:val="0"/>
        <w:kinsoku/>
        <w:wordWrap/>
        <w:overflowPunct/>
        <w:topLinePunct w:val="0"/>
        <w:autoSpaceDE/>
        <w:autoSpaceDN/>
        <w:bidi w:val="0"/>
        <w:adjustRightInd/>
        <w:snapToGrid/>
        <w:spacing w:before="315" w:line="176"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M=MAX(</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1</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2</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4</w:t>
      </w:r>
      <w:r>
        <w:rPr>
          <w:rFonts w:hint="eastAsia" w:ascii="微软雅黑" w:hAnsi="微软雅黑" w:eastAsia="微软雅黑" w:cs="微软雅黑"/>
          <w:snapToGrid w:val="0"/>
          <w:color w:val="000000"/>
          <w:spacing w:val="11"/>
          <w:kern w:val="0"/>
          <w:sz w:val="28"/>
          <w:szCs w:val="28"/>
          <w:lang w:val="en-US" w:eastAsia="en-US" w:bidi="ar-SA"/>
        </w:rPr>
        <w:t xml:space="preserve"> ) </w:t>
      </w:r>
      <w:r>
        <w:rPr>
          <w:rFonts w:hint="eastAsia" w:cs="微软雅黑"/>
          <w:snapToGrid w:val="0"/>
          <w:color w:val="000000"/>
          <w:spacing w:val="11"/>
          <w:kern w:val="0"/>
          <w:sz w:val="28"/>
          <w:szCs w:val="28"/>
          <w:lang w:val="en-US" w:eastAsia="zh-CN"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………………(A. 4)</w:t>
      </w:r>
    </w:p>
    <w:p w14:paraId="0F052D7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544C0704">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lang w:val="en-US" w:eastAsia="en-US" w:bidi="ar-SA"/>
        </w:rPr>
        <w:t xml:space="preserve"> — 化学品固有危险性分值</w:t>
      </w:r>
      <w:r>
        <w:rPr>
          <w:rFonts w:hint="eastAsia" w:ascii="微软雅黑" w:hAnsi="微软雅黑" w:eastAsia="微软雅黑" w:cs="微软雅黑"/>
          <w:snapToGrid w:val="0"/>
          <w:color w:val="000000"/>
          <w:spacing w:val="11"/>
          <w:kern w:val="0"/>
          <w:sz w:val="24"/>
          <w:szCs w:val="24"/>
          <w:lang w:val="en-US" w:eastAsia="zh-CN" w:bidi="ar-SA"/>
        </w:rPr>
        <w:t>；</w:t>
      </w:r>
    </w:p>
    <w:p w14:paraId="3FD035A4">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火灾危险性类别分值</w:t>
      </w:r>
      <w:r>
        <w:rPr>
          <w:rFonts w:hint="eastAsia" w:ascii="微软雅黑" w:hAnsi="微软雅黑" w:eastAsia="微软雅黑" w:cs="微软雅黑"/>
          <w:snapToGrid w:val="0"/>
          <w:color w:val="000000"/>
          <w:spacing w:val="11"/>
          <w:kern w:val="0"/>
          <w:sz w:val="24"/>
          <w:szCs w:val="24"/>
          <w:lang w:val="en-US" w:eastAsia="zh-CN" w:bidi="ar-SA"/>
        </w:rPr>
        <w:t>；</w:t>
      </w:r>
    </w:p>
    <w:p w14:paraId="27AD770D">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化学品急性毒性危害类别分值</w:t>
      </w:r>
      <w:r>
        <w:rPr>
          <w:rFonts w:hint="eastAsia" w:ascii="微软雅黑" w:hAnsi="微软雅黑" w:eastAsia="微软雅黑" w:cs="微软雅黑"/>
          <w:snapToGrid w:val="0"/>
          <w:color w:val="000000"/>
          <w:spacing w:val="11"/>
          <w:kern w:val="0"/>
          <w:sz w:val="24"/>
          <w:szCs w:val="24"/>
          <w:lang w:val="en-US" w:eastAsia="zh-CN" w:bidi="ar-SA"/>
        </w:rPr>
        <w:t>；</w:t>
      </w:r>
    </w:p>
    <w:p w14:paraId="115EC10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危险工艺和操作分值</w:t>
      </w:r>
      <w:r>
        <w:rPr>
          <w:rFonts w:hint="eastAsia" w:ascii="微软雅黑" w:hAnsi="微软雅黑" w:eastAsia="微软雅黑" w:cs="微软雅黑"/>
          <w:snapToGrid w:val="0"/>
          <w:color w:val="000000"/>
          <w:spacing w:val="11"/>
          <w:kern w:val="0"/>
          <w:sz w:val="24"/>
          <w:szCs w:val="24"/>
          <w:lang w:val="en-US" w:eastAsia="zh-CN" w:bidi="ar-SA"/>
        </w:rPr>
        <w:t>；</w:t>
      </w:r>
    </w:p>
    <w:p w14:paraId="62A774F5">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4</w:t>
      </w:r>
      <w:r>
        <w:rPr>
          <w:rFonts w:hint="eastAsia" w:ascii="微软雅黑" w:hAnsi="微软雅黑" w:eastAsia="微软雅黑" w:cs="微软雅黑"/>
          <w:snapToGrid w:val="0"/>
          <w:color w:val="000000"/>
          <w:spacing w:val="11"/>
          <w:kern w:val="0"/>
          <w:sz w:val="24"/>
          <w:szCs w:val="24"/>
          <w:lang w:val="en-US" w:eastAsia="en-US" w:bidi="ar-SA"/>
        </w:rPr>
        <w:t xml:space="preserve"> — 重大危险源等级分值</w:t>
      </w:r>
      <w:r>
        <w:rPr>
          <w:rFonts w:hint="eastAsia" w:ascii="微软雅黑" w:hAnsi="微软雅黑" w:eastAsia="微软雅黑" w:cs="微软雅黑"/>
          <w:snapToGrid w:val="0"/>
          <w:color w:val="000000"/>
          <w:spacing w:val="11"/>
          <w:kern w:val="0"/>
          <w:sz w:val="24"/>
          <w:szCs w:val="24"/>
          <w:lang w:val="en-US" w:eastAsia="zh-CN" w:bidi="ar-SA"/>
        </w:rPr>
        <w:t>。</w:t>
      </w:r>
    </w:p>
    <w:p w14:paraId="716B816F">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 xml:space="preserve">表A. 7 </w:t>
      </w:r>
      <w:r>
        <w:rPr>
          <w:rFonts w:hint="eastAsia" w:cs="微软雅黑"/>
          <w:snapToGrid w:val="0"/>
          <w:color w:val="000000"/>
          <w:spacing w:val="11"/>
          <w:kern w:val="0"/>
          <w:sz w:val="28"/>
          <w:szCs w:val="28"/>
          <w:lang w:val="en-US" w:eastAsia="zh-CN" w:bidi="ar-SA"/>
        </w:rPr>
        <w:t xml:space="preserve"> </w:t>
      </w:r>
      <w:r>
        <w:rPr>
          <w:rFonts w:hint="eastAsia" w:ascii="微软雅黑" w:hAnsi="微软雅黑" w:eastAsia="微软雅黑" w:cs="微软雅黑"/>
          <w:snapToGrid w:val="0"/>
          <w:color w:val="000000"/>
          <w:spacing w:val="11"/>
          <w:kern w:val="0"/>
          <w:sz w:val="28"/>
          <w:szCs w:val="28"/>
          <w:lang w:val="en-US" w:eastAsia="en-US" w:bidi="ar-SA"/>
        </w:rPr>
        <w:t>化学品固有危险性分级</w:t>
      </w:r>
    </w:p>
    <w:p w14:paraId="5B50B95E">
      <w:pPr>
        <w:spacing w:line="211" w:lineRule="exact"/>
      </w:pPr>
    </w:p>
    <w:tbl>
      <w:tblPr>
        <w:tblStyle w:val="15"/>
        <w:tblW w:w="903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15"/>
        <w:gridCol w:w="4524"/>
      </w:tblGrid>
      <w:tr w14:paraId="1BF99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1" w:hRule="atLeast"/>
          <w:jc w:val="center"/>
        </w:trPr>
        <w:tc>
          <w:tcPr>
            <w:tcW w:w="4515" w:type="dxa"/>
            <w:tcBorders>
              <w:right w:val="single" w:color="000000" w:sz="2" w:space="0"/>
            </w:tcBorders>
            <w:noWrap w:val="0"/>
            <w:vAlign w:val="center"/>
          </w:tcPr>
          <w:p w14:paraId="44323E3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化学品固有危险性分值</w:t>
            </w:r>
          </w:p>
        </w:tc>
        <w:tc>
          <w:tcPr>
            <w:tcW w:w="4524" w:type="dxa"/>
            <w:tcBorders>
              <w:left w:val="single" w:color="000000" w:sz="2" w:space="0"/>
            </w:tcBorders>
            <w:noWrap w:val="0"/>
            <w:vAlign w:val="center"/>
          </w:tcPr>
          <w:p w14:paraId="542FB040">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化学品固有危险性等级</w:t>
            </w:r>
          </w:p>
        </w:tc>
      </w:tr>
      <w:tr w14:paraId="681F3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9" w:hRule="atLeast"/>
          <w:jc w:val="center"/>
        </w:trPr>
        <w:tc>
          <w:tcPr>
            <w:tcW w:w="4515" w:type="dxa"/>
            <w:tcBorders>
              <w:bottom w:val="single" w:color="000000" w:sz="2" w:space="0"/>
              <w:right w:val="single" w:color="000000" w:sz="2" w:space="0"/>
            </w:tcBorders>
            <w:noWrap w:val="0"/>
            <w:vAlign w:val="center"/>
          </w:tcPr>
          <w:p w14:paraId="59D71A07">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w:t>
            </w:r>
          </w:p>
        </w:tc>
        <w:tc>
          <w:tcPr>
            <w:tcW w:w="4524" w:type="dxa"/>
            <w:tcBorders>
              <w:left w:val="single" w:color="000000" w:sz="2" w:space="0"/>
              <w:bottom w:val="single" w:color="000000" w:sz="2" w:space="0"/>
            </w:tcBorders>
            <w:noWrap w:val="0"/>
            <w:vAlign w:val="center"/>
          </w:tcPr>
          <w:p w14:paraId="39E0E436">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Ⅲ</w:t>
            </w:r>
          </w:p>
        </w:tc>
      </w:tr>
      <w:tr w14:paraId="543B1C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8" w:hRule="atLeast"/>
          <w:jc w:val="center"/>
        </w:trPr>
        <w:tc>
          <w:tcPr>
            <w:tcW w:w="4515" w:type="dxa"/>
            <w:tcBorders>
              <w:top w:val="single" w:color="000000" w:sz="2" w:space="0"/>
              <w:bottom w:val="single" w:color="000000" w:sz="2" w:space="0"/>
              <w:right w:val="single" w:color="000000" w:sz="2" w:space="0"/>
            </w:tcBorders>
            <w:noWrap w:val="0"/>
            <w:vAlign w:val="center"/>
          </w:tcPr>
          <w:p w14:paraId="2148A12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c>
          <w:tcPr>
            <w:tcW w:w="4524" w:type="dxa"/>
            <w:tcBorders>
              <w:top w:val="single" w:color="000000" w:sz="2" w:space="0"/>
              <w:left w:val="single" w:color="000000" w:sz="2" w:space="0"/>
              <w:bottom w:val="single" w:color="000000" w:sz="2" w:space="0"/>
            </w:tcBorders>
            <w:noWrap w:val="0"/>
            <w:vAlign w:val="center"/>
          </w:tcPr>
          <w:p w14:paraId="04976E1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Ⅱ</w:t>
            </w:r>
          </w:p>
        </w:tc>
      </w:tr>
      <w:tr w14:paraId="58D43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3" w:hRule="atLeast"/>
          <w:jc w:val="center"/>
        </w:trPr>
        <w:tc>
          <w:tcPr>
            <w:tcW w:w="4515" w:type="dxa"/>
            <w:tcBorders>
              <w:top w:val="single" w:color="000000" w:sz="2" w:space="0"/>
              <w:right w:val="single" w:color="000000" w:sz="2" w:space="0"/>
            </w:tcBorders>
            <w:noWrap w:val="0"/>
            <w:vAlign w:val="center"/>
          </w:tcPr>
          <w:p w14:paraId="45EECC0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c>
          <w:tcPr>
            <w:tcW w:w="4524" w:type="dxa"/>
            <w:tcBorders>
              <w:top w:val="single" w:color="000000" w:sz="2" w:space="0"/>
              <w:left w:val="single" w:color="000000" w:sz="2" w:space="0"/>
            </w:tcBorders>
            <w:noWrap w:val="0"/>
            <w:vAlign w:val="center"/>
          </w:tcPr>
          <w:p w14:paraId="59E9F677">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val="0"/>
                <w:color w:val="000000"/>
                <w:sz w:val="24"/>
                <w:szCs w:val="32"/>
                <w:lang w:val="en-US" w:eastAsia="zh-CN"/>
              </w:rPr>
              <w:t xml:space="preserve"> I</w:t>
            </w:r>
          </w:p>
        </w:tc>
      </w:tr>
    </w:tbl>
    <w:p w14:paraId="05F099FB">
      <w:pPr>
        <w:rPr>
          <w:rFonts w:ascii="Arial"/>
          <w:sz w:val="21"/>
        </w:rPr>
      </w:pPr>
    </w:p>
    <w:p w14:paraId="0D0D0452">
      <w:pPr>
        <w:pStyle w:val="3"/>
        <w:keepNext/>
        <w:keepLines/>
        <w:pageBreakBefore w:val="0"/>
        <w:widowControl w:val="0"/>
        <w:numPr>
          <w:ilvl w:val="0"/>
          <w:numId w:val="0"/>
        </w:numPr>
        <w:kinsoku/>
        <w:wordWrap/>
        <w:overflowPunct/>
        <w:topLinePunct w:val="0"/>
        <w:autoSpaceDE/>
        <w:autoSpaceDN/>
        <w:bidi w:val="0"/>
        <w:adjustRightInd/>
        <w:snapToGrid/>
        <w:spacing w:before="380" w:after="140" w:line="413" w:lineRule="auto"/>
        <w:ind w:firstLine="643" w:firstLineChars="200"/>
        <w:textAlignment w:val="auto"/>
        <w:rPr>
          <w:rFonts w:hint="default"/>
          <w:lang w:val="en-US" w:eastAsia="zh-CN"/>
        </w:rPr>
      </w:pPr>
      <w:r>
        <w:rPr>
          <w:rFonts w:hint="eastAsia"/>
          <w:lang w:val="en-US" w:eastAsia="zh-CN"/>
        </w:rPr>
        <w:t>3、防雷重点单位防雷安全风险等级（R）</w:t>
      </w:r>
    </w:p>
    <w:p w14:paraId="250530DC">
      <w:pPr>
        <w:rPr>
          <w:rFonts w:ascii="Arial" w:hAnsi="Arial" w:eastAsia="Arial" w:cs="Arial"/>
          <w:sz w:val="21"/>
          <w:szCs w:val="21"/>
        </w:rPr>
      </w:pPr>
    </w:p>
    <w:p w14:paraId="544CD3CC">
      <w:pPr>
        <w:spacing w:line="360" w:lineRule="auto"/>
        <w:ind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根据雷电灾害事故发生可能性(L)和雷电灾害事故后果严重性(S),按照下列公式计算出该公司防雷安全风险值(R)。</w:t>
      </w:r>
    </w:p>
    <w:p w14:paraId="2D1D7919">
      <w:pPr>
        <w:spacing w:line="360" w:lineRule="auto"/>
        <w:jc w:val="center"/>
        <w:rPr>
          <w:rFonts w:hint="default" w:ascii="Arial" w:hAnsi="Arial" w:eastAsia="Arial" w:cs="Arial"/>
          <w:i/>
          <w:iCs/>
          <w:snapToGrid w:val="0"/>
          <w:color w:val="000000"/>
          <w:spacing w:val="22"/>
          <w:w w:val="113"/>
          <w:kern w:val="0"/>
          <w:position w:val="-1"/>
          <w:sz w:val="32"/>
          <w:szCs w:val="32"/>
          <w:lang w:val="en-US" w:eastAsia="zh-CN" w:bidi="ar-SA"/>
        </w:rPr>
      </w:pPr>
      <w:r>
        <w:rPr>
          <w:rFonts w:hint="eastAsia" w:ascii="Arial" w:hAnsi="Arial" w:eastAsia="Arial" w:cs="Arial"/>
          <w:i/>
          <w:iCs/>
          <w:snapToGrid w:val="0"/>
          <w:color w:val="000000"/>
          <w:spacing w:val="22"/>
          <w:w w:val="113"/>
          <w:kern w:val="0"/>
          <w:position w:val="-1"/>
          <w:sz w:val="32"/>
          <w:szCs w:val="32"/>
          <w:lang w:val="en-US" w:eastAsia="zh-CN" w:bidi="ar-SA"/>
        </w:rPr>
        <w:t>R=L×S=1×3=3</w:t>
      </w:r>
    </w:p>
    <w:p w14:paraId="5696D5EB">
      <w:pPr>
        <w:bidi w:val="0"/>
        <w:spacing w:line="360" w:lineRule="auto"/>
        <w:ind w:firstLine="640" w:firstLineChars="200"/>
        <w:rPr>
          <w:rFonts w:hint="eastAsia" w:ascii="仿宋" w:hAnsi="仿宋" w:eastAsia="仿宋" w:cs="仿宋"/>
          <w:b/>
          <w:bCs/>
          <w:i w:val="0"/>
          <w:iCs w:val="0"/>
          <w:caps w:val="0"/>
          <w:color w:val="auto"/>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经综合评定，对照下列“风险评估指标危险等级表”，判定该公司存在：</w:t>
      </w:r>
      <w:r>
        <w:rPr>
          <w:rFonts w:hint="eastAsia" w:ascii="仿宋" w:hAnsi="仿宋" w:eastAsia="仿宋" w:cs="仿宋"/>
          <w:b/>
          <w:bCs/>
          <w:i w:val="0"/>
          <w:iCs w:val="0"/>
          <w:caps w:val="0"/>
          <w:color w:val="auto"/>
          <w:spacing w:val="0"/>
          <w:kern w:val="0"/>
          <w:sz w:val="32"/>
          <w:szCs w:val="32"/>
          <w:shd w:val="clear" w:color="auto" w:fill="FFFFFF"/>
          <w:vertAlign w:val="baseline"/>
          <w:lang w:val="en-US" w:eastAsia="zh-CN" w:bidi="ar"/>
        </w:rPr>
        <w:t>较低防雷安全风险。</w:t>
      </w:r>
    </w:p>
    <w:p w14:paraId="7AABB84B">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cs="微软雅黑"/>
          <w:snapToGrid w:val="0"/>
          <w:color w:val="000000"/>
          <w:spacing w:val="11"/>
          <w:kern w:val="0"/>
          <w:sz w:val="28"/>
          <w:szCs w:val="28"/>
          <w:lang w:val="en-US" w:eastAsia="zh-CN" w:bidi="ar-SA"/>
        </w:rPr>
        <w:t>表A. 8  风险</w:t>
      </w:r>
      <w:r>
        <w:rPr>
          <w:rFonts w:hint="eastAsia" w:ascii="微软雅黑" w:hAnsi="微软雅黑" w:eastAsia="微软雅黑" w:cs="微软雅黑"/>
          <w:snapToGrid w:val="0"/>
          <w:color w:val="000000"/>
          <w:spacing w:val="11"/>
          <w:kern w:val="0"/>
          <w:sz w:val="28"/>
          <w:szCs w:val="28"/>
          <w:lang w:val="en-US" w:eastAsia="en-US" w:bidi="ar-SA"/>
        </w:rPr>
        <w:t>评估指标危险等级</w:t>
      </w:r>
    </w:p>
    <w:p w14:paraId="5E6E5B8C">
      <w:pPr>
        <w:spacing w:line="208" w:lineRule="exact"/>
      </w:pPr>
    </w:p>
    <w:tbl>
      <w:tblPr>
        <w:tblStyle w:val="15"/>
        <w:tblW w:w="923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71"/>
        <w:gridCol w:w="3062"/>
        <w:gridCol w:w="3106"/>
      </w:tblGrid>
      <w:tr w14:paraId="485F76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071" w:type="dxa"/>
            <w:tcBorders>
              <w:top w:val="single" w:color="000000" w:sz="6" w:space="0"/>
              <w:left w:val="single" w:color="000000" w:sz="6" w:space="0"/>
              <w:bottom w:val="single" w:color="000000" w:sz="6" w:space="0"/>
            </w:tcBorders>
            <w:noWrap w:val="0"/>
            <w:vAlign w:val="top"/>
          </w:tcPr>
          <w:p w14:paraId="191287D5">
            <w:pPr>
              <w:spacing w:before="92" w:line="183" w:lineRule="auto"/>
              <w:ind w:left="1175"/>
              <w:rPr>
                <w:rFonts w:ascii="微软雅黑" w:hAnsi="微软雅黑" w:eastAsia="微软雅黑" w:cs="微软雅黑"/>
                <w:sz w:val="21"/>
                <w:szCs w:val="21"/>
              </w:rPr>
            </w:pPr>
            <w:r>
              <w:rPr>
                <w:rFonts w:ascii="微软雅黑" w:hAnsi="微软雅黑" w:eastAsia="微软雅黑" w:cs="微软雅黑"/>
                <w:spacing w:val="15"/>
                <w:sz w:val="21"/>
                <w:szCs w:val="21"/>
              </w:rPr>
              <w:t>危险等级</w:t>
            </w:r>
          </w:p>
        </w:tc>
        <w:tc>
          <w:tcPr>
            <w:tcW w:w="3062" w:type="dxa"/>
            <w:tcBorders>
              <w:top w:val="single" w:color="000000" w:sz="6" w:space="0"/>
              <w:bottom w:val="single" w:color="000000" w:sz="6" w:space="0"/>
            </w:tcBorders>
            <w:noWrap w:val="0"/>
            <w:vAlign w:val="top"/>
          </w:tcPr>
          <w:p w14:paraId="53E13C15">
            <w:pPr>
              <w:pStyle w:val="14"/>
              <w:spacing w:before="155" w:line="102" w:lineRule="exact"/>
              <w:ind w:left="1489"/>
              <w:rPr>
                <w:sz w:val="21"/>
                <w:szCs w:val="21"/>
              </w:rPr>
            </w:pPr>
            <w:r>
              <w:rPr>
                <w:i/>
                <w:iCs/>
                <w:position w:val="1"/>
                <w:sz w:val="21"/>
                <w:szCs w:val="21"/>
              </w:rPr>
              <w:t>g</w:t>
            </w:r>
          </w:p>
        </w:tc>
        <w:tc>
          <w:tcPr>
            <w:tcW w:w="3106" w:type="dxa"/>
            <w:tcBorders>
              <w:top w:val="single" w:color="000000" w:sz="6" w:space="0"/>
              <w:bottom w:val="single" w:color="000000" w:sz="6" w:space="0"/>
              <w:right w:val="single" w:color="000000" w:sz="6" w:space="0"/>
            </w:tcBorders>
            <w:noWrap w:val="0"/>
            <w:vAlign w:val="top"/>
          </w:tcPr>
          <w:p w14:paraId="10EC6937">
            <w:pPr>
              <w:spacing w:before="92" w:line="182" w:lineRule="auto"/>
              <w:ind w:left="1381"/>
              <w:rPr>
                <w:rFonts w:ascii="微软雅黑" w:hAnsi="微软雅黑" w:eastAsia="微软雅黑" w:cs="微软雅黑"/>
                <w:sz w:val="21"/>
                <w:szCs w:val="21"/>
              </w:rPr>
            </w:pPr>
            <w:r>
              <w:rPr>
                <w:rFonts w:ascii="微软雅黑" w:hAnsi="微软雅黑" w:eastAsia="微软雅黑" w:cs="微软雅黑"/>
                <w:spacing w:val="11"/>
                <w:sz w:val="21"/>
                <w:szCs w:val="21"/>
              </w:rPr>
              <w:t>说明</w:t>
            </w:r>
          </w:p>
        </w:tc>
      </w:tr>
      <w:tr w14:paraId="59669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3071" w:type="dxa"/>
            <w:tcBorders>
              <w:top w:val="single" w:color="000000" w:sz="6" w:space="0"/>
              <w:left w:val="single" w:color="000000" w:sz="6" w:space="0"/>
            </w:tcBorders>
            <w:noWrap w:val="0"/>
            <w:vAlign w:val="top"/>
          </w:tcPr>
          <w:p w14:paraId="79D95271">
            <w:pPr>
              <w:spacing w:before="86" w:line="183" w:lineRule="auto"/>
              <w:ind w:left="1399"/>
              <w:rPr>
                <w:rFonts w:ascii="微软雅黑" w:hAnsi="微软雅黑" w:eastAsia="微软雅黑" w:cs="微软雅黑"/>
                <w:sz w:val="21"/>
                <w:szCs w:val="21"/>
              </w:rPr>
            </w:pPr>
            <w:r>
              <w:rPr>
                <w:rFonts w:ascii="微软雅黑" w:hAnsi="微软雅黑" w:eastAsia="微软雅黑" w:cs="微软雅黑"/>
                <w:spacing w:val="11"/>
                <w:position w:val="-1"/>
                <w:sz w:val="21"/>
                <w:szCs w:val="21"/>
              </w:rPr>
              <w:t>I</w:t>
            </w:r>
            <w:r>
              <w:rPr>
                <w:rFonts w:ascii="微软雅黑" w:hAnsi="微软雅黑" w:eastAsia="微软雅黑" w:cs="微软雅黑"/>
                <w:spacing w:val="21"/>
                <w:w w:val="101"/>
                <w:position w:val="-1"/>
                <w:sz w:val="21"/>
                <w:szCs w:val="21"/>
              </w:rPr>
              <w:t xml:space="preserve"> </w:t>
            </w:r>
            <w:r>
              <w:rPr>
                <w:rFonts w:ascii="微软雅黑" w:hAnsi="微软雅黑" w:eastAsia="微软雅黑" w:cs="微软雅黑"/>
                <w:spacing w:val="11"/>
                <w:position w:val="1"/>
                <w:sz w:val="21"/>
                <w:szCs w:val="21"/>
              </w:rPr>
              <w:t>级</w:t>
            </w:r>
          </w:p>
        </w:tc>
        <w:tc>
          <w:tcPr>
            <w:tcW w:w="3062" w:type="dxa"/>
            <w:tcBorders>
              <w:top w:val="single" w:color="000000" w:sz="6" w:space="0"/>
            </w:tcBorders>
            <w:noWrap w:val="0"/>
            <w:vAlign w:val="top"/>
          </w:tcPr>
          <w:p w14:paraId="1F3ED54A">
            <w:pPr>
              <w:pStyle w:val="14"/>
              <w:spacing w:before="75"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0</w:t>
            </w:r>
            <w:r>
              <w:rPr>
                <w:spacing w:val="2"/>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7"/>
                <w:position w:val="1"/>
                <w:sz w:val="21"/>
                <w:szCs w:val="21"/>
              </w:rPr>
              <w:t xml:space="preserve"> </w:t>
            </w:r>
            <w:r>
              <w:rPr>
                <w:spacing w:val="-2"/>
                <w:sz w:val="21"/>
                <w:szCs w:val="21"/>
              </w:rPr>
              <w:t>2</w:t>
            </w:r>
            <w:r>
              <w:rPr>
                <w:rFonts w:ascii="微软雅黑" w:hAnsi="微软雅黑" w:eastAsia="微软雅黑" w:cs="微软雅黑"/>
                <w:spacing w:val="-2"/>
                <w:sz w:val="21"/>
                <w:szCs w:val="21"/>
              </w:rPr>
              <w:t>)</w:t>
            </w:r>
          </w:p>
        </w:tc>
        <w:tc>
          <w:tcPr>
            <w:tcW w:w="3106" w:type="dxa"/>
            <w:tcBorders>
              <w:top w:val="single" w:color="000000" w:sz="6" w:space="0"/>
              <w:right w:val="single" w:color="000000" w:sz="6" w:space="0"/>
            </w:tcBorders>
            <w:noWrap w:val="0"/>
            <w:vAlign w:val="top"/>
          </w:tcPr>
          <w:p w14:paraId="0FE72104">
            <w:pPr>
              <w:spacing w:before="86" w:line="184" w:lineRule="auto"/>
              <w:ind w:left="1292"/>
              <w:rPr>
                <w:rFonts w:ascii="微软雅黑" w:hAnsi="微软雅黑" w:eastAsia="微软雅黑" w:cs="微软雅黑"/>
                <w:sz w:val="21"/>
                <w:szCs w:val="21"/>
              </w:rPr>
            </w:pPr>
            <w:r>
              <w:rPr>
                <w:rFonts w:ascii="微软雅黑" w:hAnsi="微软雅黑" w:eastAsia="微软雅黑" w:cs="微软雅黑"/>
                <w:spacing w:val="14"/>
                <w:sz w:val="21"/>
                <w:szCs w:val="21"/>
              </w:rPr>
              <w:t>低风险</w:t>
            </w:r>
          </w:p>
        </w:tc>
      </w:tr>
      <w:tr w14:paraId="139CBA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693F62B5">
            <w:pPr>
              <w:spacing w:before="97" w:line="183" w:lineRule="auto"/>
              <w:ind w:left="1390"/>
              <w:rPr>
                <w:rFonts w:ascii="微软雅黑" w:hAnsi="微软雅黑" w:eastAsia="微软雅黑" w:cs="微软雅黑"/>
                <w:sz w:val="21"/>
                <w:szCs w:val="21"/>
              </w:rPr>
            </w:pPr>
            <w:r>
              <w:rPr>
                <w:rFonts w:ascii="微软雅黑" w:hAnsi="微软雅黑" w:eastAsia="微软雅黑" w:cs="微软雅黑"/>
                <w:spacing w:val="-17"/>
                <w:position w:val="-1"/>
                <w:sz w:val="21"/>
                <w:szCs w:val="21"/>
              </w:rPr>
              <w:t>Ⅱ</w:t>
            </w:r>
            <w:r>
              <w:rPr>
                <w:rFonts w:ascii="微软雅黑" w:hAnsi="微软雅黑" w:eastAsia="微软雅黑" w:cs="微软雅黑"/>
                <w:spacing w:val="-27"/>
                <w:position w:val="-1"/>
                <w:sz w:val="21"/>
                <w:szCs w:val="21"/>
              </w:rPr>
              <w:t xml:space="preserve"> </w:t>
            </w:r>
            <w:r>
              <w:rPr>
                <w:rFonts w:ascii="微软雅黑" w:hAnsi="微软雅黑" w:eastAsia="微软雅黑" w:cs="微软雅黑"/>
                <w:spacing w:val="-17"/>
                <w:position w:val="1"/>
                <w:sz w:val="21"/>
                <w:szCs w:val="21"/>
              </w:rPr>
              <w:t>级</w:t>
            </w:r>
          </w:p>
        </w:tc>
        <w:tc>
          <w:tcPr>
            <w:tcW w:w="3062" w:type="dxa"/>
            <w:noWrap w:val="0"/>
            <w:vAlign w:val="top"/>
          </w:tcPr>
          <w:p w14:paraId="5A62BA47">
            <w:pPr>
              <w:pStyle w:val="14"/>
              <w:spacing w:before="86"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2</w:t>
            </w:r>
            <w:r>
              <w:rPr>
                <w:spacing w:val="4"/>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9"/>
                <w:position w:val="1"/>
                <w:sz w:val="21"/>
                <w:szCs w:val="21"/>
              </w:rPr>
              <w:t xml:space="preserve"> </w:t>
            </w:r>
            <w:r>
              <w:rPr>
                <w:spacing w:val="-2"/>
                <w:sz w:val="21"/>
                <w:szCs w:val="21"/>
              </w:rPr>
              <w:t>4</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004CC2E1">
            <w:pPr>
              <w:spacing w:before="97"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较低风险</w:t>
            </w:r>
          </w:p>
        </w:tc>
      </w:tr>
      <w:tr w14:paraId="31180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3071" w:type="dxa"/>
            <w:tcBorders>
              <w:left w:val="single" w:color="000000" w:sz="6" w:space="0"/>
            </w:tcBorders>
            <w:noWrap w:val="0"/>
            <w:vAlign w:val="top"/>
          </w:tcPr>
          <w:p w14:paraId="29C9EA4B">
            <w:pPr>
              <w:spacing w:before="98" w:line="183" w:lineRule="auto"/>
              <w:ind w:left="1380"/>
              <w:rPr>
                <w:rFonts w:ascii="微软雅黑" w:hAnsi="微软雅黑" w:eastAsia="微软雅黑" w:cs="微软雅黑"/>
                <w:sz w:val="21"/>
                <w:szCs w:val="21"/>
              </w:rPr>
            </w:pPr>
            <w:r>
              <w:rPr>
                <w:rFonts w:ascii="微软雅黑" w:hAnsi="微软雅黑" w:eastAsia="微软雅黑" w:cs="微软雅黑"/>
                <w:spacing w:val="-2"/>
                <w:sz w:val="21"/>
                <w:szCs w:val="21"/>
              </w:rPr>
              <w:t>Ⅲ级</w:t>
            </w:r>
          </w:p>
        </w:tc>
        <w:tc>
          <w:tcPr>
            <w:tcW w:w="3062" w:type="dxa"/>
            <w:noWrap w:val="0"/>
            <w:vAlign w:val="top"/>
          </w:tcPr>
          <w:p w14:paraId="38985443">
            <w:pPr>
              <w:pStyle w:val="14"/>
              <w:spacing w:before="87"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 xml:space="preserve">4 </w:t>
            </w:r>
            <w:r>
              <w:rPr>
                <w:rFonts w:ascii="微软雅黑" w:hAnsi="微软雅黑" w:eastAsia="微软雅黑" w:cs="微软雅黑"/>
                <w:spacing w:val="-2"/>
                <w:position w:val="1"/>
                <w:sz w:val="21"/>
                <w:szCs w:val="21"/>
              </w:rPr>
              <w:t xml:space="preserve">, </w:t>
            </w:r>
            <w:r>
              <w:rPr>
                <w:spacing w:val="-2"/>
                <w:sz w:val="21"/>
                <w:szCs w:val="21"/>
              </w:rPr>
              <w:t>6</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6D6390B6">
            <w:pPr>
              <w:spacing w:before="99" w:line="183" w:lineRule="auto"/>
              <w:ind w:left="1218"/>
              <w:rPr>
                <w:rFonts w:ascii="微软雅黑" w:hAnsi="微软雅黑" w:eastAsia="微软雅黑" w:cs="微软雅黑"/>
                <w:sz w:val="21"/>
                <w:szCs w:val="21"/>
              </w:rPr>
            </w:pPr>
            <w:r>
              <w:rPr>
                <w:rFonts w:ascii="微软雅黑" w:hAnsi="微软雅黑" w:eastAsia="微软雅黑" w:cs="微软雅黑"/>
                <w:spacing w:val="11"/>
                <w:sz w:val="21"/>
                <w:szCs w:val="21"/>
              </w:rPr>
              <w:t>中等风险</w:t>
            </w:r>
          </w:p>
        </w:tc>
      </w:tr>
      <w:tr w14:paraId="5304EC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07F9EAB6">
            <w:pPr>
              <w:spacing w:before="100" w:line="183" w:lineRule="auto"/>
              <w:ind w:left="1370"/>
              <w:rPr>
                <w:rFonts w:ascii="微软雅黑" w:hAnsi="微软雅黑" w:eastAsia="微软雅黑" w:cs="微软雅黑"/>
                <w:sz w:val="21"/>
                <w:szCs w:val="21"/>
              </w:rPr>
            </w:pPr>
            <w:r>
              <w:rPr>
                <w:rFonts w:ascii="微软雅黑" w:hAnsi="微软雅黑" w:eastAsia="微软雅黑" w:cs="微软雅黑"/>
                <w:spacing w:val="4"/>
                <w:sz w:val="21"/>
                <w:szCs w:val="21"/>
              </w:rPr>
              <w:t>Ⅳ级</w:t>
            </w:r>
          </w:p>
        </w:tc>
        <w:tc>
          <w:tcPr>
            <w:tcW w:w="3062" w:type="dxa"/>
            <w:noWrap w:val="0"/>
            <w:vAlign w:val="top"/>
          </w:tcPr>
          <w:p w14:paraId="3A2F8DC3">
            <w:pPr>
              <w:pStyle w:val="14"/>
              <w:spacing w:before="89" w:line="178" w:lineRule="auto"/>
              <w:ind w:left="1324"/>
              <w:rPr>
                <w:rFonts w:ascii="微软雅黑" w:hAnsi="微软雅黑" w:eastAsia="微软雅黑" w:cs="微软雅黑"/>
                <w:sz w:val="21"/>
                <w:szCs w:val="21"/>
              </w:rPr>
            </w:pPr>
            <w:r>
              <w:rPr>
                <w:rFonts w:ascii="微软雅黑" w:hAnsi="微软雅黑" w:eastAsia="微软雅黑" w:cs="微软雅黑"/>
                <w:spacing w:val="-3"/>
                <w:sz w:val="21"/>
                <w:szCs w:val="21"/>
              </w:rPr>
              <w:t>[</w:t>
            </w:r>
            <w:r>
              <w:rPr>
                <w:spacing w:val="-3"/>
                <w:sz w:val="21"/>
                <w:szCs w:val="21"/>
              </w:rPr>
              <w:t>6</w:t>
            </w:r>
            <w:r>
              <w:rPr>
                <w:spacing w:val="7"/>
                <w:sz w:val="21"/>
                <w:szCs w:val="21"/>
              </w:rPr>
              <w:t xml:space="preserve"> </w:t>
            </w:r>
            <w:r>
              <w:rPr>
                <w:rFonts w:ascii="微软雅黑" w:hAnsi="微软雅黑" w:eastAsia="微软雅黑" w:cs="微软雅黑"/>
                <w:spacing w:val="-3"/>
                <w:position w:val="1"/>
                <w:sz w:val="21"/>
                <w:szCs w:val="21"/>
              </w:rPr>
              <w:t>,</w:t>
            </w:r>
            <w:r>
              <w:rPr>
                <w:rFonts w:ascii="微软雅黑" w:hAnsi="微软雅黑" w:eastAsia="微软雅黑" w:cs="微软雅黑"/>
                <w:spacing w:val="-7"/>
                <w:position w:val="1"/>
                <w:sz w:val="21"/>
                <w:szCs w:val="21"/>
              </w:rPr>
              <w:t xml:space="preserve"> </w:t>
            </w:r>
            <w:r>
              <w:rPr>
                <w:spacing w:val="-3"/>
                <w:sz w:val="21"/>
                <w:szCs w:val="21"/>
              </w:rPr>
              <w:t>8</w:t>
            </w:r>
            <w:r>
              <w:rPr>
                <w:rFonts w:ascii="微软雅黑" w:hAnsi="微软雅黑" w:eastAsia="微软雅黑" w:cs="微软雅黑"/>
                <w:spacing w:val="-3"/>
                <w:sz w:val="21"/>
                <w:szCs w:val="21"/>
              </w:rPr>
              <w:t>)</w:t>
            </w:r>
          </w:p>
        </w:tc>
        <w:tc>
          <w:tcPr>
            <w:tcW w:w="3106" w:type="dxa"/>
            <w:tcBorders>
              <w:right w:val="single" w:color="000000" w:sz="6" w:space="0"/>
            </w:tcBorders>
            <w:noWrap w:val="0"/>
            <w:vAlign w:val="top"/>
          </w:tcPr>
          <w:p w14:paraId="0E1152D1">
            <w:pPr>
              <w:spacing w:before="100"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较高风险</w:t>
            </w:r>
          </w:p>
        </w:tc>
      </w:tr>
      <w:tr w14:paraId="6877F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bottom w:val="single" w:color="000000" w:sz="6" w:space="0"/>
            </w:tcBorders>
            <w:noWrap w:val="0"/>
            <w:vAlign w:val="top"/>
          </w:tcPr>
          <w:p w14:paraId="1F923B7C">
            <w:pPr>
              <w:spacing w:before="101" w:line="183" w:lineRule="auto"/>
              <w:ind w:left="1377"/>
              <w:rPr>
                <w:rFonts w:ascii="微软雅黑" w:hAnsi="微软雅黑" w:eastAsia="微软雅黑" w:cs="微软雅黑"/>
                <w:sz w:val="21"/>
                <w:szCs w:val="21"/>
              </w:rPr>
            </w:pPr>
            <w:r>
              <w:rPr>
                <w:rFonts w:ascii="微软雅黑" w:hAnsi="微软雅黑" w:eastAsia="微软雅黑" w:cs="微软雅黑"/>
                <w:spacing w:val="26"/>
                <w:sz w:val="21"/>
                <w:szCs w:val="21"/>
              </w:rPr>
              <w:t>V级</w:t>
            </w:r>
          </w:p>
        </w:tc>
        <w:tc>
          <w:tcPr>
            <w:tcW w:w="3062" w:type="dxa"/>
            <w:tcBorders>
              <w:bottom w:val="single" w:color="000000" w:sz="6" w:space="0"/>
            </w:tcBorders>
            <w:noWrap w:val="0"/>
            <w:vAlign w:val="top"/>
          </w:tcPr>
          <w:p w14:paraId="62F5C99C">
            <w:pPr>
              <w:pStyle w:val="14"/>
              <w:spacing w:before="90" w:line="178" w:lineRule="auto"/>
              <w:ind w:left="1279"/>
              <w:rPr>
                <w:rFonts w:ascii="微软雅黑" w:hAnsi="微软雅黑" w:eastAsia="微软雅黑" w:cs="微软雅黑"/>
                <w:sz w:val="21"/>
                <w:szCs w:val="21"/>
              </w:rPr>
            </w:pPr>
            <w:r>
              <w:rPr>
                <w:rFonts w:ascii="微软雅黑" w:hAnsi="微软雅黑" w:eastAsia="微软雅黑" w:cs="微软雅黑"/>
                <w:spacing w:val="-1"/>
                <w:sz w:val="21"/>
                <w:szCs w:val="21"/>
              </w:rPr>
              <w:t>[</w:t>
            </w:r>
            <w:r>
              <w:rPr>
                <w:spacing w:val="-1"/>
                <w:sz w:val="21"/>
                <w:szCs w:val="21"/>
              </w:rPr>
              <w:t xml:space="preserve">8 </w:t>
            </w:r>
            <w:r>
              <w:rPr>
                <w:rFonts w:ascii="微软雅黑" w:hAnsi="微软雅黑" w:eastAsia="微软雅黑" w:cs="微软雅黑"/>
                <w:spacing w:val="-1"/>
                <w:position w:val="1"/>
                <w:sz w:val="21"/>
                <w:szCs w:val="21"/>
              </w:rPr>
              <w:t xml:space="preserve">, </w:t>
            </w:r>
            <w:r>
              <w:rPr>
                <w:spacing w:val="-1"/>
                <w:sz w:val="21"/>
                <w:szCs w:val="21"/>
              </w:rPr>
              <w:t>10</w:t>
            </w:r>
            <w:r>
              <w:rPr>
                <w:rFonts w:ascii="微软雅黑" w:hAnsi="微软雅黑" w:eastAsia="微软雅黑" w:cs="微软雅黑"/>
                <w:spacing w:val="-1"/>
                <w:sz w:val="21"/>
                <w:szCs w:val="21"/>
              </w:rPr>
              <w:t>]</w:t>
            </w:r>
          </w:p>
        </w:tc>
        <w:tc>
          <w:tcPr>
            <w:tcW w:w="3106" w:type="dxa"/>
            <w:tcBorders>
              <w:bottom w:val="single" w:color="000000" w:sz="6" w:space="0"/>
              <w:right w:val="single" w:color="000000" w:sz="6" w:space="0"/>
            </w:tcBorders>
            <w:noWrap w:val="0"/>
            <w:vAlign w:val="top"/>
          </w:tcPr>
          <w:p w14:paraId="0D371A14">
            <w:pPr>
              <w:spacing w:before="101" w:line="184" w:lineRule="auto"/>
              <w:ind w:left="1296"/>
              <w:rPr>
                <w:rFonts w:ascii="微软雅黑" w:hAnsi="微软雅黑" w:eastAsia="微软雅黑" w:cs="微软雅黑"/>
                <w:sz w:val="21"/>
                <w:szCs w:val="21"/>
              </w:rPr>
            </w:pPr>
            <w:r>
              <w:rPr>
                <w:rFonts w:ascii="微软雅黑" w:hAnsi="微软雅黑" w:eastAsia="微软雅黑" w:cs="微软雅黑"/>
                <w:spacing w:val="13"/>
                <w:sz w:val="21"/>
                <w:szCs w:val="21"/>
              </w:rPr>
              <w:t>高风险</w:t>
            </w:r>
          </w:p>
        </w:tc>
      </w:tr>
      <w:tr w14:paraId="7A947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9239" w:type="dxa"/>
            <w:gridSpan w:val="3"/>
            <w:tcBorders>
              <w:top w:val="single" w:color="000000" w:sz="6" w:space="0"/>
              <w:left w:val="single" w:color="000000" w:sz="6" w:space="0"/>
              <w:bottom w:val="nil"/>
            </w:tcBorders>
            <w:noWrap w:val="0"/>
            <w:vAlign w:val="top"/>
          </w:tcPr>
          <w:p w14:paraId="709D44B6">
            <w:pPr>
              <w:pStyle w:val="14"/>
              <w:spacing w:before="146" w:line="161" w:lineRule="auto"/>
              <w:ind w:left="471"/>
              <w:rPr>
                <w:rFonts w:ascii="微软雅黑" w:hAnsi="微软雅黑" w:eastAsia="微软雅黑" w:cs="微软雅黑"/>
                <w:sz w:val="21"/>
                <w:szCs w:val="21"/>
              </w:rPr>
            </w:pPr>
            <w:r>
              <w:rPr>
                <w:rFonts w:hint="eastAsia"/>
                <w:i/>
                <w:iCs/>
                <w:spacing w:val="20"/>
                <w:position w:val="-2"/>
                <w:sz w:val="21"/>
                <w:szCs w:val="21"/>
                <w:lang w:val="en-US" w:eastAsia="zh-CN"/>
              </w:rPr>
              <w:t>R</w:t>
            </w:r>
            <w:r>
              <w:rPr>
                <w:rFonts w:ascii="微软雅黑" w:hAnsi="微软雅黑" w:eastAsia="微软雅黑" w:cs="微软雅黑"/>
                <w:spacing w:val="20"/>
                <w:sz w:val="21"/>
                <w:szCs w:val="21"/>
              </w:rPr>
              <w:t>值与对应风险(用色标表示)的关系如下:</w:t>
            </w:r>
          </w:p>
        </w:tc>
      </w:tr>
      <w:tr w14:paraId="0DAE7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4" w:hRule="atLeast"/>
        </w:trPr>
        <w:tc>
          <w:tcPr>
            <w:tcW w:w="9239" w:type="dxa"/>
            <w:gridSpan w:val="3"/>
            <w:tcBorders>
              <w:top w:val="nil"/>
              <w:left w:val="single" w:color="000000" w:sz="6" w:space="0"/>
              <w:bottom w:val="single" w:color="000000" w:sz="6" w:space="0"/>
            </w:tcBorders>
            <w:noWrap w:val="0"/>
            <w:vAlign w:val="top"/>
          </w:tcPr>
          <w:p w14:paraId="5BA388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综合评估（R）及对应风险</w:t>
            </w:r>
          </w:p>
          <w:p w14:paraId="220E4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sz w:val="22"/>
                <w:szCs w:val="22"/>
                <w:lang w:val="en-US" w:eastAsia="zh-CN"/>
              </w:rPr>
            </w:pPr>
            <w:r>
              <w:drawing>
                <wp:inline distT="0" distB="0" distL="114300" distR="114300">
                  <wp:extent cx="2562225" cy="861060"/>
                  <wp:effectExtent l="0" t="0" r="9525" b="15240"/>
                  <wp:docPr id="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0"/>
                          <pic:cNvPicPr>
                            <a:picLocks noChangeAspect="1"/>
                          </pic:cNvPicPr>
                        </pic:nvPicPr>
                        <pic:blipFill>
                          <a:blip r:embed="rId10"/>
                          <a:stretch>
                            <a:fillRect/>
                          </a:stretch>
                        </pic:blipFill>
                        <pic:spPr>
                          <a:xfrm>
                            <a:off x="0" y="0"/>
                            <a:ext cx="2562225" cy="861060"/>
                          </a:xfrm>
                          <a:prstGeom prst="rect">
                            <a:avLst/>
                          </a:prstGeom>
                          <a:noFill/>
                          <a:ln>
                            <a:noFill/>
                          </a:ln>
                        </pic:spPr>
                      </pic:pic>
                    </a:graphicData>
                  </a:graphic>
                </wp:inline>
              </w:drawing>
            </w:r>
          </w:p>
        </w:tc>
      </w:tr>
    </w:tbl>
    <w:p w14:paraId="117C00E5">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735A3A79">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357A7E77">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sectPr>
          <w:footerReference r:id="rId5" w:type="default"/>
          <w:pgSz w:w="11905" w:h="16836"/>
          <w:pgMar w:top="1655" w:right="1327" w:bottom="1400" w:left="1327" w:header="1356" w:footer="1225" w:gutter="0"/>
          <w:pgNumType w:fmt="decimal" w:start="1"/>
          <w:cols w:space="720" w:num="1"/>
          <w:rtlGutter w:val="0"/>
          <w:docGrid w:linePitch="0" w:charSpace="0"/>
        </w:sectPr>
      </w:pPr>
    </w:p>
    <w:p w14:paraId="550A0556">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附件3: 防雷重点单位隐患排查表</w:t>
      </w:r>
    </w:p>
    <w:p w14:paraId="33FFCAFE">
      <w:pPr>
        <w:bidi w:val="0"/>
        <w:spacing w:line="360" w:lineRule="auto"/>
        <w:jc w:val="center"/>
        <w:rPr>
          <w:rFonts w:hint="default"/>
          <w:lang w:val="en-US" w:eastAsia="zh-CN"/>
        </w:rPr>
      </w:pPr>
      <w:r>
        <w:rPr>
          <w:rFonts w:hint="eastAsia" w:ascii="黑体" w:hAnsi="黑体" w:eastAsia="黑体" w:cs="黑体"/>
          <w:b/>
          <w:bCs/>
          <w:sz w:val="40"/>
          <w:szCs w:val="48"/>
          <w:lang w:val="en-US" w:eastAsia="zh-CN"/>
        </w:rPr>
        <w:t>防雷重点单位隐患排查表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0"/>
      </w:tblGrid>
      <w:tr w14:paraId="0BE3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4" w:hRule="atLeast"/>
        </w:trPr>
        <w:tc>
          <w:tcPr>
            <w:tcW w:w="8700" w:type="dxa"/>
            <w:noWrap w:val="0"/>
            <w:vAlign w:val="top"/>
          </w:tcPr>
          <w:p w14:paraId="03230277">
            <w:pPr>
              <w:bidi w:val="0"/>
              <w:rPr>
                <w:rFonts w:hint="eastAsia"/>
                <w:lang w:val="en-US" w:eastAsia="zh-CN"/>
              </w:rPr>
            </w:pPr>
            <w:r>
              <w:rPr>
                <w:rFonts w:hint="eastAsia"/>
                <w:lang w:val="en-US" w:eastAsia="zh-CN"/>
              </w:rPr>
              <w:drawing>
                <wp:inline distT="0" distB="0" distL="114300" distR="114300">
                  <wp:extent cx="5095875" cy="721995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095875" cy="7219950"/>
                          </a:xfrm>
                          <a:prstGeom prst="rect">
                            <a:avLst/>
                          </a:prstGeom>
                          <a:noFill/>
                          <a:ln>
                            <a:noFill/>
                          </a:ln>
                        </pic:spPr>
                      </pic:pic>
                    </a:graphicData>
                  </a:graphic>
                </wp:inline>
              </w:drawing>
            </w:r>
          </w:p>
          <w:p w14:paraId="11F69EBF">
            <w:pPr>
              <w:bidi w:val="0"/>
              <w:jc w:val="center"/>
              <w:rPr>
                <w:rFonts w:hint="eastAsia"/>
                <w:lang w:val="en-US" w:eastAsia="zh-CN"/>
              </w:rPr>
            </w:pPr>
          </w:p>
        </w:tc>
      </w:tr>
      <w:tr w14:paraId="38E6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4" w:hRule="atLeast"/>
        </w:trPr>
        <w:tc>
          <w:tcPr>
            <w:tcW w:w="8700" w:type="dxa"/>
            <w:noWrap w:val="0"/>
            <w:vAlign w:val="top"/>
          </w:tcPr>
          <w:p w14:paraId="6F4DC2C9">
            <w:pPr>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jc w:val="center"/>
              <w:textAlignment w:val="auto"/>
              <w:outlineLvl w:val="0"/>
              <w:rPr>
                <w:rFonts w:hint="eastAsia" w:ascii="微软雅黑" w:hAnsi="微软雅黑" w:eastAsia="微软雅黑" w:cs="微软雅黑"/>
                <w:b/>
                <w:kern w:val="44"/>
                <w:sz w:val="40"/>
                <w:szCs w:val="22"/>
                <w:lang w:val="en-US" w:eastAsia="zh-CN" w:bidi="ar-SA"/>
              </w:rPr>
            </w:pPr>
            <w:r>
              <w:rPr>
                <w:rFonts w:hint="eastAsia" w:ascii="微软雅黑" w:hAnsi="微软雅黑" w:eastAsia="微软雅黑" w:cs="微软雅黑"/>
                <w:b/>
                <w:kern w:val="44"/>
                <w:sz w:val="40"/>
                <w:szCs w:val="22"/>
                <w:lang w:val="en-US" w:eastAsia="zh-CN" w:bidi="ar-SA"/>
              </w:rPr>
              <w:drawing>
                <wp:inline distT="0" distB="0" distL="114300" distR="114300">
                  <wp:extent cx="5067300" cy="7210425"/>
                  <wp:effectExtent l="0" t="0" r="0" b="952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5067300" cy="7210425"/>
                          </a:xfrm>
                          <a:prstGeom prst="rect">
                            <a:avLst/>
                          </a:prstGeom>
                          <a:noFill/>
                          <a:ln>
                            <a:noFill/>
                          </a:ln>
                        </pic:spPr>
                      </pic:pic>
                    </a:graphicData>
                  </a:graphic>
                </wp:inline>
              </w:drawing>
            </w:r>
          </w:p>
        </w:tc>
      </w:tr>
    </w:tbl>
    <w:p w14:paraId="434FFD70">
      <w:pPr>
        <w:pStyle w:val="2"/>
        <w:keepNext/>
        <w:keepLines/>
        <w:pageBreakBefore w:val="0"/>
        <w:widowControl w:val="0"/>
        <w:numPr>
          <w:ilvl w:val="0"/>
          <w:numId w:val="2"/>
        </w:numPr>
        <w:kinsoku/>
        <w:wordWrap/>
        <w:overflowPunct/>
        <w:topLinePunct w:val="0"/>
        <w:autoSpaceDE/>
        <w:autoSpaceDN/>
        <w:bidi w:val="0"/>
        <w:adjustRightInd/>
        <w:snapToGrid/>
        <w:spacing w:before="0" w:after="0" w:line="360" w:lineRule="auto"/>
        <w:jc w:val="center"/>
        <w:textAlignment w:val="auto"/>
        <w:rPr>
          <w:rFonts w:hint="eastAsia" w:ascii="微软雅黑" w:hAnsi="微软雅黑" w:eastAsia="微软雅黑" w:cs="微软雅黑"/>
          <w:b/>
          <w:sz w:val="40"/>
          <w:szCs w:val="22"/>
          <w:lang w:val="en-US" w:eastAsia="zh-CN"/>
        </w:rPr>
        <w:sectPr>
          <w:pgSz w:w="11905" w:h="16836"/>
          <w:pgMar w:top="1655" w:right="1327" w:bottom="1400" w:left="1327" w:header="1356" w:footer="1225" w:gutter="0"/>
          <w:pgNumType w:fmt="decimal"/>
          <w:cols w:space="720" w:num="1"/>
          <w:rtlGutter w:val="0"/>
          <w:docGrid w:linePitch="0" w:charSpace="0"/>
        </w:sectPr>
      </w:pPr>
    </w:p>
    <w:p w14:paraId="150F25EB">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附件4：现场检查与核对照片</w:t>
      </w:r>
    </w:p>
    <w:p w14:paraId="2CD23641">
      <w:pPr>
        <w:widowControl w:val="0"/>
        <w:numPr>
          <w:ilvl w:val="0"/>
          <w:numId w:val="0"/>
        </w:numPr>
        <w:jc w:val="both"/>
        <w:rPr>
          <w:rFonts w:hint="eastAsia"/>
          <w:lang w:val="en-US" w:eastAsia="zh-CN"/>
        </w:rPr>
      </w:pPr>
    </w:p>
    <w:p w14:paraId="60922837">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1、防雷检测报告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36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2" w:hRule="atLeast"/>
        </w:trPr>
        <w:tc>
          <w:tcPr>
            <w:tcW w:w="8520" w:type="dxa"/>
            <w:noWrap w:val="0"/>
            <w:vAlign w:val="top"/>
          </w:tcPr>
          <w:p w14:paraId="5071D4D6">
            <w:pPr>
              <w:jc w:val="center"/>
              <w:rPr>
                <w:rFonts w:hint="eastAsia" w:eastAsia="宋体"/>
                <w:color w:val="auto"/>
                <w:lang w:eastAsia="zh-CN"/>
              </w:rPr>
            </w:pPr>
            <w:r>
              <w:rPr>
                <w:rFonts w:hint="eastAsia" w:eastAsia="宋体"/>
                <w:color w:val="auto"/>
                <w:lang w:eastAsia="zh-CN"/>
              </w:rPr>
              <w:drawing>
                <wp:inline distT="0" distB="0" distL="114300" distR="114300">
                  <wp:extent cx="5270500" cy="7508240"/>
                  <wp:effectExtent l="0" t="0" r="6350" b="1651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5270500" cy="7508240"/>
                          </a:xfrm>
                          <a:prstGeom prst="rect">
                            <a:avLst/>
                          </a:prstGeom>
                          <a:noFill/>
                          <a:ln>
                            <a:noFill/>
                          </a:ln>
                        </pic:spPr>
                      </pic:pic>
                    </a:graphicData>
                  </a:graphic>
                </wp:inline>
              </w:drawing>
            </w:r>
          </w:p>
        </w:tc>
      </w:tr>
      <w:tr w14:paraId="0069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2" w:hRule="atLeast"/>
        </w:trPr>
        <w:tc>
          <w:tcPr>
            <w:tcW w:w="8520" w:type="dxa"/>
            <w:noWrap w:val="0"/>
            <w:vAlign w:val="top"/>
          </w:tcPr>
          <w:p w14:paraId="49E27B66">
            <w:pPr>
              <w:jc w:val="center"/>
              <w:rPr>
                <w:rFonts w:hint="eastAsia" w:eastAsia="宋体"/>
                <w:color w:val="auto"/>
                <w:lang w:eastAsia="zh-CN"/>
              </w:rPr>
            </w:pPr>
            <w:r>
              <w:rPr>
                <w:rFonts w:hint="eastAsia" w:eastAsia="宋体"/>
                <w:color w:val="auto"/>
                <w:lang w:eastAsia="zh-CN"/>
              </w:rPr>
              <w:drawing>
                <wp:inline distT="0" distB="0" distL="114300" distR="114300">
                  <wp:extent cx="5273675" cy="7434580"/>
                  <wp:effectExtent l="0" t="0" r="3175" b="1397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4"/>
                          <a:stretch>
                            <a:fillRect/>
                          </a:stretch>
                        </pic:blipFill>
                        <pic:spPr>
                          <a:xfrm>
                            <a:off x="0" y="0"/>
                            <a:ext cx="5273675" cy="7434580"/>
                          </a:xfrm>
                          <a:prstGeom prst="rect">
                            <a:avLst/>
                          </a:prstGeom>
                          <a:noFill/>
                          <a:ln>
                            <a:noFill/>
                          </a:ln>
                        </pic:spPr>
                      </pic:pic>
                    </a:graphicData>
                  </a:graphic>
                </wp:inline>
              </w:drawing>
            </w:r>
          </w:p>
        </w:tc>
      </w:tr>
    </w:tbl>
    <w:p w14:paraId="23906005">
      <w:pPr>
        <w:rPr>
          <w:color w:val="auto"/>
        </w:rPr>
      </w:pPr>
    </w:p>
    <w:p w14:paraId="237E8156">
      <w:pP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br w:type="page"/>
      </w:r>
    </w:p>
    <w:p w14:paraId="3D7B3229">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2、单位营业执照</w:t>
      </w:r>
    </w:p>
    <w:tbl>
      <w:tblPr>
        <w:tblStyle w:val="10"/>
        <w:tblW w:w="8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1"/>
      </w:tblGrid>
      <w:tr w14:paraId="35C1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2" w:hRule="atLeast"/>
        </w:trPr>
        <w:tc>
          <w:tcPr>
            <w:tcW w:w="8351" w:type="dxa"/>
            <w:noWrap w:val="0"/>
            <w:vAlign w:val="top"/>
          </w:tcPr>
          <w:p w14:paraId="16A53CD6">
            <w:pPr>
              <w:rPr>
                <w:rFonts w:hint="eastAsia" w:eastAsia="宋体"/>
                <w:color w:val="auto"/>
                <w:lang w:eastAsia="zh-CN"/>
              </w:rPr>
            </w:pPr>
            <w:r>
              <w:rPr>
                <w:rFonts w:hint="eastAsia" w:eastAsia="宋体"/>
                <w:color w:val="auto"/>
                <w:lang w:eastAsia="zh-CN"/>
              </w:rPr>
              <w:drawing>
                <wp:inline distT="0" distB="0" distL="114300" distR="114300">
                  <wp:extent cx="5165725" cy="7678420"/>
                  <wp:effectExtent l="0" t="0" r="15875" b="177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5"/>
                          <a:stretch>
                            <a:fillRect/>
                          </a:stretch>
                        </pic:blipFill>
                        <pic:spPr>
                          <a:xfrm>
                            <a:off x="0" y="0"/>
                            <a:ext cx="5165725" cy="7678420"/>
                          </a:xfrm>
                          <a:prstGeom prst="rect">
                            <a:avLst/>
                          </a:prstGeom>
                          <a:noFill/>
                          <a:ln>
                            <a:noFill/>
                          </a:ln>
                        </pic:spPr>
                      </pic:pic>
                    </a:graphicData>
                  </a:graphic>
                </wp:inline>
              </w:drawing>
            </w:r>
          </w:p>
        </w:tc>
      </w:tr>
    </w:tbl>
    <w:p w14:paraId="21F193A5">
      <w:pPr>
        <w:rPr>
          <w:rFonts w:ascii="宋体" w:hAnsi="宋体" w:cs="宋体"/>
          <w:color w:val="auto"/>
          <w:sz w:val="36"/>
          <w:szCs w:val="36"/>
        </w:rPr>
      </w:pPr>
    </w:p>
    <w:p w14:paraId="2E028539">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3、现场照片</w:t>
      </w:r>
    </w:p>
    <w:tbl>
      <w:tblPr>
        <w:tblStyle w:val="10"/>
        <w:tblW w:w="86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9"/>
        <w:gridCol w:w="4309"/>
      </w:tblGrid>
      <w:tr w14:paraId="44B0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2" w:hRule="atLeast"/>
          <w:jc w:val="center"/>
        </w:trPr>
        <w:tc>
          <w:tcPr>
            <w:tcW w:w="4309" w:type="dxa"/>
            <w:noWrap w:val="0"/>
            <w:vAlign w:val="center"/>
          </w:tcPr>
          <w:p w14:paraId="26FF756B">
            <w:pPr>
              <w:jc w:val="center"/>
              <w:rPr>
                <w:rFonts w:hint="eastAsia" w:ascii="宋体" w:hAnsi="宋体" w:eastAsia="宋体" w:cs="宋体"/>
                <w:color w:val="auto"/>
                <w:sz w:val="36"/>
                <w:szCs w:val="36"/>
                <w:lang w:eastAsia="zh-CN"/>
              </w:rPr>
            </w:pPr>
            <w:r>
              <w:rPr>
                <w:rFonts w:hint="eastAsia" w:ascii="宋体" w:hAnsi="宋体" w:eastAsia="宋体" w:cs="宋体"/>
                <w:color w:val="auto"/>
                <w:sz w:val="36"/>
                <w:szCs w:val="36"/>
                <w:lang w:eastAsia="zh-CN"/>
              </w:rPr>
              <w:drawing>
                <wp:inline distT="0" distB="0" distL="114300" distR="114300">
                  <wp:extent cx="2585085" cy="1938655"/>
                  <wp:effectExtent l="0" t="0" r="5715" b="4445"/>
                  <wp:docPr id="3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IMG_256"/>
                          <pic:cNvPicPr>
                            <a:picLocks noChangeAspect="1"/>
                          </pic:cNvPicPr>
                        </pic:nvPicPr>
                        <pic:blipFill>
                          <a:blip r:embed="rId16"/>
                          <a:stretch>
                            <a:fillRect/>
                          </a:stretch>
                        </pic:blipFill>
                        <pic:spPr>
                          <a:xfrm>
                            <a:off x="0" y="0"/>
                            <a:ext cx="2585085" cy="1938655"/>
                          </a:xfrm>
                          <a:prstGeom prst="rect">
                            <a:avLst/>
                          </a:prstGeom>
                          <a:noFill/>
                          <a:ln w="9525">
                            <a:noFill/>
                          </a:ln>
                        </pic:spPr>
                      </pic:pic>
                    </a:graphicData>
                  </a:graphic>
                </wp:inline>
              </w:drawing>
            </w:r>
          </w:p>
        </w:tc>
        <w:tc>
          <w:tcPr>
            <w:tcW w:w="4309" w:type="dxa"/>
            <w:noWrap w:val="0"/>
            <w:vAlign w:val="center"/>
          </w:tcPr>
          <w:p w14:paraId="60371B0C">
            <w:pPr>
              <w:jc w:val="center"/>
              <w:rPr>
                <w:rFonts w:hint="eastAsia" w:ascii="宋体" w:hAnsi="宋体" w:eastAsia="宋体" w:cs="宋体"/>
                <w:color w:val="auto"/>
                <w:sz w:val="36"/>
                <w:szCs w:val="36"/>
                <w:lang w:eastAsia="zh-CN"/>
              </w:rPr>
            </w:pPr>
            <w:r>
              <w:rPr>
                <w:rFonts w:hint="eastAsia" w:ascii="宋体" w:hAnsi="宋体" w:eastAsia="宋体" w:cs="宋体"/>
                <w:color w:val="auto"/>
                <w:sz w:val="36"/>
                <w:szCs w:val="36"/>
                <w:lang w:eastAsia="zh-CN"/>
              </w:rPr>
              <w:drawing>
                <wp:inline distT="0" distB="0" distL="114300" distR="114300">
                  <wp:extent cx="2585085" cy="1938655"/>
                  <wp:effectExtent l="0" t="0" r="5715" b="4445"/>
                  <wp:docPr id="2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IMG_256"/>
                          <pic:cNvPicPr>
                            <a:picLocks noChangeAspect="1"/>
                          </pic:cNvPicPr>
                        </pic:nvPicPr>
                        <pic:blipFill>
                          <a:blip r:embed="rId17"/>
                          <a:stretch>
                            <a:fillRect/>
                          </a:stretch>
                        </pic:blipFill>
                        <pic:spPr>
                          <a:xfrm>
                            <a:off x="0" y="0"/>
                            <a:ext cx="2585085" cy="1938655"/>
                          </a:xfrm>
                          <a:prstGeom prst="rect">
                            <a:avLst/>
                          </a:prstGeom>
                          <a:noFill/>
                          <a:ln w="9525">
                            <a:noFill/>
                          </a:ln>
                        </pic:spPr>
                      </pic:pic>
                    </a:graphicData>
                  </a:graphic>
                </wp:inline>
              </w:drawing>
            </w:r>
          </w:p>
        </w:tc>
      </w:tr>
      <w:tr w14:paraId="3561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5549CB3C">
            <w:pPr>
              <w:jc w:val="center"/>
              <w:rPr>
                <w:rFonts w:hint="eastAsia" w:ascii="宋体" w:hAnsi="宋体" w:eastAsia="宋体" w:cs="宋体"/>
                <w:color w:val="auto"/>
                <w:sz w:val="32"/>
                <w:szCs w:val="32"/>
                <w:lang w:val="en-US" w:eastAsia="zh-CN"/>
              </w:rPr>
            </w:pPr>
            <w:r>
              <w:rPr>
                <w:rFonts w:hint="eastAsia" w:ascii="宋体" w:hAnsi="宋体" w:eastAsia="宋体" w:cs="宋体"/>
                <w:color w:val="auto"/>
                <w:sz w:val="32"/>
                <w:szCs w:val="32"/>
              </w:rPr>
              <w:t>公司</w:t>
            </w:r>
            <w:r>
              <w:rPr>
                <w:rFonts w:hint="eastAsia" w:ascii="宋体" w:hAnsi="宋体" w:eastAsia="宋体" w:cs="宋体"/>
                <w:color w:val="auto"/>
                <w:sz w:val="32"/>
                <w:szCs w:val="32"/>
                <w:lang w:eastAsia="zh-CN"/>
              </w:rPr>
              <w:t>门面照</w:t>
            </w:r>
          </w:p>
        </w:tc>
        <w:tc>
          <w:tcPr>
            <w:tcW w:w="4309" w:type="dxa"/>
            <w:noWrap w:val="0"/>
            <w:vAlign w:val="center"/>
          </w:tcPr>
          <w:p w14:paraId="4CFCCA5E">
            <w:pPr>
              <w:jc w:val="center"/>
              <w:rPr>
                <w:rFonts w:ascii="宋体" w:hAnsi="宋体" w:eastAsia="宋体" w:cs="宋体"/>
                <w:color w:val="auto"/>
                <w:sz w:val="32"/>
                <w:szCs w:val="32"/>
              </w:rPr>
            </w:pPr>
            <w:r>
              <w:rPr>
                <w:rFonts w:hint="eastAsia" w:ascii="宋体" w:hAnsi="宋体" w:eastAsia="宋体" w:cs="宋体"/>
                <w:color w:val="auto"/>
                <w:sz w:val="32"/>
                <w:szCs w:val="32"/>
              </w:rPr>
              <w:t>主要风险点部位</w:t>
            </w:r>
          </w:p>
        </w:tc>
      </w:tr>
      <w:tr w14:paraId="6D47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atLeast"/>
          <w:jc w:val="center"/>
        </w:trPr>
        <w:tc>
          <w:tcPr>
            <w:tcW w:w="4309" w:type="dxa"/>
            <w:noWrap w:val="0"/>
            <w:vAlign w:val="center"/>
          </w:tcPr>
          <w:p w14:paraId="56755DF9">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85085" cy="1938655"/>
                  <wp:effectExtent l="0" t="0" r="5715" b="4445"/>
                  <wp:docPr id="2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IMG_256"/>
                          <pic:cNvPicPr>
                            <a:picLocks noChangeAspect="1"/>
                          </pic:cNvPicPr>
                        </pic:nvPicPr>
                        <pic:blipFill>
                          <a:blip r:embed="rId18"/>
                          <a:stretch>
                            <a:fillRect/>
                          </a:stretch>
                        </pic:blipFill>
                        <pic:spPr>
                          <a:xfrm>
                            <a:off x="0" y="0"/>
                            <a:ext cx="2585085" cy="1938655"/>
                          </a:xfrm>
                          <a:prstGeom prst="rect">
                            <a:avLst/>
                          </a:prstGeom>
                          <a:noFill/>
                          <a:ln w="9525">
                            <a:noFill/>
                          </a:ln>
                        </pic:spPr>
                      </pic:pic>
                    </a:graphicData>
                  </a:graphic>
                </wp:inline>
              </w:drawing>
            </w:r>
          </w:p>
        </w:tc>
        <w:tc>
          <w:tcPr>
            <w:tcW w:w="4309" w:type="dxa"/>
            <w:noWrap w:val="0"/>
            <w:vAlign w:val="center"/>
          </w:tcPr>
          <w:p w14:paraId="4B946EC2">
            <w:pPr>
              <w:jc w:val="center"/>
              <w:rPr>
                <w:rFonts w:hint="eastAsia" w:ascii="宋体" w:hAnsi="宋体" w:eastAsia="宋体" w:cs="宋体"/>
                <w:color w:val="auto"/>
                <w:kern w:val="2"/>
                <w:sz w:val="32"/>
                <w:szCs w:val="32"/>
                <w:lang w:val="en-US" w:eastAsia="zh-CN" w:bidi="ar-SA"/>
              </w:rPr>
            </w:pPr>
            <w:r>
              <w:rPr>
                <w:rFonts w:hint="eastAsia" w:ascii="宋体" w:hAnsi="宋体" w:eastAsia="宋体" w:cs="宋体"/>
                <w:color w:val="auto"/>
                <w:kern w:val="2"/>
                <w:sz w:val="32"/>
                <w:szCs w:val="32"/>
                <w:lang w:val="en-US" w:eastAsia="zh-CN" w:bidi="ar-SA"/>
              </w:rPr>
              <w:drawing>
                <wp:inline distT="0" distB="0" distL="114300" distR="114300">
                  <wp:extent cx="2585085" cy="1938655"/>
                  <wp:effectExtent l="0" t="0" r="5715" b="4445"/>
                  <wp:docPr id="2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IMG_256"/>
                          <pic:cNvPicPr>
                            <a:picLocks noChangeAspect="1"/>
                          </pic:cNvPicPr>
                        </pic:nvPicPr>
                        <pic:blipFill>
                          <a:blip r:embed="rId19"/>
                          <a:stretch>
                            <a:fillRect/>
                          </a:stretch>
                        </pic:blipFill>
                        <pic:spPr>
                          <a:xfrm>
                            <a:off x="0" y="0"/>
                            <a:ext cx="2585085" cy="1938655"/>
                          </a:xfrm>
                          <a:prstGeom prst="rect">
                            <a:avLst/>
                          </a:prstGeom>
                          <a:noFill/>
                          <a:ln w="9525">
                            <a:noFill/>
                          </a:ln>
                        </pic:spPr>
                      </pic:pic>
                    </a:graphicData>
                  </a:graphic>
                </wp:inline>
              </w:drawing>
            </w:r>
          </w:p>
        </w:tc>
      </w:tr>
      <w:tr w14:paraId="6259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652AD43F">
            <w:pPr>
              <w:jc w:val="center"/>
              <w:rPr>
                <w:rFonts w:hint="eastAsia" w:ascii="宋体" w:hAnsi="宋体" w:eastAsia="宋体" w:cs="宋体"/>
                <w:color w:val="auto"/>
                <w:sz w:val="32"/>
                <w:szCs w:val="32"/>
              </w:rPr>
            </w:pPr>
            <w:r>
              <w:rPr>
                <w:rFonts w:hint="eastAsia" w:ascii="宋体" w:hAnsi="宋体" w:eastAsia="宋体" w:cs="宋体"/>
                <w:color w:val="auto"/>
                <w:sz w:val="32"/>
                <w:szCs w:val="32"/>
              </w:rPr>
              <w:t>企业内部防雷措施</w:t>
            </w:r>
          </w:p>
        </w:tc>
        <w:tc>
          <w:tcPr>
            <w:tcW w:w="4309" w:type="dxa"/>
            <w:noWrap w:val="0"/>
            <w:vAlign w:val="center"/>
          </w:tcPr>
          <w:p w14:paraId="2B64613F">
            <w:pPr>
              <w:jc w:val="center"/>
              <w:rPr>
                <w:rFonts w:hint="eastAsia" w:ascii="宋体" w:hAnsi="宋体" w:eastAsia="宋体" w:cs="宋体"/>
                <w:color w:val="auto"/>
                <w:kern w:val="2"/>
                <w:sz w:val="32"/>
                <w:szCs w:val="32"/>
                <w:lang w:val="en-US" w:eastAsia="zh-CN" w:bidi="ar-SA"/>
              </w:rPr>
            </w:pPr>
            <w:r>
              <w:rPr>
                <w:rFonts w:hint="eastAsia" w:ascii="宋体" w:hAnsi="宋体" w:eastAsia="宋体" w:cs="宋体"/>
                <w:color w:val="auto"/>
                <w:sz w:val="32"/>
                <w:szCs w:val="32"/>
              </w:rPr>
              <w:t>企业</w:t>
            </w:r>
            <w:r>
              <w:rPr>
                <w:rFonts w:hint="eastAsia" w:ascii="宋体" w:hAnsi="宋体" w:eastAsia="宋体" w:cs="宋体"/>
                <w:color w:val="auto"/>
                <w:sz w:val="32"/>
                <w:szCs w:val="32"/>
                <w:lang w:val="en-US" w:eastAsia="zh-CN"/>
              </w:rPr>
              <w:t>外</w:t>
            </w:r>
            <w:r>
              <w:rPr>
                <w:rFonts w:hint="eastAsia" w:ascii="宋体" w:hAnsi="宋体" w:eastAsia="宋体" w:cs="宋体"/>
                <w:color w:val="auto"/>
                <w:sz w:val="32"/>
                <w:szCs w:val="32"/>
              </w:rPr>
              <w:t>部防雷措施</w:t>
            </w:r>
          </w:p>
        </w:tc>
      </w:tr>
      <w:tr w14:paraId="1A22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4309" w:type="dxa"/>
            <w:noWrap w:val="0"/>
            <w:vAlign w:val="center"/>
          </w:tcPr>
          <w:p w14:paraId="68EB9846">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83815" cy="2195830"/>
                  <wp:effectExtent l="0" t="0" r="6985" b="13970"/>
                  <wp:docPr id="10" name="图片 10" descr="防雷设施巡查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防雷设施巡查记录"/>
                          <pic:cNvPicPr>
                            <a:picLocks noChangeAspect="1"/>
                          </pic:cNvPicPr>
                        </pic:nvPicPr>
                        <pic:blipFill>
                          <a:blip r:embed="rId20"/>
                          <a:stretch>
                            <a:fillRect/>
                          </a:stretch>
                        </pic:blipFill>
                        <pic:spPr>
                          <a:xfrm>
                            <a:off x="0" y="0"/>
                            <a:ext cx="2583815" cy="2195830"/>
                          </a:xfrm>
                          <a:prstGeom prst="rect">
                            <a:avLst/>
                          </a:prstGeom>
                        </pic:spPr>
                      </pic:pic>
                    </a:graphicData>
                  </a:graphic>
                </wp:inline>
              </w:drawing>
            </w:r>
          </w:p>
        </w:tc>
        <w:tc>
          <w:tcPr>
            <w:tcW w:w="4309" w:type="dxa"/>
            <w:noWrap w:val="0"/>
            <w:vAlign w:val="center"/>
          </w:tcPr>
          <w:p w14:paraId="1063AF19">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71115" cy="2204085"/>
                  <wp:effectExtent l="0" t="0" r="635" b="5715"/>
                  <wp:docPr id="13" name="图片 13" descr="气象灾害防御工作制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气象灾害防御工作制度"/>
                          <pic:cNvPicPr>
                            <a:picLocks noChangeAspect="1"/>
                          </pic:cNvPicPr>
                        </pic:nvPicPr>
                        <pic:blipFill>
                          <a:blip r:embed="rId21"/>
                          <a:stretch>
                            <a:fillRect/>
                          </a:stretch>
                        </pic:blipFill>
                        <pic:spPr>
                          <a:xfrm>
                            <a:off x="0" y="0"/>
                            <a:ext cx="2571115" cy="2204085"/>
                          </a:xfrm>
                          <a:prstGeom prst="rect">
                            <a:avLst/>
                          </a:prstGeom>
                        </pic:spPr>
                      </pic:pic>
                    </a:graphicData>
                  </a:graphic>
                </wp:inline>
              </w:drawing>
            </w:r>
          </w:p>
        </w:tc>
      </w:tr>
      <w:tr w14:paraId="0056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74C34FC2">
            <w:pPr>
              <w:jc w:val="center"/>
              <w:rPr>
                <w:rFonts w:hint="eastAsia" w:ascii="宋体" w:hAnsi="宋体" w:eastAsia="宋体" w:cs="宋体"/>
                <w:color w:val="auto"/>
                <w:sz w:val="32"/>
                <w:szCs w:val="32"/>
              </w:rPr>
            </w:pPr>
            <w:r>
              <w:rPr>
                <w:rFonts w:hint="eastAsia" w:ascii="宋体" w:hAnsi="宋体" w:eastAsia="宋体" w:cs="宋体"/>
                <w:color w:val="auto"/>
                <w:sz w:val="32"/>
                <w:szCs w:val="32"/>
              </w:rPr>
              <w:t>防雷设施巡查记录</w:t>
            </w:r>
          </w:p>
        </w:tc>
        <w:tc>
          <w:tcPr>
            <w:tcW w:w="4309" w:type="dxa"/>
            <w:noWrap w:val="0"/>
            <w:vAlign w:val="center"/>
          </w:tcPr>
          <w:p w14:paraId="16BBBFF3">
            <w:pPr>
              <w:jc w:val="center"/>
              <w:rPr>
                <w:rFonts w:hint="eastAsia"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工作制度建设情况</w:t>
            </w:r>
          </w:p>
        </w:tc>
      </w:tr>
      <w:tr w14:paraId="09C4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4309" w:type="dxa"/>
            <w:noWrap w:val="0"/>
            <w:vAlign w:val="center"/>
          </w:tcPr>
          <w:p w14:paraId="66B80A9D">
            <w:pPr>
              <w:jc w:val="center"/>
              <w:rPr>
                <w:rFonts w:hint="eastAsia" w:ascii="宋体" w:hAnsi="宋体" w:eastAsia="宋体" w:cs="宋体"/>
                <w:color w:val="0000FF"/>
                <w:sz w:val="32"/>
                <w:szCs w:val="32"/>
                <w:lang w:eastAsia="zh-CN"/>
              </w:rPr>
            </w:pPr>
            <w:r>
              <w:rPr>
                <w:rFonts w:hint="eastAsia" w:ascii="宋体" w:hAnsi="宋体" w:eastAsia="宋体" w:cs="宋体"/>
                <w:color w:val="0000FF"/>
                <w:sz w:val="32"/>
                <w:szCs w:val="32"/>
                <w:lang w:eastAsia="zh-CN"/>
              </w:rPr>
              <w:drawing>
                <wp:inline distT="0" distB="0" distL="114300" distR="114300">
                  <wp:extent cx="2594610" cy="2060575"/>
                  <wp:effectExtent l="0" t="0" r="15240" b="1587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2"/>
                          <a:stretch>
                            <a:fillRect/>
                          </a:stretch>
                        </pic:blipFill>
                        <pic:spPr>
                          <a:xfrm>
                            <a:off x="0" y="0"/>
                            <a:ext cx="2594610" cy="2060575"/>
                          </a:xfrm>
                          <a:prstGeom prst="rect">
                            <a:avLst/>
                          </a:prstGeom>
                          <a:noFill/>
                          <a:ln>
                            <a:noFill/>
                          </a:ln>
                        </pic:spPr>
                      </pic:pic>
                    </a:graphicData>
                  </a:graphic>
                </wp:inline>
              </w:drawing>
            </w:r>
          </w:p>
        </w:tc>
        <w:tc>
          <w:tcPr>
            <w:tcW w:w="4309" w:type="dxa"/>
            <w:noWrap w:val="0"/>
            <w:vAlign w:val="center"/>
          </w:tcPr>
          <w:p w14:paraId="63C545D4">
            <w:pPr>
              <w:jc w:val="center"/>
              <w:rPr>
                <w:rFonts w:hint="eastAsia" w:ascii="宋体" w:hAnsi="宋体" w:eastAsia="宋体" w:cs="宋体"/>
                <w:color w:val="0000FF"/>
                <w:sz w:val="32"/>
                <w:szCs w:val="32"/>
                <w:lang w:eastAsia="zh-CN"/>
              </w:rPr>
            </w:pPr>
            <w:r>
              <w:rPr>
                <w:rFonts w:hint="eastAsia" w:ascii="宋体" w:hAnsi="宋体" w:eastAsia="宋体" w:cs="宋体"/>
                <w:color w:val="0000FF"/>
                <w:sz w:val="32"/>
                <w:szCs w:val="32"/>
                <w:lang w:eastAsia="zh-CN"/>
              </w:rPr>
              <w:drawing>
                <wp:inline distT="0" distB="0" distL="114300" distR="114300">
                  <wp:extent cx="2564765" cy="2167255"/>
                  <wp:effectExtent l="0" t="0" r="6985" b="4445"/>
                  <wp:docPr id="15" name="图片 15" descr="已有气象灾害培训计划(七月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已有气象灾害培训计划(七月份)"/>
                          <pic:cNvPicPr>
                            <a:picLocks noChangeAspect="1"/>
                          </pic:cNvPicPr>
                        </pic:nvPicPr>
                        <pic:blipFill>
                          <a:blip r:embed="rId23"/>
                          <a:stretch>
                            <a:fillRect/>
                          </a:stretch>
                        </pic:blipFill>
                        <pic:spPr>
                          <a:xfrm>
                            <a:off x="0" y="0"/>
                            <a:ext cx="2564765" cy="2167255"/>
                          </a:xfrm>
                          <a:prstGeom prst="rect">
                            <a:avLst/>
                          </a:prstGeom>
                        </pic:spPr>
                      </pic:pic>
                    </a:graphicData>
                  </a:graphic>
                </wp:inline>
              </w:drawing>
            </w:r>
          </w:p>
        </w:tc>
      </w:tr>
      <w:tr w14:paraId="61B5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04B6DFAA">
            <w:pPr>
              <w:jc w:val="center"/>
              <w:rPr>
                <w:rFonts w:ascii="宋体" w:hAnsi="宋体" w:eastAsia="宋体" w:cs="宋体"/>
                <w:color w:val="auto"/>
                <w:sz w:val="32"/>
                <w:szCs w:val="32"/>
              </w:rPr>
            </w:pPr>
            <w:r>
              <w:rPr>
                <w:rFonts w:hint="eastAsia" w:ascii="宋体" w:hAnsi="宋体" w:eastAsia="宋体" w:cs="宋体"/>
                <w:color w:val="auto"/>
                <w:sz w:val="32"/>
                <w:szCs w:val="32"/>
                <w:lang w:val="en-US" w:eastAsia="zh-CN"/>
              </w:rPr>
              <w:t>气象灾害应急预案建立情况</w:t>
            </w:r>
          </w:p>
        </w:tc>
        <w:tc>
          <w:tcPr>
            <w:tcW w:w="4309" w:type="dxa"/>
            <w:noWrap w:val="0"/>
            <w:vAlign w:val="center"/>
          </w:tcPr>
          <w:p w14:paraId="7DECB242">
            <w:pPr>
              <w:jc w:val="center"/>
              <w:rPr>
                <w:rFonts w:ascii="宋体" w:hAnsi="宋体" w:eastAsia="宋体" w:cs="宋体"/>
                <w:color w:val="auto"/>
                <w:sz w:val="32"/>
                <w:szCs w:val="32"/>
              </w:rPr>
            </w:pPr>
            <w:r>
              <w:rPr>
                <w:rFonts w:hint="eastAsia" w:ascii="宋体" w:hAnsi="宋体" w:eastAsia="宋体" w:cs="宋体"/>
                <w:color w:val="auto"/>
                <w:sz w:val="32"/>
                <w:szCs w:val="32"/>
                <w:lang w:val="en-US" w:eastAsia="zh-CN"/>
              </w:rPr>
              <w:t>气象培训记录</w:t>
            </w:r>
          </w:p>
        </w:tc>
      </w:tr>
      <w:tr w14:paraId="0EF1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6" w:hRule="atLeast"/>
          <w:jc w:val="center"/>
        </w:trPr>
        <w:tc>
          <w:tcPr>
            <w:tcW w:w="4309" w:type="dxa"/>
            <w:noWrap w:val="0"/>
            <w:vAlign w:val="center"/>
          </w:tcPr>
          <w:p w14:paraId="430C962B">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3975" cy="2160270"/>
                  <wp:effectExtent l="0" t="0" r="15875" b="11430"/>
                  <wp:docPr id="16" name="图片 16" descr="已有气象灾害演练计划(七月份)"/>
                  <wp:cNvGraphicFramePr/>
                  <a:graphic xmlns:a="http://schemas.openxmlformats.org/drawingml/2006/main">
                    <a:graphicData uri="http://schemas.openxmlformats.org/drawingml/2006/picture">
                      <pic:pic xmlns:pic="http://schemas.openxmlformats.org/drawingml/2006/picture">
                        <pic:nvPicPr>
                          <pic:cNvPr id="16" name="图片 16" descr="已有气象灾害演练计划(七月份)"/>
                          <pic:cNvPicPr/>
                        </pic:nvPicPr>
                        <pic:blipFill>
                          <a:blip r:embed="rId24"/>
                          <a:stretch>
                            <a:fillRect/>
                          </a:stretch>
                        </pic:blipFill>
                        <pic:spPr>
                          <a:xfrm>
                            <a:off x="0" y="0"/>
                            <a:ext cx="2593975" cy="2160270"/>
                          </a:xfrm>
                          <a:prstGeom prst="rect">
                            <a:avLst/>
                          </a:prstGeom>
                        </pic:spPr>
                      </pic:pic>
                    </a:graphicData>
                  </a:graphic>
                </wp:inline>
              </w:drawing>
            </w:r>
          </w:p>
        </w:tc>
        <w:tc>
          <w:tcPr>
            <w:tcW w:w="4309" w:type="dxa"/>
            <w:noWrap w:val="0"/>
            <w:vAlign w:val="center"/>
          </w:tcPr>
          <w:p w14:paraId="1670049F">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85085" cy="1938655"/>
                  <wp:effectExtent l="0" t="0" r="5715" b="4445"/>
                  <wp:docPr id="2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descr="IMG_256"/>
                          <pic:cNvPicPr>
                            <a:picLocks noChangeAspect="1"/>
                          </pic:cNvPicPr>
                        </pic:nvPicPr>
                        <pic:blipFill>
                          <a:blip r:embed="rId25"/>
                          <a:stretch>
                            <a:fillRect/>
                          </a:stretch>
                        </pic:blipFill>
                        <pic:spPr>
                          <a:xfrm>
                            <a:off x="0" y="0"/>
                            <a:ext cx="2585085" cy="1938655"/>
                          </a:xfrm>
                          <a:prstGeom prst="rect">
                            <a:avLst/>
                          </a:prstGeom>
                          <a:noFill/>
                          <a:ln w="9525">
                            <a:noFill/>
                          </a:ln>
                        </pic:spPr>
                      </pic:pic>
                    </a:graphicData>
                  </a:graphic>
                </wp:inline>
              </w:drawing>
            </w:r>
          </w:p>
        </w:tc>
      </w:tr>
      <w:tr w14:paraId="1450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22CF4FF2">
            <w:pPr>
              <w:jc w:val="center"/>
              <w:rPr>
                <w:rFonts w:hint="eastAsia" w:ascii="宋体" w:hAnsi="宋体" w:eastAsia="宋体" w:cs="宋体"/>
                <w:color w:val="auto"/>
                <w:sz w:val="32"/>
                <w:szCs w:val="32"/>
              </w:rPr>
            </w:pPr>
            <w:r>
              <w:rPr>
                <w:rFonts w:hint="eastAsia" w:ascii="宋体" w:hAnsi="宋体" w:eastAsia="宋体" w:cs="宋体"/>
                <w:color w:val="auto"/>
                <w:sz w:val="32"/>
                <w:szCs w:val="32"/>
                <w:lang w:val="en-US" w:eastAsia="zh-CN"/>
              </w:rPr>
              <w:t>应急演练记录</w:t>
            </w:r>
          </w:p>
        </w:tc>
        <w:tc>
          <w:tcPr>
            <w:tcW w:w="4309" w:type="dxa"/>
            <w:noWrap w:val="0"/>
            <w:vAlign w:val="center"/>
          </w:tcPr>
          <w:p w14:paraId="3ACF3BD4">
            <w:pPr>
              <w:jc w:val="center"/>
              <w:rPr>
                <w:rFonts w:hint="eastAsia" w:ascii="宋体" w:hAnsi="宋体" w:eastAsia="宋体" w:cs="宋体"/>
                <w:color w:val="auto"/>
                <w:sz w:val="32"/>
                <w:szCs w:val="32"/>
              </w:rPr>
            </w:pPr>
            <w:r>
              <w:rPr>
                <w:rFonts w:hint="eastAsia" w:ascii="宋体" w:hAnsi="宋体" w:eastAsia="宋体" w:cs="宋体"/>
                <w:color w:val="auto"/>
                <w:sz w:val="32"/>
                <w:szCs w:val="32"/>
                <w:lang w:val="en-US" w:eastAsia="zh-CN"/>
              </w:rPr>
              <w:t>应急物资储备</w:t>
            </w:r>
          </w:p>
        </w:tc>
      </w:tr>
      <w:tr w14:paraId="0702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0" w:hRule="atLeast"/>
          <w:jc w:val="center"/>
        </w:trPr>
        <w:tc>
          <w:tcPr>
            <w:tcW w:w="4309" w:type="dxa"/>
            <w:noWrap w:val="0"/>
            <w:vAlign w:val="center"/>
          </w:tcPr>
          <w:p w14:paraId="27AD88FD">
            <w:pPr>
              <w:jc w:val="center"/>
              <w:rPr>
                <w:rFonts w:hint="default" w:ascii="宋体" w:hAnsi="宋体" w:eastAsia="宋体" w:cs="宋体"/>
                <w:color w:val="auto"/>
                <w:sz w:val="32"/>
                <w:szCs w:val="32"/>
                <w:lang w:val="en-US" w:eastAsia="zh-CN"/>
              </w:rPr>
            </w:pPr>
            <w:r>
              <w:rPr>
                <w:rFonts w:hint="eastAsia" w:ascii="宋体" w:hAnsi="宋体" w:cs="宋体"/>
                <w:color w:val="auto"/>
                <w:sz w:val="32"/>
                <w:szCs w:val="32"/>
                <w:lang w:val="en-US" w:eastAsia="zh-CN"/>
              </w:rPr>
              <w:t>无</w:t>
            </w:r>
          </w:p>
        </w:tc>
        <w:tc>
          <w:tcPr>
            <w:tcW w:w="4309" w:type="dxa"/>
            <w:noWrap w:val="0"/>
            <w:vAlign w:val="center"/>
          </w:tcPr>
          <w:p w14:paraId="6C210C9D">
            <w:pPr>
              <w:jc w:val="center"/>
              <w:rPr>
                <w:rFonts w:hint="default" w:ascii="宋体" w:hAnsi="宋体" w:eastAsia="宋体" w:cs="宋体"/>
                <w:color w:val="auto"/>
                <w:sz w:val="32"/>
                <w:szCs w:val="32"/>
                <w:lang w:val="en-US" w:eastAsia="zh-CN"/>
              </w:rPr>
            </w:pPr>
            <w:r>
              <w:rPr>
                <w:rFonts w:hint="eastAsia" w:ascii="宋体" w:hAnsi="宋体" w:cs="宋体"/>
                <w:color w:val="auto"/>
                <w:sz w:val="32"/>
                <w:szCs w:val="32"/>
                <w:lang w:val="en-US" w:eastAsia="zh-CN"/>
              </w:rPr>
              <w:drawing>
                <wp:inline distT="0" distB="0" distL="114300" distR="114300">
                  <wp:extent cx="2594610" cy="2160270"/>
                  <wp:effectExtent l="0" t="0" r="15240" b="11430"/>
                  <wp:docPr id="17" name="图片 17" descr="自查自报系统截图"/>
                  <wp:cNvGraphicFramePr/>
                  <a:graphic xmlns:a="http://schemas.openxmlformats.org/drawingml/2006/main">
                    <a:graphicData uri="http://schemas.openxmlformats.org/drawingml/2006/picture">
                      <pic:pic xmlns:pic="http://schemas.openxmlformats.org/drawingml/2006/picture">
                        <pic:nvPicPr>
                          <pic:cNvPr id="17" name="图片 17" descr="自查自报系统截图"/>
                          <pic:cNvPicPr/>
                        </pic:nvPicPr>
                        <pic:blipFill>
                          <a:blip r:embed="rId26"/>
                          <a:stretch>
                            <a:fillRect/>
                          </a:stretch>
                        </pic:blipFill>
                        <pic:spPr>
                          <a:xfrm>
                            <a:off x="0" y="0"/>
                            <a:ext cx="2594610" cy="2160270"/>
                          </a:xfrm>
                          <a:prstGeom prst="rect">
                            <a:avLst/>
                          </a:prstGeom>
                        </pic:spPr>
                      </pic:pic>
                    </a:graphicData>
                  </a:graphic>
                </wp:inline>
              </w:drawing>
            </w:r>
          </w:p>
        </w:tc>
      </w:tr>
      <w:tr w14:paraId="163D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16416720">
            <w:pPr>
              <w:jc w:val="center"/>
              <w:rPr>
                <w:rFonts w:hint="eastAsia" w:ascii="宋体" w:hAnsi="宋体" w:eastAsia="宋体" w:cs="宋体"/>
                <w:color w:val="auto"/>
                <w:sz w:val="32"/>
                <w:szCs w:val="32"/>
              </w:rPr>
            </w:pPr>
            <w:r>
              <w:rPr>
                <w:rFonts w:hint="eastAsia" w:ascii="宋体" w:hAnsi="宋体" w:eastAsia="宋体" w:cs="宋体"/>
                <w:color w:val="auto"/>
                <w:sz w:val="32"/>
                <w:szCs w:val="32"/>
              </w:rPr>
              <w:t>雷电监测设备</w:t>
            </w:r>
          </w:p>
        </w:tc>
        <w:tc>
          <w:tcPr>
            <w:tcW w:w="4309" w:type="dxa"/>
            <w:noWrap w:val="0"/>
            <w:vAlign w:val="center"/>
          </w:tcPr>
          <w:p w14:paraId="7C6A2D22">
            <w:pPr>
              <w:jc w:val="center"/>
              <w:rPr>
                <w:rFonts w:hint="default"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企业自查自报</w:t>
            </w:r>
          </w:p>
        </w:tc>
      </w:tr>
    </w:tbl>
    <w:p w14:paraId="1C39867D">
      <w:pPr>
        <w:jc w:val="center"/>
        <w:rPr>
          <w:rFonts w:hint="eastAsia" w:ascii="宋体" w:hAnsi="宋体" w:eastAsia="宋体" w:cs="宋体"/>
          <w:color w:val="auto"/>
          <w:sz w:val="36"/>
          <w:szCs w:val="36"/>
          <w:lang w:eastAsia="zh-CN"/>
        </w:rPr>
        <w:sectPr>
          <w:footerReference r:id="rId6" w:type="default"/>
          <w:pgSz w:w="11906" w:h="16838"/>
          <w:pgMar w:top="1440" w:right="1800" w:bottom="1440" w:left="1800" w:header="851" w:footer="992" w:gutter="0"/>
          <w:pgNumType w:fmt="decimal"/>
          <w:cols w:space="720" w:num="1"/>
          <w:docGrid w:type="lines" w:linePitch="312" w:charSpace="0"/>
        </w:sectPr>
      </w:pPr>
    </w:p>
    <w:p w14:paraId="2DDC4063">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4、气象灾害防御主体责任承诺书</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6"/>
      </w:tblGrid>
      <w:tr w14:paraId="119C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5" w:hRule="atLeast"/>
          <w:jc w:val="center"/>
        </w:trPr>
        <w:tc>
          <w:tcPr>
            <w:tcW w:w="8522" w:type="dxa"/>
            <w:noWrap w:val="0"/>
            <w:vAlign w:val="top"/>
          </w:tcPr>
          <w:p w14:paraId="287E3A1D">
            <w:pPr>
              <w:rPr>
                <w:rFonts w:hint="eastAsia" w:ascii="方正小标宋简体" w:hAnsi="宋体" w:eastAsia="方正小标宋简体" w:cs="宋体"/>
                <w:color w:val="auto"/>
                <w:sz w:val="52"/>
                <w:szCs w:val="52"/>
                <w:lang w:eastAsia="zh-CN"/>
              </w:rPr>
            </w:pPr>
            <w:r>
              <w:rPr>
                <w:rFonts w:hint="eastAsia" w:ascii="方正小标宋简体" w:hAnsi="宋体" w:eastAsia="方正小标宋简体" w:cs="宋体"/>
                <w:color w:val="auto"/>
                <w:sz w:val="52"/>
                <w:szCs w:val="52"/>
                <w:lang w:eastAsia="zh-CN"/>
              </w:rPr>
              <w:drawing>
                <wp:inline distT="0" distB="0" distL="114300" distR="114300">
                  <wp:extent cx="5467350" cy="7781925"/>
                  <wp:effectExtent l="0" t="0" r="0"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7"/>
                          <a:stretch>
                            <a:fillRect/>
                          </a:stretch>
                        </pic:blipFill>
                        <pic:spPr>
                          <a:xfrm>
                            <a:off x="0" y="0"/>
                            <a:ext cx="5467350" cy="7781925"/>
                          </a:xfrm>
                          <a:prstGeom prst="rect">
                            <a:avLst/>
                          </a:prstGeom>
                          <a:noFill/>
                          <a:ln>
                            <a:noFill/>
                          </a:ln>
                        </pic:spPr>
                      </pic:pic>
                    </a:graphicData>
                  </a:graphic>
                </wp:inline>
              </w:drawing>
            </w:r>
          </w:p>
        </w:tc>
      </w:tr>
    </w:tbl>
    <w:p w14:paraId="1B363D42">
      <w:pPr>
        <w:rPr>
          <w:color w:val="auto"/>
        </w:rPr>
      </w:pPr>
    </w:p>
    <w:p w14:paraId="36C8CD84">
      <w:pPr>
        <w:widowControl w:val="0"/>
        <w:numPr>
          <w:ilvl w:val="0"/>
          <w:numId w:val="0"/>
        </w:numPr>
        <w:jc w:val="both"/>
        <w:rPr>
          <w:rFonts w:hint="default"/>
          <w:lang w:val="en-US" w:eastAsia="zh-CN"/>
        </w:rPr>
        <w:sectPr>
          <w:pgSz w:w="11905" w:h="16836"/>
          <w:pgMar w:top="1654" w:right="1324" w:bottom="1401" w:left="1324" w:header="1356" w:footer="1224" w:gutter="0"/>
          <w:pgNumType w:fmt="decimal"/>
          <w:cols w:space="720" w:num="1"/>
        </w:sectPr>
      </w:pPr>
    </w:p>
    <w:p w14:paraId="3286BFBE">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附件5：防雷重点单位风险分类分级管控表</w:t>
      </w:r>
    </w:p>
    <w:p w14:paraId="4F438266">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防雷重点单位</w:t>
      </w:r>
    </w:p>
    <w:p w14:paraId="38B8F0DF">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风险分类分级管控表</w:t>
      </w:r>
    </w:p>
    <w:p w14:paraId="009F4256">
      <w:pPr>
        <w:rPr>
          <w:rFonts w:hint="eastAsia"/>
          <w:lang w:val="en-US" w:eastAsia="zh-CN"/>
        </w:rPr>
      </w:pPr>
    </w:p>
    <w:tbl>
      <w:tblPr>
        <w:tblStyle w:val="15"/>
        <w:tblW w:w="94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83"/>
        <w:gridCol w:w="2582"/>
        <w:gridCol w:w="2583"/>
        <w:gridCol w:w="2811"/>
      </w:tblGrid>
      <w:tr w14:paraId="607D8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1483" w:type="dxa"/>
            <w:vMerge w:val="restart"/>
            <w:tcBorders>
              <w:top w:val="single" w:color="000000" w:sz="6" w:space="0"/>
              <w:left w:val="single" w:color="000000" w:sz="6" w:space="0"/>
              <w:bottom w:val="nil"/>
            </w:tcBorders>
            <w:noWrap w:val="0"/>
            <w:vAlign w:val="center"/>
          </w:tcPr>
          <w:p w14:paraId="1CC11D7A">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管控内容</w:t>
            </w:r>
          </w:p>
        </w:tc>
        <w:tc>
          <w:tcPr>
            <w:tcW w:w="7976" w:type="dxa"/>
            <w:gridSpan w:val="3"/>
            <w:tcBorders>
              <w:top w:val="single" w:color="000000" w:sz="6" w:space="0"/>
              <w:right w:val="single" w:color="000000" w:sz="6" w:space="0"/>
            </w:tcBorders>
            <w:noWrap w:val="0"/>
            <w:vAlign w:val="center"/>
          </w:tcPr>
          <w:p w14:paraId="69B5CDB4">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管控措施</w:t>
            </w:r>
          </w:p>
        </w:tc>
      </w:tr>
      <w:tr w14:paraId="57D30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single" w:color="000000" w:sz="6" w:space="0"/>
            </w:tcBorders>
            <w:noWrap w:val="0"/>
            <w:vAlign w:val="center"/>
          </w:tcPr>
          <w:p w14:paraId="3E6A969E">
            <w:pPr>
              <w:widowControl w:val="0"/>
              <w:numPr>
                <w:ilvl w:val="0"/>
                <w:numId w:val="0"/>
              </w:numPr>
              <w:jc w:val="center"/>
              <w:rPr>
                <w:rFonts w:hint="eastAsia" w:ascii="仿宋" w:hAnsi="仿宋" w:eastAsia="仿宋" w:cs="仿宋"/>
                <w:b/>
                <w:bCs/>
                <w:color w:val="000000"/>
                <w:sz w:val="24"/>
                <w:szCs w:val="32"/>
                <w:lang w:val="en-US" w:eastAsia="zh-CN"/>
              </w:rPr>
            </w:pPr>
          </w:p>
        </w:tc>
        <w:tc>
          <w:tcPr>
            <w:tcW w:w="2582" w:type="dxa"/>
            <w:tcBorders>
              <w:bottom w:val="single" w:color="000000" w:sz="6" w:space="0"/>
            </w:tcBorders>
            <w:noWrap w:val="0"/>
            <w:vAlign w:val="center"/>
          </w:tcPr>
          <w:p w14:paraId="2CE6294E">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高风险</w:t>
            </w:r>
          </w:p>
        </w:tc>
        <w:tc>
          <w:tcPr>
            <w:tcW w:w="2583" w:type="dxa"/>
            <w:tcBorders>
              <w:bottom w:val="single" w:color="000000" w:sz="6" w:space="0"/>
            </w:tcBorders>
            <w:noWrap w:val="0"/>
            <w:vAlign w:val="center"/>
          </w:tcPr>
          <w:p w14:paraId="3A671551">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较高风险</w:t>
            </w:r>
          </w:p>
        </w:tc>
        <w:tc>
          <w:tcPr>
            <w:tcW w:w="2811" w:type="dxa"/>
            <w:tcBorders>
              <w:bottom w:val="single" w:color="000000" w:sz="6" w:space="0"/>
              <w:right w:val="single" w:color="000000" w:sz="6" w:space="0"/>
            </w:tcBorders>
            <w:noWrap w:val="0"/>
            <w:vAlign w:val="center"/>
          </w:tcPr>
          <w:p w14:paraId="10C88CCE">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中等与较低风险</w:t>
            </w:r>
          </w:p>
        </w:tc>
      </w:tr>
      <w:tr w14:paraId="1C614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1483" w:type="dxa"/>
            <w:vMerge w:val="restart"/>
            <w:tcBorders>
              <w:top w:val="single" w:color="000000" w:sz="6" w:space="0"/>
              <w:left w:val="single" w:color="000000" w:sz="6" w:space="0"/>
              <w:bottom w:val="nil"/>
            </w:tcBorders>
            <w:noWrap w:val="0"/>
            <w:vAlign w:val="center"/>
          </w:tcPr>
          <w:p w14:paraId="710B844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管理与应急措施</w:t>
            </w:r>
          </w:p>
        </w:tc>
        <w:tc>
          <w:tcPr>
            <w:tcW w:w="7976" w:type="dxa"/>
            <w:gridSpan w:val="3"/>
            <w:tcBorders>
              <w:top w:val="single" w:color="000000" w:sz="6" w:space="0"/>
              <w:right w:val="single" w:color="000000" w:sz="6" w:space="0"/>
            </w:tcBorders>
            <w:noWrap w:val="0"/>
            <w:vAlign w:val="center"/>
          </w:tcPr>
          <w:p w14:paraId="5E7D21D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建立健全防雷安全风险分级管控工作制度 , 分级分层落实风险管控职责</w:t>
            </w:r>
          </w:p>
        </w:tc>
      </w:tr>
      <w:tr w14:paraId="196AF0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6F6197A9">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07F238DE">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公司层负责</w:t>
            </w:r>
          </w:p>
        </w:tc>
        <w:tc>
          <w:tcPr>
            <w:tcW w:w="2583" w:type="dxa"/>
            <w:noWrap w:val="0"/>
            <w:vAlign w:val="center"/>
          </w:tcPr>
          <w:p w14:paraId="3265A27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部门层负责</w:t>
            </w:r>
          </w:p>
        </w:tc>
        <w:tc>
          <w:tcPr>
            <w:tcW w:w="2811" w:type="dxa"/>
            <w:tcBorders>
              <w:right w:val="single" w:color="000000" w:sz="6" w:space="0"/>
            </w:tcBorders>
            <w:noWrap w:val="0"/>
            <w:vAlign w:val="center"/>
          </w:tcPr>
          <w:p w14:paraId="106C876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车间层负责</w:t>
            </w:r>
          </w:p>
        </w:tc>
      </w:tr>
      <w:tr w14:paraId="6C12A5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340E67A7">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61D9C1E4">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制定或完善防雷安全操作规程</w:t>
            </w:r>
          </w:p>
        </w:tc>
      </w:tr>
      <w:tr w14:paraId="44B35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50056434">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05B07F8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建立雷电灾害预警信息接收和响应机制</w:t>
            </w:r>
          </w:p>
        </w:tc>
      </w:tr>
      <w:tr w14:paraId="782BA7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0F9C7ED7">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10EF4C4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按照 GB/T 34312 的要求制定或完善雷电灾害应急预案</w:t>
            </w:r>
          </w:p>
        </w:tc>
      </w:tr>
      <w:tr w14:paraId="1D49E8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16B83DCE">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6347B92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2 次应急演练</w:t>
            </w:r>
          </w:p>
        </w:tc>
        <w:tc>
          <w:tcPr>
            <w:tcW w:w="5394" w:type="dxa"/>
            <w:gridSpan w:val="2"/>
            <w:tcBorders>
              <w:right w:val="single" w:color="000000" w:sz="6" w:space="0"/>
            </w:tcBorders>
            <w:noWrap w:val="0"/>
            <w:vAlign w:val="center"/>
          </w:tcPr>
          <w:p w14:paraId="74524EF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次应急演练</w:t>
            </w:r>
          </w:p>
        </w:tc>
      </w:tr>
      <w:tr w14:paraId="57203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tcBorders>
            <w:noWrap w:val="0"/>
            <w:vAlign w:val="center"/>
          </w:tcPr>
          <w:p w14:paraId="1F9D130D">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5890A8A6">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次防雷安全教育培训</w:t>
            </w:r>
          </w:p>
        </w:tc>
      </w:tr>
      <w:tr w14:paraId="0C461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restart"/>
            <w:tcBorders>
              <w:left w:val="single" w:color="000000" w:sz="6" w:space="0"/>
              <w:bottom w:val="nil"/>
            </w:tcBorders>
            <w:noWrap w:val="0"/>
            <w:vAlign w:val="center"/>
          </w:tcPr>
          <w:p w14:paraId="4E251885">
            <w:pPr>
              <w:widowControl w:val="0"/>
              <w:numPr>
                <w:ilvl w:val="0"/>
                <w:numId w:val="0"/>
              </w:numPr>
              <w:jc w:val="center"/>
              <w:rPr>
                <w:rFonts w:hint="eastAsia" w:ascii="仿宋" w:hAnsi="仿宋" w:eastAsia="仿宋" w:cs="仿宋"/>
                <w:b w:val="0"/>
                <w:color w:val="000000"/>
                <w:sz w:val="24"/>
                <w:szCs w:val="32"/>
                <w:lang w:val="en-US" w:eastAsia="zh-CN"/>
              </w:rPr>
            </w:pPr>
          </w:p>
          <w:p w14:paraId="15D8C091">
            <w:pPr>
              <w:widowControl w:val="0"/>
              <w:numPr>
                <w:ilvl w:val="0"/>
                <w:numId w:val="0"/>
              </w:numPr>
              <w:jc w:val="center"/>
              <w:rPr>
                <w:rFonts w:hint="eastAsia" w:ascii="仿宋" w:hAnsi="仿宋" w:eastAsia="仿宋" w:cs="仿宋"/>
                <w:b w:val="0"/>
                <w:color w:val="000000"/>
                <w:sz w:val="24"/>
                <w:szCs w:val="32"/>
                <w:lang w:val="en-US" w:eastAsia="zh-CN"/>
              </w:rPr>
            </w:pPr>
          </w:p>
          <w:p w14:paraId="445DAF67">
            <w:pPr>
              <w:widowControl w:val="0"/>
              <w:numPr>
                <w:ilvl w:val="0"/>
                <w:numId w:val="0"/>
              </w:numPr>
              <w:jc w:val="center"/>
              <w:rPr>
                <w:rFonts w:hint="eastAsia" w:ascii="仿宋" w:hAnsi="仿宋" w:eastAsia="仿宋" w:cs="仿宋"/>
                <w:b w:val="0"/>
                <w:color w:val="000000"/>
                <w:sz w:val="24"/>
                <w:szCs w:val="32"/>
                <w:lang w:val="en-US" w:eastAsia="zh-CN"/>
              </w:rPr>
            </w:pPr>
          </w:p>
          <w:p w14:paraId="6E902FF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技术与工程性措施</w:t>
            </w:r>
          </w:p>
        </w:tc>
        <w:tc>
          <w:tcPr>
            <w:tcW w:w="7976" w:type="dxa"/>
            <w:gridSpan w:val="3"/>
            <w:tcBorders>
              <w:right w:val="single" w:color="000000" w:sz="6" w:space="0"/>
            </w:tcBorders>
            <w:noWrap w:val="0"/>
            <w:vAlign w:val="center"/>
          </w:tcPr>
          <w:p w14:paraId="65393EE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GB/T 21431 的规定对雷电防护装置进行定期检测</w:t>
            </w:r>
          </w:p>
        </w:tc>
      </w:tr>
      <w:tr w14:paraId="5184C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6965F9A8">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0F9B1DD0">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每次雷雨过程之后巡查 1 次</w:t>
            </w:r>
          </w:p>
        </w:tc>
        <w:tc>
          <w:tcPr>
            <w:tcW w:w="2583" w:type="dxa"/>
            <w:noWrap w:val="0"/>
            <w:vAlign w:val="center"/>
          </w:tcPr>
          <w:p w14:paraId="642DB06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3 次</w:t>
            </w:r>
          </w:p>
        </w:tc>
        <w:tc>
          <w:tcPr>
            <w:tcW w:w="2811" w:type="dxa"/>
            <w:tcBorders>
              <w:right w:val="single" w:color="000000" w:sz="6" w:space="0"/>
            </w:tcBorders>
            <w:noWrap w:val="0"/>
            <w:vAlign w:val="center"/>
          </w:tcPr>
          <w:p w14:paraId="3A4C428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2 次</w:t>
            </w:r>
          </w:p>
        </w:tc>
      </w:tr>
      <w:tr w14:paraId="52E7E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4" w:hRule="atLeast"/>
          <w:jc w:val="center"/>
        </w:trPr>
        <w:tc>
          <w:tcPr>
            <w:tcW w:w="1483" w:type="dxa"/>
            <w:vMerge w:val="continue"/>
            <w:tcBorders>
              <w:top w:val="nil"/>
              <w:left w:val="single" w:color="000000" w:sz="6" w:space="0"/>
              <w:bottom w:val="nil"/>
            </w:tcBorders>
            <w:noWrap w:val="0"/>
            <w:vAlign w:val="center"/>
          </w:tcPr>
          <w:p w14:paraId="18537C65">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54F9BEB7">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 50057、GB 50343  的要求完善或整改雷电防护装置</w:t>
            </w:r>
          </w:p>
        </w:tc>
        <w:tc>
          <w:tcPr>
            <w:tcW w:w="5394" w:type="dxa"/>
            <w:gridSpan w:val="2"/>
            <w:tcBorders>
              <w:right w:val="single" w:color="000000" w:sz="6" w:space="0"/>
            </w:tcBorders>
            <w:noWrap w:val="0"/>
            <w:vAlign w:val="center"/>
          </w:tcPr>
          <w:p w14:paraId="3E3F11BA">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对雷电防护装置进行及时维修维护</w:t>
            </w:r>
          </w:p>
        </w:tc>
      </w:tr>
      <w:tr w14:paraId="338746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9" w:hRule="atLeast"/>
          <w:jc w:val="center"/>
        </w:trPr>
        <w:tc>
          <w:tcPr>
            <w:tcW w:w="1483" w:type="dxa"/>
            <w:vMerge w:val="continue"/>
            <w:tcBorders>
              <w:top w:val="nil"/>
              <w:left w:val="single" w:color="000000" w:sz="6" w:space="0"/>
              <w:bottom w:val="single" w:color="000000" w:sz="6" w:space="0"/>
            </w:tcBorders>
            <w:noWrap w:val="0"/>
            <w:vAlign w:val="center"/>
          </w:tcPr>
          <w:p w14:paraId="0B88A7D8">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tcBorders>
              <w:bottom w:val="single" w:color="000000" w:sz="6" w:space="0"/>
            </w:tcBorders>
            <w:noWrap w:val="0"/>
            <w:vAlign w:val="center"/>
          </w:tcPr>
          <w:p w14:paraId="63DA184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应设置防雷安全避险处 , 防雷安全标识应完善</w:t>
            </w:r>
          </w:p>
        </w:tc>
        <w:tc>
          <w:tcPr>
            <w:tcW w:w="2583" w:type="dxa"/>
            <w:tcBorders>
              <w:bottom w:val="single" w:color="000000" w:sz="6" w:space="0"/>
            </w:tcBorders>
            <w:noWrap w:val="0"/>
            <w:vAlign w:val="center"/>
          </w:tcPr>
          <w:p w14:paraId="1056DA69">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宜设置防雷安全避险处 , 防雷安全标识应完善</w:t>
            </w:r>
          </w:p>
        </w:tc>
        <w:tc>
          <w:tcPr>
            <w:tcW w:w="2811" w:type="dxa"/>
            <w:tcBorders>
              <w:bottom w:val="single" w:color="000000" w:sz="6" w:space="0"/>
              <w:right w:val="single" w:color="000000" w:sz="6" w:space="0"/>
            </w:tcBorders>
            <w:noWrap w:val="0"/>
            <w:vAlign w:val="center"/>
          </w:tcPr>
          <w:p w14:paraId="1B8F76B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防雷安全标识应完善</w:t>
            </w:r>
          </w:p>
        </w:tc>
      </w:tr>
    </w:tbl>
    <w:p w14:paraId="61AF2C5A">
      <w:pPr>
        <w:rPr>
          <w:rFonts w:hint="default"/>
          <w:lang w:val="en-US" w:eastAsia="zh-CN"/>
        </w:rPr>
      </w:pPr>
    </w:p>
    <w:p w14:paraId="38298FEC">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6251D6A8">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1981F6C9">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2BAFE7AA">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sectPr>
          <w:headerReference r:id="rId7" w:type="default"/>
          <w:footerReference r:id="rId8"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decimal"/>
          <w:cols w:space="720" w:num="1"/>
          <w:docGrid w:type="lines" w:linePitch="312" w:charSpace="0"/>
        </w:sectPr>
      </w:pPr>
    </w:p>
    <w:p w14:paraId="7D00EF07">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附件6：防雷重点单位“重点部位”风险分类分级管控清单</w:t>
      </w:r>
    </w:p>
    <w:p w14:paraId="73CC7272">
      <w:pPr>
        <w:keepNext w:val="0"/>
        <w:keepLines w:val="0"/>
        <w:pageBreakBefore w:val="0"/>
        <w:widowControl w:val="0"/>
        <w:kinsoku/>
        <w:wordWrap/>
        <w:overflowPunct/>
        <w:topLinePunct w:val="0"/>
        <w:autoSpaceDE/>
        <w:autoSpaceDN/>
        <w:bidi w:val="0"/>
        <w:adjustRightInd/>
        <w:snapToGrid/>
        <w:spacing w:before="161" w:beforeLines="50" w:line="360" w:lineRule="auto"/>
        <w:jc w:val="center"/>
        <w:textAlignment w:val="auto"/>
        <w:rPr>
          <w:rFonts w:hint="eastAsia" w:ascii="黑体" w:hAnsi="黑体" w:eastAsia="黑体"/>
          <w:sz w:val="44"/>
          <w:szCs w:val="44"/>
          <w:lang w:eastAsia="zh-CN"/>
        </w:rPr>
      </w:pPr>
      <w:r>
        <w:rPr>
          <w:rFonts w:hint="eastAsia" w:ascii="黑体" w:hAnsi="黑体" w:eastAsia="黑体" w:cs="黑体"/>
          <w:b/>
          <w:bCs/>
          <w:sz w:val="40"/>
          <w:szCs w:val="48"/>
          <w:lang w:val="en-US" w:eastAsia="zh-CN"/>
        </w:rPr>
        <w:t>防雷重点单位“重点部位”风险分类分级管控清单</w:t>
      </w:r>
    </w:p>
    <w:p w14:paraId="7B791DAE"/>
    <w:tbl>
      <w:tblPr>
        <w:tblStyle w:val="9"/>
        <w:tblW w:w="14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426"/>
        <w:gridCol w:w="2256"/>
        <w:gridCol w:w="2016"/>
        <w:gridCol w:w="1390"/>
        <w:gridCol w:w="1275"/>
        <w:gridCol w:w="5670"/>
      </w:tblGrid>
      <w:tr w14:paraId="7B2C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4" w:type="dxa"/>
            <w:noWrap w:val="0"/>
            <w:vAlign w:val="center"/>
          </w:tcPr>
          <w:p w14:paraId="31FCBDAE">
            <w:pPr>
              <w:jc w:val="center"/>
              <w:rPr>
                <w:rFonts w:ascii="仿宋_GB2312" w:eastAsia="仿宋_GB2312"/>
                <w:b/>
                <w:bCs/>
                <w:sz w:val="24"/>
              </w:rPr>
            </w:pPr>
            <w:r>
              <w:rPr>
                <w:rFonts w:hint="eastAsia" w:ascii="仿宋_GB2312" w:eastAsia="仿宋_GB2312"/>
                <w:b/>
                <w:bCs/>
                <w:sz w:val="24"/>
              </w:rPr>
              <w:t>序号</w:t>
            </w:r>
          </w:p>
        </w:tc>
        <w:tc>
          <w:tcPr>
            <w:tcW w:w="1426" w:type="dxa"/>
            <w:noWrap w:val="0"/>
            <w:vAlign w:val="center"/>
          </w:tcPr>
          <w:p w14:paraId="7D03C4D6">
            <w:pPr>
              <w:jc w:val="center"/>
              <w:rPr>
                <w:rFonts w:ascii="仿宋_GB2312" w:eastAsia="仿宋_GB2312"/>
                <w:b/>
                <w:bCs/>
                <w:sz w:val="24"/>
              </w:rPr>
            </w:pPr>
            <w:r>
              <w:rPr>
                <w:rFonts w:hint="eastAsia" w:ascii="仿宋_GB2312" w:eastAsia="仿宋_GB2312"/>
                <w:b/>
                <w:bCs/>
                <w:sz w:val="24"/>
              </w:rPr>
              <w:t>场所</w:t>
            </w:r>
          </w:p>
        </w:tc>
        <w:tc>
          <w:tcPr>
            <w:tcW w:w="2256" w:type="dxa"/>
            <w:noWrap w:val="0"/>
            <w:vAlign w:val="center"/>
          </w:tcPr>
          <w:p w14:paraId="3DA4EA9A">
            <w:pPr>
              <w:jc w:val="center"/>
              <w:rPr>
                <w:rFonts w:ascii="仿宋_GB2312" w:eastAsia="仿宋_GB2312"/>
                <w:b/>
                <w:bCs/>
                <w:sz w:val="24"/>
              </w:rPr>
            </w:pPr>
            <w:r>
              <w:rPr>
                <w:rFonts w:hint="eastAsia" w:ascii="仿宋_GB2312" w:eastAsia="仿宋_GB2312"/>
                <w:b/>
                <w:bCs/>
                <w:sz w:val="24"/>
              </w:rPr>
              <w:t>风险描述</w:t>
            </w:r>
          </w:p>
        </w:tc>
        <w:tc>
          <w:tcPr>
            <w:tcW w:w="2016" w:type="dxa"/>
            <w:noWrap w:val="0"/>
            <w:vAlign w:val="center"/>
          </w:tcPr>
          <w:p w14:paraId="59A77536">
            <w:pPr>
              <w:jc w:val="center"/>
              <w:rPr>
                <w:rFonts w:ascii="仿宋_GB2312" w:eastAsia="仿宋_GB2312"/>
                <w:b/>
                <w:bCs/>
                <w:sz w:val="24"/>
              </w:rPr>
            </w:pPr>
            <w:r>
              <w:rPr>
                <w:rFonts w:hint="eastAsia" w:ascii="仿宋_GB2312" w:eastAsia="仿宋_GB2312"/>
                <w:b/>
                <w:bCs/>
                <w:sz w:val="24"/>
              </w:rPr>
              <w:t>可能导致的事故类型</w:t>
            </w:r>
          </w:p>
        </w:tc>
        <w:tc>
          <w:tcPr>
            <w:tcW w:w="1390" w:type="dxa"/>
            <w:noWrap w:val="0"/>
            <w:vAlign w:val="center"/>
          </w:tcPr>
          <w:p w14:paraId="243456AC">
            <w:pPr>
              <w:jc w:val="center"/>
              <w:rPr>
                <w:rFonts w:ascii="仿宋_GB2312" w:eastAsia="仿宋_GB2312"/>
                <w:b/>
                <w:bCs/>
                <w:sz w:val="24"/>
              </w:rPr>
            </w:pPr>
            <w:r>
              <w:rPr>
                <w:rFonts w:hint="eastAsia" w:ascii="仿宋_GB2312" w:eastAsia="仿宋_GB2312"/>
                <w:b/>
                <w:bCs/>
                <w:sz w:val="24"/>
              </w:rPr>
              <w:t>风险等级</w:t>
            </w:r>
          </w:p>
        </w:tc>
        <w:tc>
          <w:tcPr>
            <w:tcW w:w="1275" w:type="dxa"/>
            <w:noWrap w:val="0"/>
            <w:vAlign w:val="center"/>
          </w:tcPr>
          <w:p w14:paraId="5911A16D">
            <w:pPr>
              <w:jc w:val="center"/>
              <w:rPr>
                <w:rFonts w:ascii="仿宋_GB2312" w:eastAsia="仿宋_GB2312"/>
                <w:b/>
                <w:bCs/>
                <w:sz w:val="24"/>
              </w:rPr>
            </w:pPr>
            <w:r>
              <w:rPr>
                <w:rFonts w:hint="eastAsia" w:ascii="仿宋_GB2312" w:eastAsia="仿宋_GB2312"/>
                <w:b/>
                <w:bCs/>
                <w:sz w:val="24"/>
              </w:rPr>
              <w:t>标示颜色</w:t>
            </w:r>
          </w:p>
        </w:tc>
        <w:tc>
          <w:tcPr>
            <w:tcW w:w="5670" w:type="dxa"/>
            <w:noWrap w:val="0"/>
            <w:vAlign w:val="center"/>
          </w:tcPr>
          <w:p w14:paraId="4568322F">
            <w:pPr>
              <w:jc w:val="center"/>
              <w:rPr>
                <w:rFonts w:ascii="仿宋_GB2312" w:eastAsia="仿宋_GB2312"/>
                <w:b/>
                <w:bCs/>
                <w:sz w:val="24"/>
              </w:rPr>
            </w:pPr>
            <w:r>
              <w:rPr>
                <w:rFonts w:hint="eastAsia" w:ascii="仿宋_GB2312" w:eastAsia="仿宋_GB2312"/>
                <w:b/>
                <w:bCs/>
                <w:sz w:val="24"/>
              </w:rPr>
              <w:t>管控措施</w:t>
            </w:r>
          </w:p>
        </w:tc>
      </w:tr>
      <w:tr w14:paraId="537C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6" w:hRule="atLeast"/>
          <w:jc w:val="center"/>
        </w:trPr>
        <w:tc>
          <w:tcPr>
            <w:tcW w:w="704" w:type="dxa"/>
            <w:shd w:val="clear" w:color="auto" w:fill="auto"/>
            <w:noWrap w:val="0"/>
            <w:vAlign w:val="center"/>
          </w:tcPr>
          <w:p w14:paraId="1370F0EC">
            <w:pPr>
              <w:jc w:val="center"/>
              <w:rPr>
                <w:rFonts w:ascii="仿宋_GB2312" w:eastAsia="仿宋_GB2312"/>
                <w:sz w:val="24"/>
              </w:rPr>
            </w:pPr>
            <w:r>
              <w:rPr>
                <w:rFonts w:hint="eastAsia" w:ascii="仿宋_GB2312" w:eastAsia="仿宋_GB2312"/>
                <w:sz w:val="24"/>
              </w:rPr>
              <w:t>1</w:t>
            </w:r>
          </w:p>
        </w:tc>
        <w:tc>
          <w:tcPr>
            <w:tcW w:w="1426" w:type="dxa"/>
            <w:shd w:val="clear" w:color="auto" w:fill="auto"/>
            <w:noWrap w:val="0"/>
            <w:vAlign w:val="center"/>
          </w:tcPr>
          <w:p w14:paraId="30DCC25B">
            <w:pPr>
              <w:keepNext w:val="0"/>
              <w:keepLines w:val="0"/>
              <w:widowControl/>
              <w:suppressLineNumbers w:val="0"/>
              <w:jc w:val="center"/>
              <w:textAlignment w:val="center"/>
              <w:rPr>
                <w:rFonts w:hint="default" w:ascii="仿宋_GB2312" w:eastAsia="仿宋_GB2312"/>
                <w:color w:val="FF0000"/>
                <w:sz w:val="24"/>
                <w:lang w:val="en-US"/>
              </w:rPr>
            </w:pPr>
            <w:r>
              <w:rPr>
                <w:rFonts w:hint="default" w:ascii="仿宋_GB2312" w:hAnsi="宋体" w:eastAsia="仿宋_GB2312" w:cs="仿宋_GB2312"/>
                <w:i w:val="0"/>
                <w:iCs w:val="0"/>
                <w:color w:val="000000"/>
                <w:kern w:val="0"/>
                <w:sz w:val="24"/>
                <w:szCs w:val="24"/>
                <w:u w:val="none"/>
                <w:lang w:val="en-US" w:eastAsia="zh-CN" w:bidi="ar"/>
              </w:rPr>
              <w:t>冷库</w:t>
            </w:r>
          </w:p>
        </w:tc>
        <w:tc>
          <w:tcPr>
            <w:tcW w:w="2256" w:type="dxa"/>
            <w:shd w:val="clear" w:color="auto" w:fill="auto"/>
            <w:noWrap w:val="0"/>
            <w:vAlign w:val="center"/>
          </w:tcPr>
          <w:p w14:paraId="1B973EA0">
            <w:pPr>
              <w:keepNext w:val="0"/>
              <w:keepLines w:val="0"/>
              <w:widowControl/>
              <w:suppressLineNumbers w:val="0"/>
              <w:jc w:val="center"/>
              <w:textAlignment w:val="center"/>
              <w:rPr>
                <w:rFonts w:ascii="仿宋_GB2312" w:eastAsia="仿宋_GB2312"/>
                <w:color w:val="FF0000"/>
                <w:sz w:val="24"/>
              </w:rPr>
            </w:pPr>
            <w:r>
              <w:rPr>
                <w:rFonts w:hint="default" w:ascii="仿宋_GB2312" w:hAnsi="宋体" w:eastAsia="仿宋_GB2312" w:cs="仿宋_GB2312"/>
                <w:i w:val="0"/>
                <w:iCs w:val="0"/>
                <w:color w:val="000000"/>
                <w:kern w:val="0"/>
                <w:sz w:val="24"/>
                <w:szCs w:val="24"/>
                <w:u w:val="none"/>
                <w:lang w:val="en-US" w:eastAsia="zh-CN" w:bidi="ar"/>
              </w:rPr>
              <w:t>人员违章操作、液氨泄露</w:t>
            </w:r>
          </w:p>
        </w:tc>
        <w:tc>
          <w:tcPr>
            <w:tcW w:w="2016" w:type="dxa"/>
            <w:shd w:val="clear" w:color="auto" w:fill="auto"/>
            <w:noWrap w:val="0"/>
            <w:vAlign w:val="center"/>
          </w:tcPr>
          <w:p w14:paraId="17384202">
            <w:pPr>
              <w:keepNext w:val="0"/>
              <w:keepLines w:val="0"/>
              <w:widowControl/>
              <w:suppressLineNumbers w:val="0"/>
              <w:jc w:val="center"/>
              <w:textAlignment w:val="center"/>
              <w:rPr>
                <w:rFonts w:hint="eastAsia" w:ascii="仿宋_GB2312" w:eastAsia="仿宋_GB2312"/>
                <w:color w:val="auto"/>
                <w:sz w:val="24"/>
                <w:lang w:val="en-US" w:eastAsia="zh-CN"/>
              </w:rPr>
            </w:pPr>
            <w:r>
              <w:rPr>
                <w:rFonts w:hint="default" w:ascii="仿宋_GB2312" w:hAnsi="宋体" w:eastAsia="仿宋_GB2312" w:cs="仿宋_GB2312"/>
                <w:i w:val="0"/>
                <w:iCs w:val="0"/>
                <w:color w:val="000000"/>
                <w:kern w:val="0"/>
                <w:sz w:val="24"/>
                <w:szCs w:val="24"/>
                <w:u w:val="none"/>
                <w:lang w:val="en-US" w:eastAsia="zh-CN" w:bidi="ar"/>
              </w:rPr>
              <w:t>冻伤、爆炸</w:t>
            </w:r>
          </w:p>
        </w:tc>
        <w:tc>
          <w:tcPr>
            <w:tcW w:w="1390" w:type="dxa"/>
            <w:shd w:val="clear" w:color="auto" w:fill="auto"/>
            <w:noWrap w:val="0"/>
            <w:vAlign w:val="center"/>
          </w:tcPr>
          <w:p w14:paraId="1F6BF6F7">
            <w:pPr>
              <w:jc w:val="center"/>
              <w:rPr>
                <w:rFonts w:hint="default" w:ascii="仿宋_GB2312" w:eastAsia="仿宋_GB2312"/>
                <w:color w:val="auto"/>
                <w:sz w:val="24"/>
                <w:lang w:val="en-US" w:eastAsia="zh-CN"/>
              </w:rPr>
            </w:pPr>
            <w:r>
              <w:rPr>
                <w:rFonts w:hint="eastAsia" w:ascii="仿宋_GB2312" w:eastAsia="仿宋_GB2312"/>
                <w:color w:val="auto"/>
                <w:sz w:val="24"/>
                <w:lang w:val="en-US" w:eastAsia="zh-CN"/>
              </w:rPr>
              <w:t>较大风险</w:t>
            </w:r>
          </w:p>
        </w:tc>
        <w:tc>
          <w:tcPr>
            <w:tcW w:w="1275" w:type="dxa"/>
            <w:shd w:val="clear" w:color="auto" w:fill="FFC000"/>
            <w:noWrap w:val="0"/>
            <w:vAlign w:val="center"/>
          </w:tcPr>
          <w:p w14:paraId="3A270C46">
            <w:pPr>
              <w:jc w:val="center"/>
              <w:rPr>
                <w:rFonts w:ascii="仿宋_GB2312" w:eastAsia="仿宋_GB2312"/>
                <w:sz w:val="24"/>
              </w:rPr>
            </w:pPr>
            <w:r>
              <w:rPr>
                <w:rFonts w:hint="eastAsia" w:ascii="仿宋_GB2312" w:eastAsia="仿宋_GB2312"/>
                <w:sz w:val="24"/>
              </w:rPr>
              <w:t>橙色</w:t>
            </w:r>
          </w:p>
        </w:tc>
        <w:tc>
          <w:tcPr>
            <w:tcW w:w="5670" w:type="dxa"/>
            <w:shd w:val="clear" w:color="auto" w:fill="auto"/>
            <w:noWrap w:val="0"/>
            <w:vAlign w:val="center"/>
          </w:tcPr>
          <w:p w14:paraId="00B547A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default" w:ascii="仿宋_GB2312" w:hAnsi="宋体" w:eastAsia="仿宋_GB2312" w:cs="仿宋_GB2312"/>
                <w:i w:val="0"/>
                <w:iCs w:val="0"/>
                <w:color w:val="000000"/>
                <w:kern w:val="0"/>
                <w:sz w:val="22"/>
                <w:szCs w:val="22"/>
                <w:u w:val="none"/>
                <w:lang w:val="en-US" w:eastAsia="zh-CN" w:bidi="ar"/>
              </w:rPr>
              <w:t>1.实时监测冷库内的温度变化，确保温度维持在规定的范围内；</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2.安排专业人员定期检查制冷设备、压缩机、冷却系统等，确保其正常运行；</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3.配备防寒服、手套、口罩等防护装备；</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4.加强工作人员的安全培训，了解冷库的基本安全知识和应对突发情况的方法；</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5.确保冷库环境的卫生，防止细菌、霉菌等微生物污染；</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6.针对设备故障、停电、火灾等紧急情况，制定详细的应急处理方案，提高工作人员的应急处理能力；</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7.实现冷库的智能化管理，实时监控运行状态，优化管理流程，提高效率。</w:t>
            </w:r>
          </w:p>
        </w:tc>
      </w:tr>
      <w:tr w14:paraId="77F0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6" w:hRule="atLeast"/>
          <w:jc w:val="center"/>
        </w:trPr>
        <w:tc>
          <w:tcPr>
            <w:tcW w:w="704" w:type="dxa"/>
            <w:shd w:val="clear" w:color="auto" w:fill="auto"/>
            <w:noWrap w:val="0"/>
            <w:vAlign w:val="center"/>
          </w:tcPr>
          <w:p w14:paraId="68BE21C8">
            <w:pPr>
              <w:jc w:val="center"/>
              <w:rPr>
                <w:rFonts w:ascii="仿宋_GB2312" w:eastAsia="仿宋_GB2312"/>
                <w:sz w:val="24"/>
              </w:rPr>
            </w:pPr>
            <w:r>
              <w:rPr>
                <w:rFonts w:hint="eastAsia" w:ascii="仿宋_GB2312" w:eastAsia="仿宋_GB2312"/>
                <w:sz w:val="24"/>
                <w:lang w:val="en-US" w:eastAsia="zh-CN"/>
              </w:rPr>
              <w:t>2</w:t>
            </w:r>
          </w:p>
        </w:tc>
        <w:tc>
          <w:tcPr>
            <w:tcW w:w="1426" w:type="dxa"/>
            <w:shd w:val="clear" w:color="auto" w:fill="auto"/>
            <w:noWrap w:val="0"/>
            <w:vAlign w:val="center"/>
          </w:tcPr>
          <w:p w14:paraId="07297C32">
            <w:pPr>
              <w:keepNext w:val="0"/>
              <w:keepLines w:val="0"/>
              <w:widowControl/>
              <w:suppressLineNumbers w:val="0"/>
              <w:jc w:val="center"/>
              <w:textAlignment w:val="center"/>
              <w:rPr>
                <w:rFonts w:hint="eastAsia" w:ascii="仿宋_GB2312" w:eastAsia="仿宋_GB2312"/>
                <w:sz w:val="24"/>
                <w:lang w:eastAsia="zh-CN"/>
              </w:rPr>
            </w:pPr>
            <w:r>
              <w:rPr>
                <w:rFonts w:hint="default" w:ascii="仿宋_GB2312" w:hAnsi="宋体" w:eastAsia="仿宋_GB2312" w:cs="仿宋_GB2312"/>
                <w:i w:val="0"/>
                <w:iCs w:val="0"/>
                <w:color w:val="000000"/>
                <w:kern w:val="0"/>
                <w:sz w:val="24"/>
                <w:szCs w:val="24"/>
                <w:u w:val="none"/>
                <w:lang w:val="en-US" w:eastAsia="zh-CN" w:bidi="ar"/>
              </w:rPr>
              <w:t>制冷机房</w:t>
            </w:r>
          </w:p>
        </w:tc>
        <w:tc>
          <w:tcPr>
            <w:tcW w:w="2256" w:type="dxa"/>
            <w:shd w:val="clear" w:color="auto" w:fill="auto"/>
            <w:noWrap w:val="0"/>
            <w:vAlign w:val="center"/>
          </w:tcPr>
          <w:p w14:paraId="63C0D328">
            <w:pPr>
              <w:keepNext w:val="0"/>
              <w:keepLines w:val="0"/>
              <w:widowControl/>
              <w:suppressLineNumbers w:val="0"/>
              <w:jc w:val="center"/>
              <w:textAlignment w:val="center"/>
              <w:rPr>
                <w:rFonts w:hint="eastAsia" w:ascii="仿宋_GB2312" w:eastAsia="仿宋_GB2312"/>
                <w:sz w:val="24"/>
                <w:lang w:eastAsia="zh-CN"/>
              </w:rPr>
            </w:pPr>
            <w:r>
              <w:rPr>
                <w:rFonts w:hint="default" w:ascii="仿宋_GB2312" w:hAnsi="宋体" w:eastAsia="仿宋_GB2312" w:cs="仿宋_GB2312"/>
                <w:i w:val="0"/>
                <w:iCs w:val="0"/>
                <w:color w:val="000000"/>
                <w:kern w:val="0"/>
                <w:sz w:val="24"/>
                <w:szCs w:val="24"/>
                <w:u w:val="none"/>
                <w:lang w:val="en-US" w:eastAsia="zh-CN" w:bidi="ar"/>
              </w:rPr>
              <w:t>由于制冷设备含有液氨，遭遇雷击等自然灾害损坏设备，可能造成液氨泄漏、触电等。</w:t>
            </w:r>
          </w:p>
        </w:tc>
        <w:tc>
          <w:tcPr>
            <w:tcW w:w="2016" w:type="dxa"/>
            <w:shd w:val="clear" w:color="auto" w:fill="auto"/>
            <w:noWrap w:val="0"/>
            <w:vAlign w:val="center"/>
          </w:tcPr>
          <w:p w14:paraId="76931722">
            <w:pPr>
              <w:keepNext w:val="0"/>
              <w:keepLines w:val="0"/>
              <w:widowControl/>
              <w:suppressLineNumbers w:val="0"/>
              <w:jc w:val="center"/>
              <w:textAlignment w:val="center"/>
              <w:rPr>
                <w:rFonts w:hint="default" w:ascii="仿宋_GB2312" w:eastAsia="仿宋_GB2312"/>
                <w:sz w:val="24"/>
                <w:lang w:val="en-US"/>
              </w:rPr>
            </w:pPr>
            <w:r>
              <w:rPr>
                <w:rFonts w:hint="default" w:ascii="仿宋_GB2312" w:hAnsi="宋体" w:eastAsia="仿宋_GB2312" w:cs="仿宋_GB2312"/>
                <w:i w:val="0"/>
                <w:iCs w:val="0"/>
                <w:color w:val="000000"/>
                <w:kern w:val="0"/>
                <w:sz w:val="24"/>
                <w:szCs w:val="24"/>
                <w:u w:val="none"/>
                <w:lang w:val="en-US" w:eastAsia="zh-CN" w:bidi="ar"/>
              </w:rPr>
              <w:t>中毒、火灾、爆炸、触电</w:t>
            </w:r>
          </w:p>
        </w:tc>
        <w:tc>
          <w:tcPr>
            <w:tcW w:w="1390" w:type="dxa"/>
            <w:shd w:val="clear" w:color="auto" w:fill="auto"/>
            <w:noWrap w:val="0"/>
            <w:vAlign w:val="center"/>
          </w:tcPr>
          <w:p w14:paraId="6C9B96ED">
            <w:pPr>
              <w:jc w:val="center"/>
              <w:rPr>
                <w:rFonts w:hint="default" w:ascii="仿宋_GB2312" w:eastAsia="仿宋_GB2312"/>
                <w:sz w:val="24"/>
                <w:lang w:val="en-US" w:eastAsia="zh-CN"/>
              </w:rPr>
            </w:pPr>
            <w:r>
              <w:rPr>
                <w:rFonts w:hint="eastAsia" w:ascii="仿宋_GB2312" w:eastAsia="仿宋_GB2312"/>
                <w:sz w:val="24"/>
                <w:lang w:val="en-US" w:eastAsia="zh-CN"/>
              </w:rPr>
              <w:t>一般风险</w:t>
            </w:r>
          </w:p>
        </w:tc>
        <w:tc>
          <w:tcPr>
            <w:tcW w:w="1275" w:type="dxa"/>
            <w:shd w:val="clear" w:color="auto" w:fill="FFFF00"/>
            <w:noWrap w:val="0"/>
            <w:vAlign w:val="center"/>
          </w:tcPr>
          <w:p w14:paraId="69E784B1">
            <w:pPr>
              <w:jc w:val="center"/>
              <w:rPr>
                <w:rFonts w:hint="eastAsia" w:ascii="仿宋_GB2312" w:eastAsia="仿宋_GB2312"/>
                <w:sz w:val="24"/>
                <w:lang w:eastAsia="zh-CN"/>
              </w:rPr>
            </w:pPr>
            <w:r>
              <w:rPr>
                <w:rFonts w:hint="eastAsia" w:ascii="仿宋_GB2312" w:eastAsia="仿宋_GB2312"/>
                <w:sz w:val="24"/>
                <w:lang w:val="en-US" w:eastAsia="zh-CN"/>
              </w:rPr>
              <w:t>黄色</w:t>
            </w:r>
          </w:p>
        </w:tc>
        <w:tc>
          <w:tcPr>
            <w:tcW w:w="5670" w:type="dxa"/>
            <w:noWrap w:val="0"/>
            <w:vAlign w:val="center"/>
          </w:tcPr>
          <w:p w14:paraId="5A5BE7F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center"/>
              <w:rPr>
                <w:rFonts w:hint="eastAsia" w:ascii="仿宋_GB2312" w:eastAsia="仿宋_GB2312"/>
                <w:sz w:val="24"/>
              </w:rPr>
            </w:pPr>
            <w:r>
              <w:rPr>
                <w:rFonts w:hint="default" w:ascii="仿宋_GB2312" w:hAnsi="宋体" w:eastAsia="仿宋_GB2312" w:cs="仿宋_GB2312"/>
                <w:i w:val="0"/>
                <w:iCs w:val="0"/>
                <w:color w:val="000000"/>
                <w:kern w:val="0"/>
                <w:sz w:val="22"/>
                <w:szCs w:val="22"/>
                <w:u w:val="none"/>
                <w:lang w:val="en-US" w:eastAsia="zh-CN" w:bidi="ar"/>
              </w:rPr>
              <w:t>1.控制室独立设置，控制柜与制冷机房采用防火墙分隔。</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2.制冷机房设置事故风机并与氨气浓度检测报警装置连锁。</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3.压缩机设置紧急停车装置。</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4.定期安全教育培训。</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5.定期进行隐患巡查。</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6.定期维护保养设备，定期对防雷装置、接地装置进行检验。</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7. 定期开展应急演练，配备应急物资。</w:t>
            </w:r>
          </w:p>
        </w:tc>
      </w:tr>
      <w:tr w14:paraId="07E3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0" w:hRule="atLeast"/>
          <w:jc w:val="center"/>
        </w:trPr>
        <w:tc>
          <w:tcPr>
            <w:tcW w:w="704" w:type="dxa"/>
            <w:shd w:val="clear" w:color="auto" w:fill="auto"/>
            <w:noWrap w:val="0"/>
            <w:vAlign w:val="center"/>
          </w:tcPr>
          <w:p w14:paraId="6657194F">
            <w:pPr>
              <w:jc w:val="center"/>
              <w:rPr>
                <w:rFonts w:hint="eastAsia" w:ascii="仿宋_GB2312" w:eastAsia="仿宋_GB2312"/>
                <w:sz w:val="24"/>
                <w:lang w:val="en-US" w:eastAsia="zh-CN"/>
              </w:rPr>
            </w:pPr>
            <w:r>
              <w:rPr>
                <w:rFonts w:hint="eastAsia" w:ascii="仿宋_GB2312" w:eastAsia="仿宋_GB2312"/>
                <w:sz w:val="24"/>
                <w:lang w:val="en-US" w:eastAsia="zh-CN"/>
              </w:rPr>
              <w:t>3</w:t>
            </w:r>
          </w:p>
        </w:tc>
        <w:tc>
          <w:tcPr>
            <w:tcW w:w="1426" w:type="dxa"/>
            <w:shd w:val="clear" w:color="auto" w:fill="auto"/>
            <w:noWrap w:val="0"/>
            <w:vAlign w:val="center"/>
          </w:tcPr>
          <w:p w14:paraId="19B169FD">
            <w:pPr>
              <w:jc w:val="center"/>
              <w:rPr>
                <w:rFonts w:hint="eastAsia" w:ascii="仿宋_GB2312" w:eastAsia="仿宋_GB2312"/>
                <w:sz w:val="24"/>
                <w:lang w:val="en-US" w:eastAsia="zh-CN"/>
              </w:rPr>
            </w:pPr>
            <w:r>
              <w:rPr>
                <w:rFonts w:hint="eastAsia" w:ascii="仿宋_GB2312" w:eastAsia="仿宋_GB2312"/>
                <w:sz w:val="24"/>
              </w:rPr>
              <w:t>配电房</w:t>
            </w:r>
          </w:p>
        </w:tc>
        <w:tc>
          <w:tcPr>
            <w:tcW w:w="2256" w:type="dxa"/>
            <w:shd w:val="clear" w:color="auto" w:fill="auto"/>
            <w:noWrap w:val="0"/>
            <w:vAlign w:val="center"/>
          </w:tcPr>
          <w:p w14:paraId="3C91FB26">
            <w:pPr>
              <w:keepNext w:val="0"/>
              <w:keepLines w:val="0"/>
              <w:widowControl/>
              <w:suppressLineNumbers w:val="0"/>
              <w:jc w:val="center"/>
              <w:textAlignment w:val="center"/>
              <w:rPr>
                <w:rFonts w:hint="eastAsia" w:ascii="仿宋_GB2312" w:eastAsia="仿宋_GB2312"/>
                <w:sz w:val="24"/>
              </w:rPr>
            </w:pPr>
            <w:r>
              <w:rPr>
                <w:rFonts w:hint="default" w:ascii="仿宋_GB2312" w:hAnsi="宋体" w:eastAsia="仿宋_GB2312" w:cs="仿宋_GB2312"/>
                <w:i w:val="0"/>
                <w:iCs w:val="0"/>
                <w:color w:val="000000"/>
                <w:kern w:val="0"/>
                <w:sz w:val="24"/>
                <w:szCs w:val="24"/>
                <w:u w:val="none"/>
                <w:lang w:val="en-US" w:eastAsia="zh-CN" w:bidi="ar"/>
              </w:rPr>
              <w:t>电气线路老化、漏电，人员违规操作</w:t>
            </w:r>
          </w:p>
        </w:tc>
        <w:tc>
          <w:tcPr>
            <w:tcW w:w="2016" w:type="dxa"/>
            <w:shd w:val="clear" w:color="auto" w:fill="auto"/>
            <w:noWrap w:val="0"/>
            <w:vAlign w:val="center"/>
          </w:tcPr>
          <w:p w14:paraId="56595916">
            <w:pPr>
              <w:keepNext w:val="0"/>
              <w:keepLines w:val="0"/>
              <w:widowControl/>
              <w:suppressLineNumbers w:val="0"/>
              <w:jc w:val="center"/>
              <w:textAlignment w:val="center"/>
              <w:rPr>
                <w:rFonts w:hint="eastAsia" w:ascii="仿宋_GB2312" w:eastAsia="仿宋_GB2312"/>
                <w:sz w:val="24"/>
              </w:rPr>
            </w:pPr>
            <w:r>
              <w:rPr>
                <w:rFonts w:hint="default" w:ascii="仿宋_GB2312" w:hAnsi="宋体" w:eastAsia="仿宋_GB2312" w:cs="仿宋_GB2312"/>
                <w:i w:val="0"/>
                <w:iCs w:val="0"/>
                <w:color w:val="000000"/>
                <w:kern w:val="0"/>
                <w:sz w:val="24"/>
                <w:szCs w:val="24"/>
                <w:u w:val="none"/>
                <w:lang w:val="en-US" w:eastAsia="zh-CN" w:bidi="ar"/>
              </w:rPr>
              <w:t>火灾、触电、设备损坏</w:t>
            </w:r>
          </w:p>
        </w:tc>
        <w:tc>
          <w:tcPr>
            <w:tcW w:w="1390" w:type="dxa"/>
            <w:shd w:val="clear" w:color="auto" w:fill="auto"/>
            <w:noWrap w:val="0"/>
            <w:vAlign w:val="center"/>
          </w:tcPr>
          <w:p w14:paraId="1097479A">
            <w:pPr>
              <w:jc w:val="center"/>
              <w:rPr>
                <w:rFonts w:hint="eastAsia" w:ascii="仿宋_GB2312" w:eastAsia="仿宋_GB2312"/>
                <w:sz w:val="24"/>
                <w:lang w:val="en-US" w:eastAsia="zh-CN"/>
              </w:rPr>
            </w:pPr>
            <w:r>
              <w:rPr>
                <w:rFonts w:hint="eastAsia" w:ascii="仿宋_GB2312" w:eastAsia="仿宋_GB2312"/>
                <w:sz w:val="24"/>
                <w:lang w:val="en-US" w:eastAsia="zh-CN"/>
              </w:rPr>
              <w:t>低风险</w:t>
            </w:r>
          </w:p>
        </w:tc>
        <w:tc>
          <w:tcPr>
            <w:tcW w:w="1275" w:type="dxa"/>
            <w:shd w:val="clear" w:color="auto" w:fill="00B0F0"/>
            <w:noWrap w:val="0"/>
            <w:vAlign w:val="center"/>
          </w:tcPr>
          <w:p w14:paraId="5B704ADC">
            <w:pPr>
              <w:jc w:val="center"/>
              <w:rPr>
                <w:rFonts w:hint="default" w:ascii="仿宋_GB2312" w:eastAsia="仿宋_GB2312"/>
                <w:sz w:val="24"/>
                <w:lang w:val="en-US" w:eastAsia="zh-CN"/>
              </w:rPr>
            </w:pPr>
            <w:r>
              <w:rPr>
                <w:rFonts w:hint="eastAsia" w:ascii="仿宋_GB2312" w:eastAsia="仿宋_GB2312"/>
                <w:sz w:val="24"/>
                <w:lang w:val="en-US" w:eastAsia="zh-CN"/>
              </w:rPr>
              <w:t>蓝色</w:t>
            </w:r>
          </w:p>
        </w:tc>
        <w:tc>
          <w:tcPr>
            <w:tcW w:w="5670" w:type="dxa"/>
            <w:shd w:val="clear" w:color="auto" w:fill="auto"/>
            <w:noWrap w:val="0"/>
            <w:vAlign w:val="center"/>
          </w:tcPr>
          <w:p w14:paraId="78BAC6AA">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Times New Roman" w:eastAsia="仿宋_GB2312" w:cs="Times New Roman"/>
                <w:sz w:val="24"/>
              </w:rPr>
            </w:pPr>
            <w:r>
              <w:rPr>
                <w:rFonts w:hint="default" w:ascii="仿宋_GB2312" w:hAnsi="宋体" w:eastAsia="仿宋_GB2312" w:cs="仿宋_GB2312"/>
                <w:i w:val="0"/>
                <w:iCs w:val="0"/>
                <w:color w:val="000000"/>
                <w:kern w:val="0"/>
                <w:sz w:val="22"/>
                <w:szCs w:val="22"/>
                <w:u w:val="none"/>
                <w:lang w:val="en-US" w:eastAsia="zh-CN" w:bidi="ar"/>
              </w:rPr>
              <w:t>1.禁止堆放易燃物品；</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2.电气线路套管保护，安装过载、漏电保护装置；</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3.定期检查线路绝缘性及接地情况；</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4.定期开展电气防火技术检测；</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5.现场配备灭火器及其他应急物资；</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6.定期组织安全教育培训；</w:t>
            </w:r>
            <w:r>
              <w:rPr>
                <w:rFonts w:hint="default" w:ascii="仿宋_GB2312" w:hAnsi="宋体" w:eastAsia="仿宋_GB2312" w:cs="仿宋_GB2312"/>
                <w:i w:val="0"/>
                <w:iCs w:val="0"/>
                <w:color w:val="000000"/>
                <w:kern w:val="0"/>
                <w:sz w:val="22"/>
                <w:szCs w:val="22"/>
                <w:u w:val="none"/>
                <w:lang w:val="en-US" w:eastAsia="zh-CN" w:bidi="ar"/>
              </w:rPr>
              <w:br w:type="textWrapping"/>
            </w:r>
            <w:r>
              <w:rPr>
                <w:rFonts w:hint="default" w:ascii="仿宋_GB2312" w:hAnsi="宋体" w:eastAsia="仿宋_GB2312" w:cs="仿宋_GB2312"/>
                <w:i w:val="0"/>
                <w:iCs w:val="0"/>
                <w:color w:val="000000"/>
                <w:kern w:val="0"/>
                <w:sz w:val="22"/>
                <w:szCs w:val="22"/>
                <w:u w:val="none"/>
                <w:lang w:val="en-US" w:eastAsia="zh-CN" w:bidi="ar"/>
              </w:rPr>
              <w:t>7.定期开展电气火灾应急演练；</w:t>
            </w:r>
          </w:p>
        </w:tc>
      </w:tr>
      <w:tr w14:paraId="66D9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0" w:hRule="atLeast"/>
          <w:jc w:val="center"/>
        </w:trPr>
        <w:tc>
          <w:tcPr>
            <w:tcW w:w="704" w:type="dxa"/>
            <w:shd w:val="clear" w:color="auto" w:fill="auto"/>
            <w:noWrap w:val="0"/>
            <w:vAlign w:val="center"/>
          </w:tcPr>
          <w:p w14:paraId="1FE80EF6">
            <w:pPr>
              <w:jc w:val="center"/>
              <w:rPr>
                <w:rFonts w:hint="default" w:ascii="仿宋_GB2312" w:eastAsia="仿宋_GB2312"/>
                <w:sz w:val="24"/>
                <w:lang w:val="en-US" w:eastAsia="zh-CN"/>
              </w:rPr>
            </w:pPr>
            <w:r>
              <w:rPr>
                <w:rFonts w:hint="eastAsia" w:ascii="仿宋_GB2312" w:eastAsia="仿宋_GB2312"/>
                <w:sz w:val="24"/>
                <w:lang w:val="en-US" w:eastAsia="zh-CN"/>
              </w:rPr>
              <w:t>4</w:t>
            </w:r>
          </w:p>
        </w:tc>
        <w:tc>
          <w:tcPr>
            <w:tcW w:w="1426" w:type="dxa"/>
            <w:shd w:val="clear"/>
            <w:noWrap w:val="0"/>
            <w:vAlign w:val="center"/>
          </w:tcPr>
          <w:p w14:paraId="2EC0A419">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办公区</w:t>
            </w:r>
          </w:p>
        </w:tc>
        <w:tc>
          <w:tcPr>
            <w:tcW w:w="2256" w:type="dxa"/>
            <w:shd w:val="clear"/>
            <w:noWrap w:val="0"/>
            <w:vAlign w:val="center"/>
          </w:tcPr>
          <w:p w14:paraId="0EFEBE3E">
            <w:pPr>
              <w:keepNext w:val="0"/>
              <w:keepLines w:val="0"/>
              <w:widowControl/>
              <w:suppressLineNumbers w:val="0"/>
              <w:jc w:val="center"/>
              <w:textAlignment w:val="center"/>
              <w:rPr>
                <w:rFonts w:hint="default" w:ascii="仿宋_GB2312" w:hAnsi="宋体" w:eastAsia="仿宋_GB2312" w:cs="仿宋_GB2312"/>
                <w:i w:val="0"/>
                <w:iCs w:val="0"/>
                <w:color w:val="000000"/>
                <w:kern w:val="2"/>
                <w:sz w:val="24"/>
                <w:szCs w:val="24"/>
                <w:u w:val="none"/>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电气线路老化、漏电，人员违规操作</w:t>
            </w:r>
          </w:p>
        </w:tc>
        <w:tc>
          <w:tcPr>
            <w:tcW w:w="2016" w:type="dxa"/>
            <w:shd w:val="clear"/>
            <w:noWrap w:val="0"/>
            <w:vAlign w:val="center"/>
          </w:tcPr>
          <w:p w14:paraId="610AD7DA">
            <w:pPr>
              <w:keepNext w:val="0"/>
              <w:keepLines w:val="0"/>
              <w:widowControl/>
              <w:suppressLineNumbers w:val="0"/>
              <w:jc w:val="center"/>
              <w:textAlignment w:val="center"/>
              <w:rPr>
                <w:rFonts w:hint="default" w:ascii="仿宋_GB2312" w:hAnsi="宋体" w:eastAsia="仿宋_GB2312" w:cs="仿宋_GB2312"/>
                <w:i w:val="0"/>
                <w:iCs w:val="0"/>
                <w:color w:val="000000"/>
                <w:kern w:val="2"/>
                <w:sz w:val="24"/>
                <w:szCs w:val="24"/>
                <w:u w:val="none"/>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火灾、触电、设备损坏</w:t>
            </w:r>
          </w:p>
        </w:tc>
        <w:tc>
          <w:tcPr>
            <w:tcW w:w="1390" w:type="dxa"/>
            <w:shd w:val="clear"/>
            <w:noWrap w:val="0"/>
            <w:vAlign w:val="center"/>
          </w:tcPr>
          <w:p w14:paraId="7D4D5F70">
            <w:pPr>
              <w:keepNext w:val="0"/>
              <w:keepLines w:val="0"/>
              <w:widowControl/>
              <w:suppressLineNumbers w:val="0"/>
              <w:jc w:val="center"/>
              <w:textAlignment w:val="center"/>
              <w:rPr>
                <w:rFonts w:hint="default"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低风险</w:t>
            </w:r>
          </w:p>
        </w:tc>
        <w:tc>
          <w:tcPr>
            <w:tcW w:w="1275" w:type="dxa"/>
            <w:shd w:val="clear" w:color="auto" w:fill="00B0F0"/>
            <w:noWrap w:val="0"/>
            <w:vAlign w:val="center"/>
          </w:tcPr>
          <w:p w14:paraId="3763555D">
            <w:pPr>
              <w:jc w:val="center"/>
              <w:rPr>
                <w:rFonts w:hint="default" w:ascii="仿宋_GB2312" w:eastAsia="仿宋_GB2312"/>
                <w:sz w:val="24"/>
                <w:lang w:val="en-US" w:eastAsia="zh-CN"/>
              </w:rPr>
            </w:pPr>
            <w:r>
              <w:rPr>
                <w:rFonts w:hint="eastAsia" w:ascii="仿宋_GB2312" w:eastAsia="仿宋_GB2312"/>
                <w:sz w:val="24"/>
                <w:lang w:val="en-US" w:eastAsia="zh-CN"/>
              </w:rPr>
              <w:t>蓝色</w:t>
            </w:r>
          </w:p>
        </w:tc>
        <w:tc>
          <w:tcPr>
            <w:tcW w:w="5670" w:type="dxa"/>
            <w:shd w:val="clear"/>
            <w:noWrap w:val="0"/>
            <w:vAlign w:val="center"/>
          </w:tcPr>
          <w:p w14:paraId="58EBDCDA">
            <w:pPr>
              <w:keepNext w:val="0"/>
              <w:keepLines w:val="0"/>
              <w:widowControl/>
              <w:suppressLineNumbers w:val="0"/>
              <w:jc w:val="left"/>
              <w:textAlignment w:val="center"/>
              <w:rPr>
                <w:rFonts w:hint="default"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1.禁止堆放易燃物品；</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2.电气线路套管保护，安装过载、漏电保护装置；</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3.定期检查线路绝缘性及接地情况；</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4.定期开展电气防火技术检测；</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5.现场配备灭火器及其他应急物资；</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6.定期组织安全教育培训；</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7.定期开展电气火灾应急演练；</w:t>
            </w:r>
          </w:p>
        </w:tc>
      </w:tr>
    </w:tbl>
    <w:p w14:paraId="4AA8FBC5">
      <w:pPr>
        <w:keepNext/>
        <w:keepLines/>
        <w:pageBreakBefore w:val="0"/>
        <w:widowControl w:val="0"/>
        <w:tabs>
          <w:tab w:val="left" w:pos="3358"/>
        </w:tabs>
        <w:kinsoku/>
        <w:wordWrap/>
        <w:overflowPunct/>
        <w:topLinePunct w:val="0"/>
        <w:autoSpaceDE/>
        <w:autoSpaceDN/>
        <w:bidi w:val="0"/>
        <w:adjustRightInd/>
        <w:snapToGrid/>
        <w:spacing w:before="0" w:beforeLines="0" w:beforeAutospacing="0" w:after="0" w:afterLines="0" w:afterAutospacing="0" w:line="240" w:lineRule="auto"/>
        <w:jc w:val="both"/>
        <w:textAlignment w:val="auto"/>
        <w:outlineLvl w:val="0"/>
        <w:rPr>
          <w:rFonts w:hint="default" w:ascii="Calibri" w:hAnsi="Calibri" w:eastAsia="宋体" w:cs="Times New Roman"/>
          <w:b/>
          <w:kern w:val="44"/>
          <w:sz w:val="32"/>
          <w:szCs w:val="20"/>
          <w:lang w:val="en-US" w:eastAsia="zh-CN" w:bidi="ar-SA"/>
        </w:rPr>
      </w:pPr>
      <w:r>
        <w:rPr>
          <w:rFonts w:hint="default" w:ascii="Calibri" w:hAnsi="Calibri" w:eastAsia="宋体" w:cs="Times New Roman"/>
          <w:b/>
          <w:kern w:val="44"/>
          <w:sz w:val="32"/>
          <w:szCs w:val="20"/>
          <w:lang w:val="en-US" w:eastAsia="zh-CN" w:bidi="ar-SA"/>
        </w:rPr>
        <w:t>附件7：风险四色图</w:t>
      </w:r>
    </w:p>
    <w:p w14:paraId="51096D4E">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jc w:val="center"/>
        <w:textAlignment w:val="auto"/>
        <w:outlineLvl w:val="0"/>
        <w:rPr>
          <w:rFonts w:hint="default" w:ascii="黑体" w:hAnsi="黑体" w:eastAsia="黑体" w:cs="黑体"/>
          <w:b/>
          <w:bCs/>
          <w:kern w:val="2"/>
          <w:sz w:val="40"/>
          <w:szCs w:val="48"/>
          <w:lang w:val="en-US" w:eastAsia="zh-CN" w:bidi="ar-SA"/>
        </w:rPr>
      </w:pPr>
      <w:r>
        <w:rPr>
          <w:rFonts w:hint="default" w:ascii="黑体" w:hAnsi="黑体" w:eastAsia="黑体" w:cs="黑体"/>
          <w:b/>
          <w:bCs/>
          <w:kern w:val="2"/>
          <w:sz w:val="40"/>
          <w:szCs w:val="48"/>
          <w:lang w:val="en-US" w:eastAsia="zh-CN" w:bidi="ar-SA"/>
        </w:rPr>
        <w:t>防雷重点单位风险点平面图</w:t>
      </w:r>
    </w:p>
    <w:tbl>
      <w:tblPr>
        <w:tblStyle w:val="10"/>
        <w:tblW w:w="14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0"/>
      </w:tblGrid>
      <w:tr w14:paraId="2AD2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1" w:hRule="atLeast"/>
        </w:trPr>
        <w:tc>
          <w:tcPr>
            <w:tcW w:w="14180" w:type="dxa"/>
            <w:noWrap w:val="0"/>
            <w:vAlign w:val="top"/>
          </w:tcPr>
          <w:p w14:paraId="4BB1BCE5">
            <w:pPr>
              <w:bidi w:val="0"/>
              <w:rPr>
                <w:rFonts w:hint="default"/>
                <w:lang w:val="en-US" w:eastAsia="zh-CN"/>
              </w:rPr>
            </w:pPr>
            <w:r>
              <w:rPr>
                <w:sz w:val="21"/>
              </w:rPr>
              <mc:AlternateContent>
                <mc:Choice Requires="wps">
                  <w:drawing>
                    <wp:anchor distT="0" distB="0" distL="114300" distR="114300" simplePos="0" relativeHeight="251666432" behindDoc="0" locked="0" layoutInCell="1" allowOverlap="1">
                      <wp:simplePos x="0" y="0"/>
                      <wp:positionH relativeFrom="column">
                        <wp:posOffset>7381875</wp:posOffset>
                      </wp:positionH>
                      <wp:positionV relativeFrom="paragraph">
                        <wp:posOffset>69215</wp:posOffset>
                      </wp:positionV>
                      <wp:extent cx="1224280" cy="571500"/>
                      <wp:effectExtent l="12700" t="12700" r="20320" b="25400"/>
                      <wp:wrapNone/>
                      <wp:docPr id="18" name="矩形 18"/>
                      <wp:cNvGraphicFramePr/>
                      <a:graphic xmlns:a="http://schemas.openxmlformats.org/drawingml/2006/main">
                        <a:graphicData uri="http://schemas.microsoft.com/office/word/2010/wordprocessingShape">
                          <wps:wsp>
                            <wps:cNvSpPr/>
                            <wps:spPr>
                              <a:xfrm>
                                <a:off x="0" y="0"/>
                                <a:ext cx="1224280" cy="571500"/>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0CAF3D66">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配电房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1.25pt;margin-top:5.45pt;height:45pt;width:96.4pt;z-index:251666432;v-text-anchor:middle;mso-width-relative:page;mso-height-relative:page;" fillcolor="#00B0F0" filled="t" stroked="t" coordsize="21600,21600" o:gfxdata="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38jH7NQAAAAMAQAADwAAAAAAAAABACAAAAAi&#10;AAAAZHJzL2Rvd25yZXYueG1sUEsBAhQAFAAAAAgAh07iQNMEb9GAAgAADAUAAA4AAAAAAAAAAQAg&#10;AAAAIwEAAGRycy9lMm9Eb2MueG1sUEsFBgAAAAAGAAYAWQEAABUGAAAAAA==&#10;">
                      <v:fill on="t" focussize="0,0"/>
                      <v:stroke weight="2pt" color="#376092 [2404]" joinstyle="round"/>
                      <v:imagedata o:title=""/>
                      <o:lock v:ext="edit" aspectratio="f"/>
                      <v:textbox>
                        <w:txbxContent>
                          <w:p w14:paraId="0CAF3D66">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配电房</w:t>
                            </w:r>
                          </w:p>
                        </w:txbxContent>
                      </v:textbox>
                    </v: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6943090</wp:posOffset>
                      </wp:positionH>
                      <wp:positionV relativeFrom="paragraph">
                        <wp:posOffset>2608580</wp:posOffset>
                      </wp:positionV>
                      <wp:extent cx="1057910" cy="1082675"/>
                      <wp:effectExtent l="12700" t="12700" r="15240" b="28575"/>
                      <wp:wrapNone/>
                      <wp:docPr id="8" name="矩形 8"/>
                      <wp:cNvGraphicFramePr/>
                      <a:graphic xmlns:a="http://schemas.openxmlformats.org/drawingml/2006/main">
                        <a:graphicData uri="http://schemas.microsoft.com/office/word/2010/wordprocessingShape">
                          <wps:wsp>
                            <wps:cNvSpPr/>
                            <wps:spPr>
                              <a:xfrm>
                                <a:off x="0" y="0"/>
                                <a:ext cx="1057910" cy="1082675"/>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31368223">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办公室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6.7pt;margin-top:205.4pt;height:85.25pt;width:83.3pt;z-index:251665408;v-text-anchor:middle;mso-width-relative:page;mso-height-relative:page;" fillcolor="#00B0F0" filled="t" stroked="t" coordsize="21600,21600" o:gfxdata="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OgmN2AAAAA0BAAAPAAAAAAAAAAEA&#10;IAAAACIAAABkcnMvZG93bnJldi54bWxQSwECFAAUAAAACACHTuJAv3rt9YECAAALBQAADgAAAAAA&#10;AAABACAAAAAnAQAAZHJzL2Uyb0RvYy54bWxQSwUGAAAAAAYABgBZAQAAGgYAAAAA&#10;">
                      <v:fill on="t" focussize="0,0"/>
                      <v:stroke weight="2pt" color="#376092 [2404]" joinstyle="round"/>
                      <v:imagedata o:title=""/>
                      <o:lock v:ext="edit" aspectratio="f"/>
                      <v:textbox>
                        <w:txbxContent>
                          <w:p w14:paraId="31368223">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办公室</w:t>
                            </w:r>
                          </w:p>
                        </w:txbxContent>
                      </v:textbox>
                    </v:rect>
                  </w:pict>
                </mc:Fallback>
              </mc:AlternateContent>
            </w:r>
            <w:r>
              <w:rPr>
                <w:rFonts w:hint="default"/>
                <w:lang w:val="en-US" w:eastAsia="zh-CN"/>
              </w:rPr>
              <mc:AlternateContent>
                <mc:Choice Requires="wps">
                  <w:drawing>
                    <wp:anchor distT="0" distB="0" distL="114300" distR="114300" simplePos="0" relativeHeight="251663360" behindDoc="0" locked="0" layoutInCell="1" allowOverlap="1">
                      <wp:simplePos x="0" y="0"/>
                      <wp:positionH relativeFrom="column">
                        <wp:posOffset>6827520</wp:posOffset>
                      </wp:positionH>
                      <wp:positionV relativeFrom="paragraph">
                        <wp:posOffset>716280</wp:posOffset>
                      </wp:positionV>
                      <wp:extent cx="1115695" cy="1391920"/>
                      <wp:effectExtent l="12700" t="12700" r="14605" b="24130"/>
                      <wp:wrapNone/>
                      <wp:docPr id="30" name="矩形 30"/>
                      <wp:cNvGraphicFramePr/>
                      <a:graphic xmlns:a="http://schemas.openxmlformats.org/drawingml/2006/main">
                        <a:graphicData uri="http://schemas.microsoft.com/office/word/2010/wordprocessingShape">
                          <wps:wsp>
                            <wps:cNvSpPr/>
                            <wps:spPr>
                              <a:xfrm>
                                <a:off x="0" y="0"/>
                                <a:ext cx="1115695" cy="1391920"/>
                              </a:xfrm>
                              <a:prstGeom prst="rect">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1C03A0EB">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制冷机房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7.6pt;margin-top:56.4pt;height:109.6pt;width:87.85pt;z-index:251663360;v-text-anchor:middle;mso-width-relative:page;mso-height-relative:page;" fillcolor="#FFC000" filled="t" stroked="t" coordsize="21600,21600" o:gfxdata="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8xcaM9kAAAANAQAADwAAAAAAAAAB&#10;ACAAAAAiAAAAZHJzL2Rvd25yZXYueG1sUEsBAhQAFAAAAAgAh07iQCnPeKqBAgAADQUAAA4AAAAA&#10;AAAAAQAgAAAAKAEAAGRycy9lMm9Eb2MueG1sUEsFBgAAAAAGAAYAWQEAABsGAAAAAA==&#10;">
                      <v:fill on="t" focussize="0,0"/>
                      <v:stroke weight="2pt" color="#376092 [2404]" joinstyle="round"/>
                      <v:imagedata o:title=""/>
                      <o:lock v:ext="edit" aspectratio="f"/>
                      <v:textbox>
                        <w:txbxContent>
                          <w:p w14:paraId="1C03A0EB">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制冷机房</w:t>
                            </w:r>
                          </w:p>
                        </w:txbxContent>
                      </v:textbox>
                    </v:rect>
                  </w:pict>
                </mc:Fallback>
              </mc:AlternateContent>
            </w:r>
            <w:r>
              <w:rPr>
                <w:rFonts w:hint="default"/>
                <w:lang w:val="en-US" w:eastAsia="zh-CN"/>
              </w:rPr>
              <mc:AlternateContent>
                <mc:Choice Requires="wps">
                  <w:drawing>
                    <wp:anchor distT="0" distB="0" distL="114300" distR="114300" simplePos="0" relativeHeight="251662336" behindDoc="0" locked="0" layoutInCell="1" allowOverlap="1">
                      <wp:simplePos x="0" y="0"/>
                      <wp:positionH relativeFrom="column">
                        <wp:posOffset>2296160</wp:posOffset>
                      </wp:positionH>
                      <wp:positionV relativeFrom="paragraph">
                        <wp:posOffset>474345</wp:posOffset>
                      </wp:positionV>
                      <wp:extent cx="4522470" cy="1920240"/>
                      <wp:effectExtent l="12700" t="12700" r="17780" b="29210"/>
                      <wp:wrapNone/>
                      <wp:docPr id="28" name="矩形 28"/>
                      <wp:cNvGraphicFramePr/>
                      <a:graphic xmlns:a="http://schemas.openxmlformats.org/drawingml/2006/main">
                        <a:graphicData uri="http://schemas.microsoft.com/office/word/2010/wordprocessingShape">
                          <wps:wsp>
                            <wps:cNvSpPr/>
                            <wps:spPr>
                              <a:xfrm>
                                <a:off x="0" y="0"/>
                                <a:ext cx="4522470" cy="1920240"/>
                              </a:xfrm>
                              <a:prstGeom prst="rect">
                                <a:avLst/>
                              </a:prstGeom>
                              <a:solidFill>
                                <a:srgbClr val="FFFF00"/>
                              </a:solidFill>
                            </wps:spPr>
                            <wps:style>
                              <a:lnRef idx="2">
                                <a:schemeClr val="accent1">
                                  <a:lumMod val="75000"/>
                                </a:schemeClr>
                              </a:lnRef>
                              <a:fillRef idx="1">
                                <a:schemeClr val="accent1"/>
                              </a:fillRef>
                              <a:effectRef idx="0">
                                <a:srgbClr val="FFFFFF"/>
                              </a:effectRef>
                              <a:fontRef idx="minor">
                                <a:schemeClr val="lt1"/>
                              </a:fontRef>
                            </wps:style>
                            <wps:txbx>
                              <w:txbxContent>
                                <w:p w14:paraId="45F219F9">
                                  <w:pPr>
                                    <w:jc w:val="center"/>
                                    <w:rPr>
                                      <w:rFonts w:hint="default" w:eastAsia="宋体"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冷库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0.8pt;margin-top:37.35pt;height:151.2pt;width:356.1pt;z-index:251662336;v-text-anchor:middle;mso-width-relative:page;mso-height-relative:page;" fillcolor="#FFFF00" filled="t" stroked="t" coordsize="21600,21600" o:gfxdata="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EtPcu2QAAAAsBAAAPAAAAAAAAAAEA&#10;IAAAACIAAABkcnMvZG93bnJldi54bWxQSwECFAAUAAAACACHTuJAXNWCEIACAAANBQAADgAAAAAA&#10;AAABACAAAAAoAQAAZHJzL2Uyb0RvYy54bWxQSwUGAAAAAAYABgBZAQAAGgYAAAAA&#10;">
                      <v:fill on="t" focussize="0,0"/>
                      <v:stroke weight="2pt" color="#376092 [2404]" joinstyle="round"/>
                      <v:imagedata o:title=""/>
                      <o:lock v:ext="edit" aspectratio="f"/>
                      <v:textbox>
                        <w:txbxContent>
                          <w:p w14:paraId="45F219F9">
                            <w:pPr>
                              <w:jc w:val="center"/>
                              <w:rPr>
                                <w:rFonts w:hint="default" w:eastAsia="宋体"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冷库</w:t>
                            </w:r>
                          </w:p>
                        </w:txbxContent>
                      </v:textbox>
                    </v: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920750</wp:posOffset>
                      </wp:positionH>
                      <wp:positionV relativeFrom="paragraph">
                        <wp:posOffset>2658745</wp:posOffset>
                      </wp:positionV>
                      <wp:extent cx="1057910" cy="1082675"/>
                      <wp:effectExtent l="12700" t="12700" r="15240" b="28575"/>
                      <wp:wrapNone/>
                      <wp:docPr id="32" name="矩形 32"/>
                      <wp:cNvGraphicFramePr/>
                      <a:graphic xmlns:a="http://schemas.openxmlformats.org/drawingml/2006/main">
                        <a:graphicData uri="http://schemas.microsoft.com/office/word/2010/wordprocessingShape">
                          <wps:wsp>
                            <wps:cNvSpPr/>
                            <wps:spPr>
                              <a:xfrm>
                                <a:off x="8792210" y="5067935"/>
                                <a:ext cx="1057910" cy="1082675"/>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5FF1DC05">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办公室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5pt;margin-top:209.35pt;height:85.25pt;width:83.3pt;z-index:251664384;v-text-anchor:middle;mso-width-relative:page;mso-height-relative:page;" fillcolor="#00B0F0" filled="t" stroked="t" coordsize="21600,21600" o:gfxdata="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X06oz2AAA&#10;AAsBAAAPAAAAAAAAAAEAIAAAACIAAABkcnMvZG93bnJldi54bWxQSwECFAAUAAAACACHTuJAniis&#10;XpACAAAZBQAADgAAAAAAAAABACAAAAAnAQAAZHJzL2Uyb0RvYy54bWxQSwUGAAAAAAYABgBZAQAA&#10;KQYAAAAA&#10;">
                      <v:fill on="t" focussize="0,0"/>
                      <v:stroke weight="2pt" color="#376092 [2404]" joinstyle="round"/>
                      <v:imagedata o:title=""/>
                      <o:lock v:ext="edit" aspectratio="f"/>
                      <v:textbox>
                        <w:txbxContent>
                          <w:p w14:paraId="5FF1DC05">
                            <w:pPr>
                              <w:jc w:val="center"/>
                              <w:rPr>
                                <w:rFonts w:hint="default"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s="Times New Roman"/>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办公室</w:t>
                            </w:r>
                          </w:p>
                        </w:txbxContent>
                      </v:textbox>
                    </v:rect>
                  </w:pict>
                </mc:Fallback>
              </mc:AlternateContent>
            </w:r>
          </w:p>
        </w:tc>
      </w:tr>
    </w:tbl>
    <w:p w14:paraId="139AF0EE">
      <w:pPr>
        <w:bidi w:val="0"/>
        <w:rPr>
          <w:rFonts w:hint="default"/>
          <w:lang w:val="en-US" w:eastAsia="zh-CN"/>
        </w:rPr>
      </w:pPr>
    </w:p>
    <w:sectPr>
      <w:pgSz w:w="16838" w:h="11906" w:orient="landscape"/>
      <w:pgMar w:top="1803" w:right="1440" w:bottom="1803" w:left="1440" w:header="851" w:footer="992" w:gutter="0"/>
      <w:pgBorders w:offsetFrom="page">
        <w:top w:val="none" w:sz="0" w:space="0"/>
        <w:left w:val="none" w:sz="0" w:space="0"/>
        <w:bottom w:val="none" w:sz="0" w:space="0"/>
        <w:right w:val="none" w:sz="0" w:space="0"/>
      </w:pgBorders>
      <w:pgNumType w:fmt="decimal"/>
      <w:cols w:space="72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5537A46-0D4F-491E-9D8B-FE76AE66F87B}"/>
  </w:font>
  <w:font w:name="Arial">
    <w:panose1 w:val="020B0604020202020204"/>
    <w:charset w:val="01"/>
    <w:family w:val="swiss"/>
    <w:pitch w:val="default"/>
    <w:sig w:usb0="E0002EFF" w:usb1="C000785B" w:usb2="00000009" w:usb3="00000000" w:csb0="400001FF" w:csb1="FFFF0000"/>
    <w:embedRegular r:id="rId2" w:fontKey="{A30C38F3-D9B5-4E62-9EDF-A2E34A732D65}"/>
  </w:font>
  <w:font w:name="黑体">
    <w:panose1 w:val="02010609060101010101"/>
    <w:charset w:val="86"/>
    <w:family w:val="auto"/>
    <w:pitch w:val="default"/>
    <w:sig w:usb0="800002BF" w:usb1="38CF7CFA" w:usb2="00000016" w:usb3="00000000" w:csb0="00040001" w:csb1="00000000"/>
    <w:embedRegular r:id="rId3" w:fontKey="{7AD864A7-0425-4055-AE9B-3FC35B8882C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4" w:fontKey="{4C66690D-593B-4B48-B02C-E35CA03AD9FF}"/>
  </w:font>
  <w:font w:name="微软雅黑">
    <w:panose1 w:val="020B0503020204020204"/>
    <w:charset w:val="86"/>
    <w:family w:val="auto"/>
    <w:pitch w:val="default"/>
    <w:sig w:usb0="80000287" w:usb1="2ACF3C50" w:usb2="00000016" w:usb3="00000000" w:csb0="0004001F" w:csb1="00000000"/>
    <w:embedRegular r:id="rId5" w:fontKey="{977883CF-8FDF-4D24-8936-D9D789DBF1F0}"/>
  </w:font>
  <w:font w:name="仿宋">
    <w:panose1 w:val="02010609060101010101"/>
    <w:charset w:val="86"/>
    <w:family w:val="modern"/>
    <w:pitch w:val="default"/>
    <w:sig w:usb0="800002BF" w:usb1="38CF7CFA" w:usb2="00000016" w:usb3="00000000" w:csb0="00040001" w:csb1="00000000"/>
    <w:embedRegular r:id="rId6" w:fontKey="{26315F0A-CEC8-489D-AFBA-7C01CF497786}"/>
  </w:font>
  <w:font w:name="Segoe UI">
    <w:panose1 w:val="020B0502040204020203"/>
    <w:charset w:val="00"/>
    <w:family w:val="auto"/>
    <w:pitch w:val="default"/>
    <w:sig w:usb0="E4002EFF" w:usb1="C000E47F" w:usb2="00000009" w:usb3="00000000" w:csb0="200001FF" w:csb1="00000000"/>
    <w:embedRegular r:id="rId7" w:fontKey="{B060D130-80D4-4397-9501-F70897360629}"/>
  </w:font>
  <w:font w:name="仿宋_GB2312">
    <w:panose1 w:val="02010609030101010101"/>
    <w:charset w:val="86"/>
    <w:family w:val="modern"/>
    <w:pitch w:val="default"/>
    <w:sig w:usb0="00000001" w:usb1="080E0000" w:usb2="00000000" w:usb3="00000000" w:csb0="00040000" w:csb1="00000000"/>
    <w:embedRegular r:id="rId8" w:fontKey="{61840B46-77DA-4324-BB30-78660752A71C}"/>
  </w:font>
  <w:font w:name="等线">
    <w:panose1 w:val="02010600030101010101"/>
    <w:charset w:val="86"/>
    <w:family w:val="auto"/>
    <w:pitch w:val="default"/>
    <w:sig w:usb0="A00002BF" w:usb1="38CF7CFA" w:usb2="00000016" w:usb3="00000000" w:csb0="0004000F" w:csb1="00000000"/>
    <w:embedRegular r:id="rId9" w:fontKey="{8026F753-6887-489F-A4A1-B647ED379675}"/>
  </w:font>
  <w:font w:name="Wingdings 2">
    <w:panose1 w:val="05020102010507070707"/>
    <w:charset w:val="02"/>
    <w:family w:val="auto"/>
    <w:pitch w:val="default"/>
    <w:sig w:usb0="00000000" w:usb1="00000000" w:usb2="00000000" w:usb3="00000000" w:csb0="80000000" w:csb1="00000000"/>
    <w:embedRegular r:id="rId10" w:fontKey="{1D252A86-A065-49C6-80FF-9CDF7A2DEDEB}"/>
  </w:font>
  <w:font w:name="方正小标宋简体">
    <w:panose1 w:val="02000000000000000000"/>
    <w:charset w:val="86"/>
    <w:family w:val="script"/>
    <w:pitch w:val="default"/>
    <w:sig w:usb0="00000001" w:usb1="08000000" w:usb2="00000000" w:usb3="00000000" w:csb0="00040000" w:csb1="00000000"/>
    <w:embedRegular r:id="rId11" w:fontKey="{36788AB0-7792-4A8E-8C56-FEC6BB6D1AE4}"/>
  </w:font>
  <w:font w:name="Tahoma">
    <w:panose1 w:val="020B0604030504040204"/>
    <w:charset w:val="00"/>
    <w:family w:val="auto"/>
    <w:pitch w:val="default"/>
    <w:sig w:usb0="E1002EFF" w:usb1="C000605B" w:usb2="00000029" w:usb3="00000000" w:csb0="200101FF" w:csb1="2028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embedRegular r:id="rId12" w:fontKey="{E918F988-8FEC-4C71-A16C-975381D9A614}"/>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C9C40">
    <w:pPr>
      <w:spacing w:line="216" w:lineRule="auto"/>
      <w:ind w:left="148"/>
      <w:rPr>
        <w:rFonts w:ascii="Arial" w:hAnsi="Arial" w:eastAsia="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DDDDD">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42A705">
                          <w:pPr>
                            <w:pStyle w:val="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9gLqy3gEAAL4DAAAOAAAAAAAA&#10;AAEAIAAAAB4BAABkcnMvZTJvRG9jLnhtbFBLBQYAAAAABgAGAFkBAABuBQAAAAA=&#10;">
              <v:fill on="f" focussize="0,0"/>
              <v:stroke on="f"/>
              <v:imagedata o:title=""/>
              <o:lock v:ext="edit" aspectratio="f"/>
              <v:textbox inset="0mm,0mm,0mm,0mm" style="mso-fit-shape-to-text:t;">
                <w:txbxContent>
                  <w:p w14:paraId="2642A70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57BA8">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847B90">
                          <w:pPr>
                            <w:pStyle w:val="7"/>
                          </w:pPr>
                          <w:r>
                            <w:fldChar w:fldCharType="begin"/>
                          </w:r>
                          <w:r>
                            <w:instrText xml:space="preserve"> PAGE  \* MERGEFORMAT </w:instrText>
                          </w:r>
                          <w:r>
                            <w:fldChar w:fldCharType="separate"/>
                          </w:r>
                          <w:r>
                            <w:t>17</w:t>
                          </w:r>
                          <w:r>
                            <w:fldChar w:fldCharType="end"/>
                          </w:r>
                        </w:p>
                      </w:txbxContent>
                    </wps:txbx>
                    <wps:bodyPr vert="horz" wrap="none" lIns="0" tIns="0" rIns="0" bIns="0" anchor="t" anchorCtr="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n5f773gEAAL4DAAAOAAAAAAAA&#10;AAEAIAAAAB4BAABkcnMvZTJvRG9jLnhtbFBLBQYAAAAABgAGAFkBAABuBQAAAAA=&#10;">
              <v:fill on="f" focussize="0,0"/>
              <v:stroke on="f"/>
              <v:imagedata o:title=""/>
              <o:lock v:ext="edit" aspectratio="f"/>
              <v:textbox inset="0mm,0mm,0mm,0mm" style="mso-fit-shape-to-text:t;">
                <w:txbxContent>
                  <w:p w14:paraId="5D847B90">
                    <w:pPr>
                      <w:pStyle w:val="7"/>
                    </w:pPr>
                    <w:r>
                      <w:fldChar w:fldCharType="begin"/>
                    </w:r>
                    <w:r>
                      <w:instrText xml:space="preserve"> PAGE  \* MERGEFORMAT </w:instrText>
                    </w:r>
                    <w:r>
                      <w:fldChar w:fldCharType="separate"/>
                    </w:r>
                    <w:r>
                      <w:t>17</w:t>
                    </w:r>
                    <w:r>
                      <w:fldChar w:fldCharType="end"/>
                    </w:r>
                  </w:p>
                </w:txbxContent>
              </v:textbox>
            </v:shape>
          </w:pict>
        </mc:Fallback>
      </mc:AlternateContent>
    </w:r>
    <w:r>
      <w:rPr>
        <w:rFonts w:hint="eastAsia"/>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4B91C">
    <w:pPr>
      <w:spacing w:line="216" w:lineRule="auto"/>
      <w:ind w:left="9029"/>
      <w:rPr>
        <w:rFonts w:ascii="Arial" w:hAnsi="Arial" w:eastAsia="Arial" w:cs="Arial"/>
        <w:sz w:val="16"/>
        <w:szCs w:val="16"/>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7C63F1">
                          <w:pPr>
                            <w:pStyle w:val="7"/>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G4C8N3gEAAL4DAAAOAAAAAAAA&#10;AAEAIAAAAB4BAABkcnMvZTJvRG9jLnhtbFBLBQYAAAAABgAGAFkBAABuBQAAAAA=&#10;">
              <v:fill on="f" focussize="0,0"/>
              <v:stroke on="f"/>
              <v:imagedata o:title=""/>
              <o:lock v:ext="edit" aspectratio="f"/>
              <v:textbox inset="0mm,0mm,0mm,0mm" style="mso-fit-shape-to-text:t;">
                <w:txbxContent>
                  <w:p w14:paraId="557C63F1">
                    <w:pPr>
                      <w:pStyle w:val="7"/>
                    </w:pPr>
                    <w:r>
                      <w:fldChar w:fldCharType="begin"/>
                    </w:r>
                    <w:r>
                      <w:instrText xml:space="preserve"> PAGE  \* MERGEFORMAT </w:instrText>
                    </w:r>
                    <w:r>
                      <w:fldChar w:fldCharType="separate"/>
                    </w:r>
                    <w:r>
                      <w:t>22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4865C">
    <w:pPr>
      <w:spacing w:before="54" w:line="241" w:lineRule="auto"/>
      <w:rPr>
        <w:rFonts w:ascii="Arial" w:hAnsi="Arial" w:eastAsia="Arial" w:cs="Arial"/>
        <w:sz w:val="19"/>
        <w:szCs w:val="1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CBC8D">
    <w:pPr>
      <w:spacing w:before="54" w:line="241" w:lineRule="auto"/>
      <w:ind w:right="20"/>
      <w:jc w:val="center"/>
      <w:rPr>
        <w:rFonts w:ascii="Arial" w:hAnsi="Arial" w:eastAsia="Arial" w:cs="Arial"/>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9DB8ED"/>
    <w:multiLevelType w:val="singleLevel"/>
    <w:tmpl w:val="EB9DB8ED"/>
    <w:lvl w:ilvl="0" w:tentative="0">
      <w:start w:val="4"/>
      <w:numFmt w:val="chineseCounting"/>
      <w:suff w:val="nothing"/>
      <w:lvlText w:val="%1、"/>
      <w:lvlJc w:val="left"/>
      <w:rPr>
        <w:rFonts w:hint="eastAsia"/>
      </w:rPr>
    </w:lvl>
  </w:abstractNum>
  <w:abstractNum w:abstractNumId="1">
    <w:nsid w:val="1948F26B"/>
    <w:multiLevelType w:val="singleLevel"/>
    <w:tmpl w:val="1948F26B"/>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F44C3B"/>
    <w:rsid w:val="001C6D02"/>
    <w:rsid w:val="02D44010"/>
    <w:rsid w:val="03A32AC2"/>
    <w:rsid w:val="04F512AE"/>
    <w:rsid w:val="060774EA"/>
    <w:rsid w:val="069468A4"/>
    <w:rsid w:val="0763442C"/>
    <w:rsid w:val="07F97353"/>
    <w:rsid w:val="088D7014"/>
    <w:rsid w:val="0A322968"/>
    <w:rsid w:val="0BC639A4"/>
    <w:rsid w:val="0C2030B4"/>
    <w:rsid w:val="0C5C7E64"/>
    <w:rsid w:val="0D2564A8"/>
    <w:rsid w:val="0ED53377"/>
    <w:rsid w:val="10831E63"/>
    <w:rsid w:val="11AE4D38"/>
    <w:rsid w:val="1318094F"/>
    <w:rsid w:val="137D37B5"/>
    <w:rsid w:val="1433594E"/>
    <w:rsid w:val="15206110"/>
    <w:rsid w:val="15DD5B72"/>
    <w:rsid w:val="173D34A3"/>
    <w:rsid w:val="17AF353E"/>
    <w:rsid w:val="184C6FDF"/>
    <w:rsid w:val="1932002B"/>
    <w:rsid w:val="1C651565"/>
    <w:rsid w:val="2064565B"/>
    <w:rsid w:val="241B04C9"/>
    <w:rsid w:val="24746E89"/>
    <w:rsid w:val="267025C9"/>
    <w:rsid w:val="28A57FC9"/>
    <w:rsid w:val="2BD87CA9"/>
    <w:rsid w:val="2CFF03BE"/>
    <w:rsid w:val="31791556"/>
    <w:rsid w:val="319677F1"/>
    <w:rsid w:val="323A2FB9"/>
    <w:rsid w:val="32B36180"/>
    <w:rsid w:val="33FE6BEC"/>
    <w:rsid w:val="346B0D38"/>
    <w:rsid w:val="36220D48"/>
    <w:rsid w:val="367F2187"/>
    <w:rsid w:val="36D52E06"/>
    <w:rsid w:val="36EC7A30"/>
    <w:rsid w:val="3AAC122E"/>
    <w:rsid w:val="3D474951"/>
    <w:rsid w:val="3E3B7600"/>
    <w:rsid w:val="3F122481"/>
    <w:rsid w:val="43012D1C"/>
    <w:rsid w:val="464C198F"/>
    <w:rsid w:val="464C1D63"/>
    <w:rsid w:val="4B9057EE"/>
    <w:rsid w:val="4C531EEA"/>
    <w:rsid w:val="4CAE37E9"/>
    <w:rsid w:val="4D285649"/>
    <w:rsid w:val="4DBA54A6"/>
    <w:rsid w:val="4E134968"/>
    <w:rsid w:val="50D07B02"/>
    <w:rsid w:val="52530E97"/>
    <w:rsid w:val="54211915"/>
    <w:rsid w:val="542D76E9"/>
    <w:rsid w:val="55955B5A"/>
    <w:rsid w:val="58AF0367"/>
    <w:rsid w:val="58F44C3B"/>
    <w:rsid w:val="59676154"/>
    <w:rsid w:val="5A225816"/>
    <w:rsid w:val="5B303686"/>
    <w:rsid w:val="5BA33C64"/>
    <w:rsid w:val="5BB0289F"/>
    <w:rsid w:val="5DDB6408"/>
    <w:rsid w:val="5E8E4F02"/>
    <w:rsid w:val="5F597F76"/>
    <w:rsid w:val="604678C8"/>
    <w:rsid w:val="640E2967"/>
    <w:rsid w:val="66F83B86"/>
    <w:rsid w:val="687D22F9"/>
    <w:rsid w:val="691C39E2"/>
    <w:rsid w:val="69E17C5F"/>
    <w:rsid w:val="6A5107E5"/>
    <w:rsid w:val="6AC054CF"/>
    <w:rsid w:val="6B320C09"/>
    <w:rsid w:val="73697BBA"/>
    <w:rsid w:val="74C432FA"/>
    <w:rsid w:val="74F214C7"/>
    <w:rsid w:val="786D5A56"/>
    <w:rsid w:val="7A0D5743"/>
    <w:rsid w:val="7BA14395"/>
    <w:rsid w:val="7C4A7F77"/>
    <w:rsid w:val="7CC77E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微软雅黑" w:hAnsi="微软雅黑" w:eastAsia="微软雅黑" w:cs="微软雅黑"/>
      <w:sz w:val="27"/>
      <w:szCs w:val="27"/>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customStyle="1" w:styleId="13">
    <w:name w:val="标题 2 Char"/>
    <w:link w:val="3"/>
    <w:qFormat/>
    <w:uiPriority w:val="0"/>
    <w:rPr>
      <w:rFonts w:ascii="Arial" w:hAnsi="Arial" w:eastAsia="黑体"/>
      <w:b/>
      <w:sz w:val="32"/>
    </w:rPr>
  </w:style>
  <w:style w:type="paragraph" w:customStyle="1" w:styleId="14">
    <w:name w:val="Table Text"/>
    <w:basedOn w:val="1"/>
    <w:semiHidden/>
    <w:qFormat/>
    <w:uiPriority w:val="0"/>
    <w:rPr>
      <w:rFonts w:ascii="微软雅黑" w:hAnsi="微软雅黑" w:eastAsia="微软雅黑" w:cs="微软雅黑"/>
      <w:sz w:val="16"/>
      <w:szCs w:val="16"/>
      <w:lang w:val="en-US" w:eastAsia="en-US" w:bidi="ar-SA"/>
    </w:rPr>
  </w:style>
  <w:style w:type="table" w:customStyle="1" w:styleId="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7912</Words>
  <Characters>8482</Characters>
  <Lines>0</Lines>
  <Paragraphs>0</Paragraphs>
  <TotalTime>0</TotalTime>
  <ScaleCrop>false</ScaleCrop>
  <LinksUpToDate>false</LinksUpToDate>
  <CharactersWithSpaces>9193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2025-11-05T06:47:00Z</dcterms:created>
  <dc:creator>黄云研究院13924587868</dc:creator>
  <cp:lastModifiedBy>深圳市全民安全生产研究院</cp:lastModifiedBy>
  <dcterms:modified xsi:type="dcterms:W3CDTF">2026-06-29T01:45:00Z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600A29C8CC254BAB9BF717C35F529A7C_13</vt:lpwstr>
  </property>
  <property fmtid="{D5CDD505-2E9C-101B-9397-08002B2CF9AE}" pid="4" name="KSOTemplateDocerSaveRecord">
    <vt:lpwstr>eyJoZGlkIjoiYmNkZDViOTIxY2RhZTdiZDI2NTQ3ZTg2ZDMyMzNjYzEiLCJ1c2VySWQiOiIxNzI1NzUzMjI0In0=</vt:lpwstr>
  </property>
</Properties>
</file>