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openxmlformats.org/drawingml/2006/main" xmlns:ns6="http://schemas.openxmlformats.org/drawingml/2006/picture" xmlns:w="http://schemas.openxmlformats.org/wordprocessingml/2006/main" ns1:Ignorable="w14 w15 wp14">
  <w:body>
    <w:p ns2:paraId="34859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/>
          <w:color w:val="auto"/>
          <w:w w:val="80"/>
          <w:sz w:val="72"/>
          <w:szCs w:val="72"/>
        </w:rPr>
      </w:pPr>
    </w:p>
    <w:p ns2:paraId="455B2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/>
          <w:color w:val="FF0000"/>
          <w:w w:val="80"/>
          <w:sz w:val="28"/>
          <w:szCs w:val="28"/>
          <w:lang w:eastAsia="zh-CN"/>
        </w:rPr>
      </w:pPr>
      <w:r>
        <w:rPr>
          <w:rFonts w:hint="eastAsia" w:ascii="黑体" w:hAnsi="黑体" w:eastAsia="黑体"/>
          <w:color w:val="auto"/>
          <w:w w:val="80"/>
          <w:sz w:val="72"/>
          <w:szCs w:val="72"/>
        </w:rPr>
        <w:t>202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5</w:t>
      </w:r>
      <w:r>
        <w:rPr>
          <w:rFonts w:hint="eastAsia" w:ascii="黑体" w:hAnsi="黑体" w:eastAsia="黑体"/>
          <w:color w:val="auto"/>
          <w:w w:val="80"/>
          <w:sz w:val="72"/>
          <w:szCs w:val="72"/>
        </w:rPr>
        <w:t>年深圳市气象灾害</w:t>
      </w:r>
    </w:p>
    <w:p ns2:paraId="5FA01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color w:val="auto"/>
        </w:rPr>
      </w:pPr>
      <w:r>
        <w:rPr>
          <w:rFonts w:hint="eastAsia" w:ascii="黑体" w:hAnsi="黑体" w:eastAsia="黑体"/>
          <w:color w:val="auto"/>
          <w:w w:val="80"/>
          <w:sz w:val="72"/>
          <w:szCs w:val="72"/>
          <w:lang w:eastAsia="zh-CN"/>
        </w:rPr>
        <w:t>防御（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防雷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eastAsia="zh-CN"/>
        </w:rPr>
        <w:t>）重点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单位</w:t>
      </w:r>
      <w:r>
        <w:rPr>
          <w:rFonts w:hint="eastAsia" w:ascii="黑体" w:hAnsi="黑体" w:eastAsia="黑体"/>
          <w:color w:val="auto"/>
          <w:w w:val="80"/>
          <w:sz w:val="72"/>
          <w:szCs w:val="72"/>
        </w:rPr>
        <w:t>工作台账</w:t>
      </w:r>
      <w:r>
        <w:rPr>
          <w:rFonts w:hint="eastAsia"/>
          <w:color w:val="auto"/>
          <w:sz w:val="72"/>
          <w:szCs w:val="72"/>
        </w:rPr>
        <w:t xml:space="preserve"> </w:t>
      </w:r>
      <w:r>
        <w:rPr>
          <w:rFonts w:hint="eastAsia"/>
          <w:color w:val="auto"/>
        </w:rPr>
        <w:t xml:space="preserve">        </w:t>
      </w:r>
    </w:p>
    <w:p ns2:paraId="20CB42AF">
      <w:pPr>
        <w:rPr>
          <w:b/>
          <w:bCs/>
          <w:color w:val="auto"/>
          <w:sz w:val="48"/>
          <w:szCs w:val="48"/>
        </w:rPr>
      </w:pPr>
    </w:p>
    <w:p ns2:paraId="633C8C41">
      <w:pPr>
        <w:rPr>
          <w:rFonts w:ascii="仿宋" w:hAnsi="仿宋" w:eastAsia="仿宋" w:cs="Arial"/>
          <w:color w:val="auto"/>
          <w:sz w:val="32"/>
          <w:szCs w:val="32"/>
          <w:shd w:val="clear" w:color="auto" w:fill="FFFFFF"/>
        </w:rPr>
      </w:pPr>
    </w:p>
    <w:p ns2:paraId="2B3985E1">
      <w:pPr>
        <w:rPr>
          <w:b/>
          <w:bCs/>
          <w:color w:val="auto"/>
          <w:sz w:val="48"/>
          <w:szCs w:val="48"/>
        </w:rPr>
      </w:pPr>
    </w:p>
    <w:p ns2:paraId="0EC719B1">
      <w:pPr>
        <w:rPr>
          <w:b/>
          <w:bCs/>
          <w:color w:val="auto"/>
          <w:sz w:val="48"/>
          <w:szCs w:val="48"/>
        </w:rPr>
      </w:pPr>
    </w:p>
    <w:p ns2:paraId="053091A7">
      <w:pPr>
        <w:rPr>
          <w:b/>
          <w:bCs/>
          <w:color w:val="auto"/>
          <w:sz w:val="48"/>
          <w:szCs w:val="48"/>
        </w:rPr>
      </w:pPr>
    </w:p>
    <w:p ns2:paraId="4055EC39">
      <w:pPr>
        <w:rPr>
          <w:b/>
          <w:bCs/>
          <w:color w:val="auto"/>
          <w:sz w:val="48"/>
          <w:szCs w:val="48"/>
        </w:rPr>
      </w:pPr>
    </w:p>
    <w:p ns2:paraId="03EC4599">
      <w:pPr>
        <w:pStyle w:val="6"/>
        <w:tabs>
          <w:tab w:val="left" w:pos="562"/>
          <w:tab w:val="left" w:pos="3372"/>
          <w:tab w:val="left" w:pos="3653"/>
        </w:tabs>
      </w:pPr>
    </w:p>
    <w:p ns2:paraId="63706E6C">
      <w:pPr>
        <w:pStyle w:val="6"/>
        <w:tabs>
          <w:tab w:val="left" w:pos="562"/>
          <w:tab w:val="left" w:pos="3372"/>
          <w:tab w:val="left" w:pos="3653"/>
        </w:tabs>
      </w:pPr>
    </w:p>
    <w:p ns2:paraId="5FA2DF61">
      <w:pPr>
        <w:pStyle w:val="6"/>
        <w:tabs>
          <w:tab w:val="left" w:pos="562"/>
          <w:tab w:val="left" w:pos="3372"/>
          <w:tab w:val="left" w:pos="3653"/>
        </w:tabs>
      </w:pPr>
    </w:p>
    <w:p ns2:paraId="2F93F13A">
      <w:pPr>
        <w:pStyle w:val="6"/>
        <w:tabs>
          <w:tab w:val="left" w:pos="562"/>
          <w:tab w:val="left" w:pos="3372"/>
          <w:tab w:val="left" w:pos="3653"/>
        </w:tabs>
      </w:pPr>
    </w:p>
    <w:p ns2:paraId="5AAD1D3E">
      <w:pPr>
        <w:pStyle w:val="6"/>
        <w:tabs>
          <w:tab w:val="left" w:pos="562"/>
          <w:tab w:val="left" w:pos="3372"/>
          <w:tab w:val="left" w:pos="3653"/>
        </w:tabs>
      </w:pPr>
    </w:p>
    <w:p ns2:paraId="6850CF95">
      <w:pPr>
        <w:rPr>
          <w:b/>
          <w:bCs/>
          <w:color w:val="auto"/>
          <w:sz w:val="48"/>
          <w:szCs w:val="48"/>
        </w:rPr>
      </w:pPr>
    </w:p>
    <w:p ns2:paraId="6F94E0C8">
      <w:pPr>
        <w:jc w:val="center"/>
        <w:rPr>
          <w:b/>
          <w:bCs/>
          <w:color w:val="auto"/>
          <w:sz w:val="48"/>
          <w:szCs w:val="48"/>
        </w:rPr>
      </w:pPr>
    </w:p>
    <w:p ns2:paraId="0169A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hint="default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32"/>
          <w:szCs w:val="32"/>
        </w:rPr>
        <w:t>单位名称：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/>
          <w:b w:val="0"/>
          <w:bCs w:val="0"/>
          <w:color w:val="000000"/>
          <w:sz w:val="32"/>
          <w:szCs w:val="32"/>
          <w:u w:val="single"/>
          <w:lang w:val="en-US" w:eastAsia="zh-CN"/>
        </w:rPr>
        <w:t xml:space="preserve">       </w:t>
      </w:r>
    </w:p>
    <w:p ns2:paraId="64D6D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</w:pPr>
    </w:p>
    <w:p ns2:paraId="2E37C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所属街道：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/>
          <w:b w:val="0"/>
          <w:bCs w:val="0"/>
          <w:color w:val="000000"/>
          <w:sz w:val="32"/>
          <w:szCs w:val="32"/>
          <w:u w:val="single"/>
          <w:lang w:val="en-US" w:eastAsia="zh-CN"/>
        </w:rPr>
        <w:t xml:space="preserve">       </w:t>
      </w:r>
    </w:p>
    <w:p ns2:paraId="5D42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</w:rPr>
      </w:pPr>
    </w:p>
    <w:p ns2:paraId="759B4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建档日期：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  <w:t xml:space="preserve"> 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>202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>5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eastAsia="zh-CN"/>
        </w:rPr>
        <w:t>年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eastAsia="zh-CN"/>
        </w:rPr>
        <w:t>月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 日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</w:t>
      </w:r>
    </w:p>
    <w:p ns2:paraId="235F8180">
      <w:pPr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</w:t>
      </w:r>
    </w:p>
    <w:p ns2:paraId="38B6CDDA">
      <w:pPr>
        <w:rPr>
          <w:color w:val="auto"/>
        </w:rPr>
      </w:pPr>
    </w:p>
    <w:p ns2:paraId="24679061">
      <w:pPr>
        <w:rPr>
          <w:color w:val="auto"/>
        </w:rPr>
      </w:pPr>
    </w:p>
    <w:p ns2:paraId="5F88F092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</w:p>
    <w:p ns2:paraId="06842139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</w:p>
    <w:p ns2:paraId="19D6431C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  <w:r>
        <w:rPr>
          <w:rFonts w:hint="eastAsia" w:ascii="黑体" w:hAnsi="黑体" w:eastAsia="黑体" w:cs="宋体"/>
          <w:bCs/>
          <w:color w:val="auto"/>
          <w:sz w:val="44"/>
        </w:rPr>
        <w:t>气象灾害防御</w:t>
      </w:r>
      <w:r>
        <w:rPr>
          <w:rFonts w:hint="eastAsia" w:ascii="黑体" w:hAnsi="黑体" w:eastAsia="黑体" w:cs="宋体"/>
          <w:bCs/>
          <w:color w:val="auto"/>
          <w:sz w:val="44"/>
          <w:lang w:eastAsia="zh-CN"/>
        </w:rPr>
        <w:t>（</w:t>
      </w:r>
      <w:r>
        <w:rPr>
          <w:rFonts w:hint="eastAsia" w:ascii="黑体" w:hAnsi="黑体" w:eastAsia="黑体" w:cs="宋体"/>
          <w:bCs/>
          <w:color w:val="auto"/>
          <w:sz w:val="44"/>
          <w:lang w:val="en-US" w:eastAsia="zh-CN"/>
        </w:rPr>
        <w:t>防雷</w:t>
      </w:r>
      <w:r>
        <w:rPr>
          <w:rFonts w:hint="eastAsia" w:ascii="黑体" w:hAnsi="黑体" w:eastAsia="黑体" w:cs="宋体"/>
          <w:bCs/>
          <w:color w:val="auto"/>
          <w:sz w:val="44"/>
          <w:lang w:eastAsia="zh-CN"/>
        </w:rPr>
        <w:t>）</w:t>
      </w:r>
      <w:r>
        <w:rPr>
          <w:rFonts w:hint="eastAsia" w:ascii="黑体" w:hAnsi="黑体" w:eastAsia="黑体" w:cs="宋体"/>
          <w:bCs/>
          <w:color w:val="auto"/>
          <w:sz w:val="44"/>
        </w:rPr>
        <w:t>重点单位</w:t>
      </w:r>
    </w:p>
    <w:p ns2:paraId="5FB2E3B1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  <w:r>
        <w:rPr>
          <w:rFonts w:hint="eastAsia" w:ascii="黑体" w:hAnsi="黑体" w:eastAsia="黑体" w:cs="宋体"/>
          <w:bCs/>
          <w:color w:val="auto"/>
          <w:sz w:val="44"/>
          <w:lang w:val="en-US" w:eastAsia="zh-CN"/>
        </w:rPr>
        <w:t>风险评估</w:t>
      </w:r>
      <w:r>
        <w:rPr>
          <w:rFonts w:hint="eastAsia" w:ascii="黑体" w:hAnsi="黑体" w:eastAsia="黑体" w:cs="宋体"/>
          <w:bCs/>
          <w:color w:val="auto"/>
          <w:sz w:val="44"/>
        </w:rPr>
        <w:t>资料目录</w:t>
      </w:r>
    </w:p>
    <w:p ns2:paraId="46A730A0">
      <w:pPr>
        <w:tabs>
          <w:tab w:val="left" w:pos="1470"/>
          <w:tab w:val="center" w:pos="4422"/>
        </w:tabs>
        <w:jc w:val="center"/>
        <w:rPr>
          <w:rFonts w:ascii="宋体" w:hAnsi="宋体"/>
          <w:color w:val="auto"/>
          <w:szCs w:val="21"/>
        </w:rPr>
      </w:pPr>
    </w:p>
    <w:tbl>
      <w:tblPr>
        <w:tblStyle w:val="9"/>
        <w:tblpPr w:leftFromText="180" w:rightFromText="180" w:vertAnchor="text" w:tblpXSpec="center" w:tblpY="1"/>
        <w:tblOverlap w:val="never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5366"/>
        <w:gridCol w:w="1967"/>
      </w:tblGrid>
      <w:tr ns2:paraId="6CD9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top"/>
          </w:tcPr>
          <w:p ns2:paraId="7EEAD155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5366" w:type="dxa"/>
            <w:noWrap w:val="0"/>
            <w:vAlign w:val="top"/>
          </w:tcPr>
          <w:p ns2:paraId="346E000E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资 料 名 称</w:t>
            </w:r>
          </w:p>
        </w:tc>
        <w:tc>
          <w:tcPr>
            <w:tcW w:w="1967" w:type="dxa"/>
            <w:noWrap w:val="0"/>
            <w:vAlign w:val="top"/>
          </w:tcPr>
          <w:p ns2:paraId="44B374AD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备注</w:t>
            </w:r>
          </w:p>
        </w:tc>
      </w:tr>
      <w:tr ns2:paraId="2F66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960" w:type="dxa"/>
            <w:noWrap w:val="0"/>
            <w:vAlign w:val="center"/>
          </w:tcPr>
          <w:p ns2:paraId="63E063A9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</w:t>
            </w:r>
          </w:p>
        </w:tc>
        <w:tc>
          <w:tcPr>
            <w:tcW w:w="5366" w:type="dxa"/>
            <w:noWrap w:val="0"/>
            <w:vAlign w:val="center"/>
          </w:tcPr>
          <w:p ns2:paraId="104D9904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气象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灾害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防御（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防雷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）重点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单位风险评估报告</w:t>
            </w:r>
          </w:p>
        </w:tc>
        <w:tc>
          <w:tcPr>
            <w:tcW w:w="1967" w:type="dxa"/>
            <w:noWrap w:val="0"/>
            <w:vAlign w:val="center"/>
          </w:tcPr>
          <w:p ns2:paraId="31DCE53D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7D1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60" w:type="dxa"/>
            <w:noWrap w:val="0"/>
            <w:vAlign w:val="center"/>
          </w:tcPr>
          <w:p ns2:paraId="6C25E613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</w:t>
            </w:r>
          </w:p>
        </w:tc>
        <w:tc>
          <w:tcPr>
            <w:tcW w:w="5366" w:type="dxa"/>
            <w:noWrap w:val="0"/>
            <w:vAlign w:val="center"/>
          </w:tcPr>
          <w:p ns2:paraId="3841CE65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附件1：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企业基础信息收集表</w:t>
            </w:r>
          </w:p>
        </w:tc>
        <w:tc>
          <w:tcPr>
            <w:tcW w:w="1967" w:type="dxa"/>
            <w:noWrap w:val="0"/>
            <w:vAlign w:val="center"/>
          </w:tcPr>
          <w:p ns2:paraId="58BAB7B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E76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0" w:type="dxa"/>
            <w:noWrap w:val="0"/>
            <w:vAlign w:val="center"/>
          </w:tcPr>
          <w:p ns2:paraId="0C1230FA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3</w:t>
            </w:r>
          </w:p>
        </w:tc>
        <w:tc>
          <w:tcPr>
            <w:tcW w:w="5366" w:type="dxa"/>
            <w:noWrap w:val="0"/>
            <w:vAlign w:val="center"/>
          </w:tcPr>
          <w:p ns2:paraId="4C27C87B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附件2：气象灾害防御（防雷）重点单位风险评估法</w:t>
            </w:r>
          </w:p>
        </w:tc>
        <w:tc>
          <w:tcPr>
            <w:tcW w:w="1967" w:type="dxa"/>
            <w:noWrap w:val="0"/>
            <w:vAlign w:val="center"/>
          </w:tcPr>
          <w:p ns2:paraId="2DF14914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6DB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0FCB391C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4</w:t>
            </w:r>
          </w:p>
        </w:tc>
        <w:tc>
          <w:tcPr>
            <w:tcW w:w="5366" w:type="dxa"/>
            <w:noWrap w:val="0"/>
            <w:vAlign w:val="center"/>
          </w:tcPr>
          <w:p ns2:paraId="3C9AD90D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附件3：气象灾害防御（防雷）重点单位安全隐患排查表</w:t>
            </w:r>
          </w:p>
        </w:tc>
        <w:tc>
          <w:tcPr>
            <w:tcW w:w="1967" w:type="dxa"/>
            <w:noWrap w:val="0"/>
            <w:vAlign w:val="center"/>
          </w:tcPr>
          <w:p ns2:paraId="766FA3C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19A1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3D515A3A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5</w:t>
            </w:r>
          </w:p>
        </w:tc>
        <w:tc>
          <w:tcPr>
            <w:tcW w:w="5366" w:type="dxa"/>
            <w:noWrap w:val="0"/>
            <w:vAlign w:val="center"/>
          </w:tcPr>
          <w:p ns2:paraId="78DCB07E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附件4：现场检查与核对照片</w:t>
            </w:r>
          </w:p>
        </w:tc>
        <w:tc>
          <w:tcPr>
            <w:tcW w:w="1967" w:type="dxa"/>
            <w:noWrap w:val="0"/>
            <w:vAlign w:val="center"/>
          </w:tcPr>
          <w:p ns2:paraId="4FCA702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2E8C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5D60A4EC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6</w:t>
            </w:r>
          </w:p>
        </w:tc>
        <w:tc>
          <w:tcPr>
            <w:tcW w:w="5366" w:type="dxa"/>
            <w:noWrap w:val="0"/>
            <w:vAlign w:val="center"/>
          </w:tcPr>
          <w:p ns2:paraId="392DD048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</w:t>
            </w: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件5：气象灾害防御（防雷）重点单位风险分类分级管控清单</w:t>
            </w:r>
          </w:p>
        </w:tc>
        <w:tc>
          <w:tcPr>
            <w:tcW w:w="1967" w:type="dxa"/>
            <w:noWrap w:val="0"/>
            <w:vAlign w:val="center"/>
          </w:tcPr>
          <w:p ns2:paraId="60AAEDEA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F37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00BB71C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7</w:t>
            </w:r>
          </w:p>
        </w:tc>
        <w:tc>
          <w:tcPr>
            <w:tcW w:w="5366" w:type="dxa"/>
            <w:noWrap w:val="0"/>
            <w:vAlign w:val="center"/>
          </w:tcPr>
          <w:p ns2:paraId="77B5699C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附件6：风险四色图</w:t>
            </w:r>
          </w:p>
        </w:tc>
        <w:tc>
          <w:tcPr>
            <w:tcW w:w="1967" w:type="dxa"/>
            <w:noWrap w:val="0"/>
            <w:vAlign w:val="center"/>
          </w:tcPr>
          <w:p ns2:paraId="15767037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11A8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60" w:type="dxa"/>
            <w:noWrap w:val="0"/>
            <w:vAlign w:val="center"/>
          </w:tcPr>
          <w:p ns2:paraId="26A93B3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8</w:t>
            </w:r>
          </w:p>
        </w:tc>
        <w:tc>
          <w:tcPr>
            <w:tcW w:w="5366" w:type="dxa"/>
            <w:noWrap w:val="0"/>
            <w:vAlign w:val="center"/>
          </w:tcPr>
          <w:p ns2:paraId="5600592B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附件7：气象灾害防御（防雷）重点单位安全隐患排查及整改措施记录</w:t>
            </w:r>
          </w:p>
        </w:tc>
        <w:tc>
          <w:tcPr>
            <w:tcW w:w="1967" w:type="dxa"/>
            <w:noWrap w:val="0"/>
            <w:vAlign w:val="center"/>
          </w:tcPr>
          <w:p ns2:paraId="0E787694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5CE4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  <w:noWrap w:val="0"/>
            <w:vAlign w:val="center"/>
          </w:tcPr>
          <w:p ns2:paraId="7BA67433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9</w:t>
            </w:r>
          </w:p>
        </w:tc>
        <w:tc>
          <w:tcPr>
            <w:tcW w:w="5366" w:type="dxa"/>
            <w:noWrap w:val="0"/>
            <w:vAlign w:val="center"/>
          </w:tcPr>
          <w:p ns2:paraId="089D0A2E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附件8：气象灾害防御（防雷）重点单位安全隐患复查记录</w:t>
            </w:r>
          </w:p>
        </w:tc>
        <w:tc>
          <w:tcPr>
            <w:tcW w:w="1967" w:type="dxa"/>
            <w:noWrap w:val="0"/>
            <w:vAlign w:val="center"/>
          </w:tcPr>
          <w:p ns2:paraId="1A40924C">
            <w:pPr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ns2:paraId="5EB2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6936047F">
            <w:pPr>
              <w:jc w:val="center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10</w:t>
            </w:r>
          </w:p>
        </w:tc>
        <w:tc>
          <w:tcPr>
            <w:tcW w:w="5366" w:type="dxa"/>
            <w:noWrap w:val="0"/>
            <w:vAlign w:val="center"/>
          </w:tcPr>
          <w:p ns2:paraId="074A9344">
            <w:pPr>
              <w:spacing w:line="0" w:lineRule="atLeast"/>
              <w:jc w:val="both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21CC8B7F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E11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65247F5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11</w:t>
            </w:r>
          </w:p>
        </w:tc>
        <w:tc>
          <w:tcPr>
            <w:tcW w:w="5366" w:type="dxa"/>
            <w:noWrap w:val="0"/>
            <w:vAlign w:val="center"/>
          </w:tcPr>
          <w:p ns2:paraId="0EF7F707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7F20E371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3CBF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4A92B5A0">
            <w:pPr>
              <w:jc w:val="center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5366" w:type="dxa"/>
            <w:noWrap w:val="0"/>
            <w:vAlign w:val="center"/>
          </w:tcPr>
          <w:p ns2:paraId="2B62561B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13F8BB7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7220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31BE7FFF">
            <w:pPr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5366" w:type="dxa"/>
            <w:noWrap w:val="0"/>
            <w:vAlign w:val="center"/>
          </w:tcPr>
          <w:p ns2:paraId="18B0FCAD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5584123A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9B3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2B2FE8FB">
            <w:pPr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5366" w:type="dxa"/>
            <w:noWrap w:val="0"/>
            <w:vAlign w:val="center"/>
          </w:tcPr>
          <w:p ns2:paraId="6817B12A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0B03A4D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</w:tbl>
    <w:p ns2:paraId="4DC1487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jc w:val="center"/>
        <w:textAlignment w:val="auto"/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sectPr>
          <w:headerReference ns3:id="rId3" w:type="default"/>
          <w:footerReference ns3:id="rId4" w:type="default"/>
          <w:pgSz w:w="11905" w:h="16836"/>
          <w:pgMar w:top="1655" w:right="1327" w:bottom="1400" w:left="1327" w:header="1356" w:footer="1225" w:gutter="0"/>
          <w:paperSrc/>
          <w:pgNumType w:fmt="decimal" w:start="1"/>
          <w:cols w:space="720" w:num="1"/>
          <w:rtlGutter w:val="0"/>
          <w:docGrid w:linePitch="0" w:charSpace="0"/>
        </w:sectPr>
      </w:pPr>
    </w:p>
    <w:p ns2:paraId="2DA5B3E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jc w:val="center"/>
        <w:textAlignment w:val="auto"/>
      </w:pP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一、XXX公司</w:t>
      </w: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40"/>
          <w:szCs w:val="22"/>
        </w:rPr>
        <w:t>气象灾害防御</w:t>
      </w:r>
      <w:r>
        <w:rPr>
          <w:rFonts w:hint="eastAsia" w:ascii="微软雅黑" w:hAnsi="微软雅黑" w:eastAsia="微软雅黑" w:cs="微软雅黑"/>
          <w:sz w:val="40"/>
          <w:szCs w:val="2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防雷</w:t>
      </w:r>
      <w:r>
        <w:rPr>
          <w:rFonts w:hint="eastAsia" w:ascii="微软雅黑" w:hAnsi="微软雅黑" w:eastAsia="微软雅黑" w:cs="微软雅黑"/>
          <w:sz w:val="40"/>
          <w:szCs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40"/>
          <w:szCs w:val="22"/>
        </w:rPr>
        <w:t>重点单位风险评估报告</w:t>
      </w:r>
    </w:p>
    <w:p ns2:paraId="514BFABA">
      <w:pPr>
        <w:pStyle w:val="3"/>
        <w:bidi w:val="0"/>
        <w:jc w:val="center"/>
      </w:pPr>
      <w:r>
        <w:t>第一章：编制目的</w:t>
      </w:r>
    </w:p>
    <w:p ns2:paraId="1A8B4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为防止和减少因雷电灾害造成的损失，保障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企业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财产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与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员工生命安全，确保生产装置、储设施及建（构）筑物的安全运行，依据国家相关法律法规及技术标准，特开展本次雷电灾害风险评估。本次评估旨在：</w:t>
      </w:r>
    </w:p>
    <w:p ns2:paraId="1B40B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识别风险：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科学识别和评估厂区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及重点部分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因雷击可能引发的火灾、爆炸、人员伤亡、设备损坏及生产中断等潜在风险。</w:t>
      </w:r>
    </w:p>
    <w:p ns2:paraId="11FF23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确定等级：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确定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重点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区域的雷电灾害风险等级，为采取针对性的防护措施提供科学依据。</w:t>
      </w:r>
    </w:p>
    <w:p ns2:paraId="6861FE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指导防护：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提出经济、合理、有效的雷电防护措施和风险管理建议，完善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气象（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防雷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安全管理制度。</w:t>
      </w:r>
    </w:p>
    <w:p ns2:paraId="210FDF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落实责任：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强化企业安全生产主体责任，提升对自然灾害的预防和应对能力。</w:t>
      </w:r>
    </w:p>
    <w:p ns2:paraId="2F96FEA5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第二章：编制依据</w:t>
      </w:r>
    </w:p>
    <w:p ns2:paraId="661F3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本报告的编制主要依据以下法律法规和技术标准：</w:t>
      </w:r>
    </w:p>
    <w:p ns2:paraId="2C70F3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《中华人民共和国安全生产法》​​</w:t>
      </w:r>
    </w:p>
    <w:p ns2:paraId="412F35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《中华人民共和国气象法》​​</w:t>
      </w:r>
    </w:p>
    <w:p ns2:paraId="439949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《防雷减灾管理办法》（中国气象局令第24号）</w:t>
      </w:r>
    </w:p>
    <w:p ns2:paraId="5E7471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《危险化学品安全管理条例》</w:t>
      </w:r>
    </w:p>
    <w:p ns2:paraId="443F01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5、《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危险化学品重大危险源辨识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18218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2868C3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6、《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建筑设计防火规范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50016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-2023)</w:t>
      </w:r>
    </w:p>
    <w:p ns2:paraId="172314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7、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《建筑物防雷设计规范》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50057-20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22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​​</w:t>
      </w:r>
    </w:p>
    <w:p ns2:paraId="1EDE6D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8、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《建筑物电子信息系统防雷技术规范》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50343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19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663ED5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9、《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建筑物雷电防护装置检测技术规范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GB/T 21431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-2023)</w:t>
      </w:r>
    </w:p>
    <w:p ns2:paraId="010404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10、《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雷电灾害应急处置规范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GB/T 34312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-2022)</w:t>
      </w:r>
    </w:p>
    <w:p ns2:paraId="2FA827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11、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《石油与石油设施雷电安全规范》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15599-2009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62FD97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12、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《雷电灾害风险评估技术规范》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QX/T 85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2018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2B192E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13、《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防雷安全风险分级管控要求  油库、气库建设工程和场所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X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/T 738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2024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4E8C650F">
      <w:pPr>
        <w:bidi w:val="0"/>
        <w:spacing w:line="360" w:lineRule="auto"/>
        <w:ind w:firstLine="640" w:firstLineChars="200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14、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sz w:val="32"/>
          <w:szCs w:val="32"/>
        </w:rPr>
        <w:t>防雷安全风险分级管控要求   雷电易发区内旅游景点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》（</w:t>
      </w:r>
      <w:r>
        <w:rPr>
          <w:rFonts w:hint="eastAsia" w:ascii="仿宋" w:hAnsi="仿宋" w:eastAsia="仿宋" w:cs="仿宋"/>
          <w:sz w:val="32"/>
          <w:szCs w:val="32"/>
        </w:rPr>
        <w:t>Q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 w:cs="仿宋"/>
          <w:sz w:val="32"/>
          <w:szCs w:val="32"/>
        </w:rPr>
        <w:t>/T 742—2024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ns2:paraId="118498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15、《防雷安全重点单位雷电灾害防御工作指南》（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X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/T 694—2023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）</w:t>
      </w:r>
    </w:p>
    <w:p ns2:paraId="3684D8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16、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其他相关的地方性法规及行业标准。​</w:t>
      </w:r>
      <w:r>
        <w:rPr>
          <w:rFonts w:hint="default" w:ascii="Segoe UI" w:hAnsi="Segoe UI" w:eastAsia="Segoe UI" w:cs="Segoe UI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54DC5086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第三章：评估方法</w:t>
      </w:r>
    </w:p>
    <w:p ns2:paraId="0F78CE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本次评估采用</w:t>
      </w:r>
      <w:r>
        <w:rPr>
          <w:rStyle w:val="12"/>
          <w:rFonts w:hint="eastAsia" w:ascii="仿宋" w:hAnsi="仿宋" w:eastAsia="仿宋" w:cs="仿宋"/>
          <w:b/>
          <w:bCs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风险矩阵法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与</w:t>
      </w:r>
      <w:r>
        <w:rPr>
          <w:rStyle w:val="12"/>
          <w:rFonts w:hint="eastAsia" w:ascii="仿宋" w:hAnsi="仿宋" w:eastAsia="仿宋" w:cs="仿宋"/>
          <w:b/>
          <w:bCs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现场勘查法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相结合的综合评估方法。</w:t>
      </w:r>
    </w:p>
    <w:p ns2:paraId="41C124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一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风险矩阵法：​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7EF200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风险（R）计算：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 xml:space="preserve">R = L ×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S</w:t>
      </w:r>
    </w:p>
    <w:p ns2:paraId="231A0E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L（雷击可能性）：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根据当地气象部门提供的年平均雷暴日数、厂区地理位置、周边环境及建（构）筑物特性，评估雷击事件发生的可能性等级（可分为：极少、可能、较大可能、频繁）。</w:t>
      </w:r>
    </w:p>
    <w:p ns2:paraId="6DF2D0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S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（后果严重性）：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分析一旦发生雷击，可能造成的人员伤亡、财产损失、环境影响和生产中断的严重程度等级（可分为：轻微、一般、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、重大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特大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）。</w:t>
      </w:r>
    </w:p>
    <w:p ns2:paraId="2C1AC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将可能性和严重性等级代入风险矩阵，确定风险等级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（低风险、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较低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中等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较高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高风险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）。</w:t>
      </w:r>
    </w:p>
    <w:p ns2:paraId="6F2140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（二）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检查表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法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：</w:t>
      </w:r>
    </w:p>
    <w:p ns2:paraId="3BB228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通过对该企业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进行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核对与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重点检查：</w:t>
      </w:r>
    </w:p>
    <w:p ns2:paraId="6F4A23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现有防雷装置（接闪器、引下线、接地装置）的完好性和有效性。</w:t>
      </w:r>
    </w:p>
    <w:p ns2:paraId="6F5DFC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易燃易爆场所（储罐区、生产装置区）的防静电、等电位连接情况。</w:t>
      </w:r>
    </w:p>
    <w:p ns2:paraId="7B1143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电气、仪表及信息系统的电涌保护器（SPD）配置情况。</w:t>
      </w:r>
    </w:p>
    <w:p ns2:paraId="0D2244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安全管理制度的建立与执行情况。</w:t>
      </w:r>
    </w:p>
    <w:p ns2:paraId="24134B69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4、核对防雷装置（设施）检测情况、防雷安全管理制度建立及执行情况等。</w:t>
      </w:r>
    </w:p>
    <w:p ns2:paraId="58731A4D"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 xml:space="preserve">    5、现场检查核对防雷安全管理制度、应急管理体系等建立及执行情况等。</w:t>
      </w:r>
    </w:p>
    <w:p ns2:paraId="2361E33D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第四章：企业概况与现场勘查情况</w:t>
      </w:r>
    </w:p>
    <w:p ns2:paraId="160DD0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企业概况：​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067E11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公司名称：XX化工有限公司</w:t>
      </w:r>
    </w:p>
    <w:p ns2:paraId="382AC1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主要危险化学品：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苯、丙烯、液化石油气等。</w:t>
      </w:r>
    </w:p>
    <w:p ns2:paraId="25E287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主要设施：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原料储罐区、生产装置区、成品仓库、中央控制室、配电房等。</w:t>
      </w:r>
    </w:p>
    <w:p ns2:paraId="23F67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地理位置：位于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深圳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地区，属多雷暴区域，年平均雷暴日为</w:t>
      </w:r>
      <w:r>
        <w:rPr>
          <w:rFonts w:hint="eastAsia" w:ascii="仿宋" w:hAnsi="仿宋" w:eastAsia="仿宋" w:cs="仿宋"/>
          <w:i w:val="0"/>
          <w:iCs w:val="0"/>
          <w:caps w:val="0"/>
          <w:color w:val="C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70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天。</w:t>
      </w:r>
    </w:p>
    <w:p ns2:paraId="63C169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检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查情况：​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443814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储罐区：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设有独立避雷针，接地电阻经检测为8Ω（略高于规范要求的≤10Ω）。呼吸阀、量油孔等金属部件未全部进行等电位连接。</w:t>
      </w:r>
    </w:p>
    <w:p ns2:paraId="0DE902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生产装置区：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框架结构利用自身金属体作为接闪器，但部分引下线有锈蚀现象。部分仪表线缆屏蔽层接地不完善。</w:t>
      </w:r>
    </w:p>
    <w:p ns2:paraId="363390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中央控制室（DCS系统）：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电源进线端已安装第一级SPD，但大部分重要控制柜未安装第二级SPD。机房接地与建筑主接地连接良好。</w:t>
      </w:r>
    </w:p>
    <w:p ns2:paraId="22B64B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配电房：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高压进线有阀式避雷器，低压总配电柜安装了SPD，但部分分配电箱未设置SPD。</w:t>
      </w:r>
    </w:p>
    <w:p ns2:paraId="01D22A79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第五章：雷电灾害风险识别与评估</w:t>
      </w:r>
    </w:p>
    <w:p ns2:paraId="00652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根据评估方法，对该公司重点区域的风险评估结果如下：</w:t>
      </w:r>
    </w:p>
    <w:tbl>
      <w:tblPr>
        <w:tblStyle w:val="10"/>
        <w:tblW w:w="96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6"/>
        <w:gridCol w:w="1303"/>
        <w:gridCol w:w="1367"/>
        <w:gridCol w:w="1203"/>
        <w:gridCol w:w="4429"/>
      </w:tblGrid>
      <w:tr ns2:paraId="3278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4" w:hRule="atLeast"/>
          <w:jc w:val="center"/>
        </w:trPr>
        <w:tc>
          <w:tcPr>
            <w:tcW w:w="1356" w:type="dxa"/>
            <w:noWrap w:val="0"/>
            <w:vAlign w:val="center"/>
          </w:tcPr>
          <w:p ns2:paraId="25076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评估单元</w:t>
            </w:r>
          </w:p>
        </w:tc>
        <w:tc>
          <w:tcPr>
            <w:tcW w:w="1303" w:type="dxa"/>
            <w:noWrap w:val="0"/>
            <w:vAlign w:val="center"/>
          </w:tcPr>
          <w:p ns2:paraId="42B84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雷击可能性（L）</w:t>
            </w:r>
          </w:p>
        </w:tc>
        <w:tc>
          <w:tcPr>
            <w:tcW w:w="1367" w:type="dxa"/>
            <w:noWrap w:val="0"/>
            <w:vAlign w:val="center"/>
          </w:tcPr>
          <w:p ns2:paraId="42B03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后果严重性（S）</w:t>
            </w:r>
          </w:p>
        </w:tc>
        <w:tc>
          <w:tcPr>
            <w:tcW w:w="1203" w:type="dxa"/>
            <w:noWrap w:val="0"/>
            <w:vAlign w:val="center"/>
          </w:tcPr>
          <w:p ns2:paraId="3F40F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风险等级（R）</w:t>
            </w:r>
          </w:p>
        </w:tc>
        <w:tc>
          <w:tcPr>
            <w:tcW w:w="4429" w:type="dxa"/>
            <w:noWrap w:val="0"/>
            <w:vAlign w:val="center"/>
          </w:tcPr>
          <w:p ns2:paraId="36DD2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主要风险分析</w:t>
            </w:r>
          </w:p>
        </w:tc>
      </w:tr>
      <w:tr ns2:paraId="73BB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7" w:hRule="atLeast"/>
          <w:jc w:val="center"/>
        </w:trPr>
        <w:tc>
          <w:tcPr>
            <w:tcW w:w="1356" w:type="dxa"/>
            <w:noWrap w:val="0"/>
            <w:vAlign w:val="center"/>
          </w:tcPr>
          <w:p ns2:paraId="42D0F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储罐区</w:t>
            </w:r>
          </w:p>
        </w:tc>
        <w:tc>
          <w:tcPr>
            <w:tcW w:w="1303" w:type="dxa"/>
            <w:noWrap w:val="0"/>
            <w:vAlign w:val="center"/>
          </w:tcPr>
          <w:p ns2:paraId="663F8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65047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特大</w:t>
            </w:r>
          </w:p>
        </w:tc>
        <w:tc>
          <w:tcPr>
            <w:tcW w:w="1203" w:type="dxa"/>
            <w:noWrap w:val="0"/>
            <w:vAlign w:val="center"/>
          </w:tcPr>
          <w:p ns2:paraId="154A4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高风险</w:t>
            </w:r>
          </w:p>
        </w:tc>
        <w:tc>
          <w:tcPr>
            <w:tcW w:w="4429" w:type="dxa"/>
            <w:noWrap w:val="0"/>
            <w:vAlign w:val="center"/>
          </w:tcPr>
          <w:p ns2:paraId="18725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雷击可能直接击中储罐或呼吸阀，产生火花，引燃挥发的可燃气体，导致灾难性火灾爆炸。接地电阻偏高、等电位连接不完善加剧了风险。</w:t>
            </w:r>
          </w:p>
        </w:tc>
      </w:tr>
      <w:tr ns2:paraId="5D9B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1A422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生产装置区</w:t>
            </w:r>
          </w:p>
        </w:tc>
        <w:tc>
          <w:tcPr>
            <w:tcW w:w="1303" w:type="dxa"/>
            <w:noWrap w:val="0"/>
            <w:vAlign w:val="center"/>
          </w:tcPr>
          <w:p ns2:paraId="321FF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36273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重大</w:t>
            </w:r>
          </w:p>
        </w:tc>
        <w:tc>
          <w:tcPr>
            <w:tcW w:w="1203" w:type="dxa"/>
            <w:noWrap w:val="0"/>
            <w:vAlign w:val="center"/>
          </w:tcPr>
          <w:p ns2:paraId="3DB9B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较高风险</w:t>
            </w:r>
          </w:p>
        </w:tc>
        <w:tc>
          <w:tcPr>
            <w:tcW w:w="4429" w:type="dxa"/>
            <w:noWrap w:val="0"/>
            <w:vAlign w:val="center"/>
          </w:tcPr>
          <w:p ns2:paraId="06AF2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雷击可能损坏生产设备，导致有毒有害物质泄漏或非计划停产。雷击电磁脉冲可能干扰或损坏控制系统，引发误动作。</w:t>
            </w:r>
          </w:p>
        </w:tc>
      </w:tr>
      <w:tr ns2:paraId="1E0B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6D4B0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中央控制室</w:t>
            </w:r>
          </w:p>
        </w:tc>
        <w:tc>
          <w:tcPr>
            <w:tcW w:w="1303" w:type="dxa"/>
            <w:noWrap w:val="0"/>
            <w:vAlign w:val="center"/>
          </w:tcPr>
          <w:p ns2:paraId="58551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3C8E4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重大</w:t>
            </w:r>
          </w:p>
        </w:tc>
        <w:tc>
          <w:tcPr>
            <w:tcW w:w="1203" w:type="dxa"/>
            <w:noWrap w:val="0"/>
            <w:vAlign w:val="center"/>
          </w:tcPr>
          <w:p ns2:paraId="083FC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较高风险</w:t>
            </w:r>
          </w:p>
        </w:tc>
        <w:tc>
          <w:tcPr>
            <w:tcW w:w="4429" w:type="dxa"/>
            <w:noWrap w:val="0"/>
            <w:vAlign w:val="center"/>
          </w:tcPr>
          <w:p ns2:paraId="3B11C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雷击电磁脉冲可能通过电源线、信号线侵入，损坏精密的DCS、SIS系统，导致全厂生产瘫痪，甚至引发安全事故。</w:t>
            </w:r>
          </w:p>
        </w:tc>
      </w:tr>
      <w:tr ns2:paraId="49FE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5A9D7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成品（中间）仓</w:t>
            </w:r>
          </w:p>
        </w:tc>
        <w:tc>
          <w:tcPr>
            <w:tcW w:w="1303" w:type="dxa"/>
            <w:noWrap w:val="0"/>
            <w:vAlign w:val="center"/>
          </w:tcPr>
          <w:p ns2:paraId="76E3D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26843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严重</w:t>
            </w:r>
          </w:p>
        </w:tc>
        <w:tc>
          <w:tcPr>
            <w:tcW w:w="1203" w:type="dxa"/>
            <w:noWrap w:val="0"/>
            <w:vAlign w:val="center"/>
          </w:tcPr>
          <w:p ns2:paraId="7C78F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中等风险</w:t>
            </w:r>
          </w:p>
        </w:tc>
        <w:tc>
          <w:tcPr>
            <w:tcW w:w="4429" w:type="dxa"/>
            <w:noWrap w:val="0"/>
            <w:vAlign w:val="center"/>
          </w:tcPr>
          <w:p ns2:paraId="144FE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存放的为包装成品，风险相对较低，但雷击引发的火灾仍可能造成较大财产损失。</w:t>
            </w:r>
          </w:p>
        </w:tc>
      </w:tr>
      <w:tr ns2:paraId="5B5B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1356" w:type="dxa"/>
            <w:noWrap w:val="0"/>
            <w:vAlign w:val="center"/>
          </w:tcPr>
          <w:p ns2:paraId="01D20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一般办公区</w:t>
            </w:r>
          </w:p>
        </w:tc>
        <w:tc>
          <w:tcPr>
            <w:tcW w:w="1303" w:type="dxa"/>
            <w:noWrap w:val="0"/>
            <w:vAlign w:val="center"/>
          </w:tcPr>
          <w:p ns2:paraId="5688C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极少</w:t>
            </w:r>
          </w:p>
        </w:tc>
        <w:tc>
          <w:tcPr>
            <w:tcW w:w="1367" w:type="dxa"/>
            <w:noWrap w:val="0"/>
            <w:vAlign w:val="center"/>
          </w:tcPr>
          <w:p ns2:paraId="42E65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轻微</w:t>
            </w:r>
          </w:p>
        </w:tc>
        <w:tc>
          <w:tcPr>
            <w:tcW w:w="1203" w:type="dxa"/>
            <w:noWrap w:val="0"/>
            <w:vAlign w:val="center"/>
          </w:tcPr>
          <w:p ns2:paraId="4523D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低风险</w:t>
            </w:r>
          </w:p>
        </w:tc>
        <w:tc>
          <w:tcPr>
            <w:tcW w:w="4429" w:type="dxa"/>
            <w:noWrap w:val="0"/>
            <w:vAlign w:val="center"/>
          </w:tcPr>
          <w:p ns2:paraId="0A7DA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风险可接受。</w:t>
            </w:r>
          </w:p>
        </w:tc>
      </w:tr>
    </w:tbl>
    <w:p ns2:paraId="17B746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line="360" w:lineRule="auto"/>
        <w:ind w:lef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综合评估结论：该公司雷电灾害总体风险水平为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较高风险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，其中原料储罐区为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高风险区域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，是安全管理的重中之重。</w:t>
      </w:r>
    </w:p>
    <w:p ns2:paraId="52EE0204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第六章：风险管理与控制措施​</w:t>
      </w:r>
    </w:p>
    <w:p ns2:paraId="78FD43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line="24" w:lineRule="atLeast"/>
        <w:ind w:left="0" w:firstLine="640" w:firstLineChars="20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针对上述风险评估结果，提出以下风险管理措施：</w:t>
      </w:r>
    </w:p>
    <w:p ns2:paraId="599BBF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（一） 技术措施（工程控制）</w:t>
      </w:r>
    </w:p>
    <w:p ns2:paraId="68A239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1、完善直击雷防护：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4EDF02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（1）立即对储罐区接地网进行改造，确保接地电阻值≤10Ω。</w:t>
      </w:r>
    </w:p>
    <w:p ns2:paraId="0C4705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（2）对储罐的所有金属附件（呼吸阀、量油孔、护栏）进行可靠的等电位连接。</w:t>
      </w:r>
    </w:p>
    <w:p ns2:paraId="0B9DDA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（3）对生产装置区锈蚀的引下线进行更换或防腐处理。</w:t>
      </w:r>
    </w:p>
    <w:p ns2:paraId="56D960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2、强化雷电电磁脉冲防护：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0705CF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（1）在中央控制室的重要机柜、配电房的分配电箱补充安装第二级、第三级电涌保护器（SPD），形成分级防护。</w:t>
      </w:r>
    </w:p>
    <w:p ns2:paraId="4BD379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（2）对所有进入控制室的信号线、通信线加装专用的信号SPD。</w:t>
      </w:r>
    </w:p>
    <w:p ns2:paraId="045332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（3）检查并完善仪表线缆的屏蔽接地。</w:t>
      </w:r>
    </w:p>
    <w:p ns2:paraId="5C7EBF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3、规范防静电措施：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71DBBB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定期检测储罐、管道、设备的静电接地，确保电阻值符合规范。</w:t>
      </w:r>
    </w:p>
    <w:p ns2:paraId="743FD5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（二） 管理措施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</w:t>
      </w:r>
    </w:p>
    <w:p ns2:paraId="4A6C56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1、健全制度：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修订《防雷防静电安全管理制度》，明确各部门职责、日常巡查、定期检测、维护保养要求。</w:t>
      </w:r>
    </w:p>
    <w:p ns2:paraId="5C08F6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2、应急响应：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完善《气象（雷电）灾害专项应急预案》，并定期组织演练。确保在雷暴预警时，能迅速启动应急程序，必要时停止高危作业。</w:t>
      </w:r>
    </w:p>
    <w:p ns2:paraId="087109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3、检测与档案：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委托具备资质的防雷检测机构，每年雷雨季节前对全厂防雷装置进行一次全面检测，并建立完整的技术档案。</w:t>
      </w:r>
    </w:p>
    <w:p ns2:paraId="3BDC3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4、培训教育：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定期对员工，特别是重点岗位员工进行防雷防静电安全知识培训，提高风险意识。</w:t>
      </w:r>
    </w:p>
    <w:p ns2:paraId="1CFC572C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第七章：结论与建议</w:t>
      </w:r>
    </w:p>
    <w:p ns2:paraId="06EBA7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1、结论：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该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公司面临的雷电灾害风险不容忽视，尤其是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highlight w:val="yellow"/>
          <w:shd w:val="clear" w:color="auto" w:fill="FFFFFF"/>
          <w:vertAlign w:val="baseline"/>
          <w:lang w:val="en-US" w:eastAsia="zh-CN" w:bidi="ar"/>
        </w:rPr>
        <w:t>原料储罐区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存在发生重大事故的潜在风险，必须立即采取有效措施进行整改。</w:t>
      </w:r>
    </w:p>
    <w:p ns2:paraId="625FD4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2、建议：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73CBB9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（1）立即整改：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优先处理储罐区的接地和等电位连接问题，限期完成。</w:t>
      </w:r>
    </w:p>
    <w:p ns2:paraId="38FA8E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（2）分批实施：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制定整改计划，分批对生产装置区、控制室的雷电电磁脉冲防护进行完善。</w:t>
      </w:r>
    </w:p>
    <w:p ns2:paraId="328AB0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（3）投入保障：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确保防雷设施改造和维护的专项资金投入。</w:t>
      </w:r>
    </w:p>
    <w:p ns2:paraId="5591C9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（4）持续改进：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将雷电风险管理纳入企业HSE管理体系，实现动态化、常态化管理。</w:t>
      </w:r>
    </w:p>
    <w:p ns2:paraId="634CBC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附件1：企业基础信息收集表</w:t>
      </w:r>
    </w:p>
    <w:p ns2:paraId="1A5167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附件2：气象灾害（防雷）重点单位风险评估法</w:t>
      </w:r>
    </w:p>
    <w:p ns2:paraId="64E8C3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附件3：气象灾害（防雷）重点单位隐患排查表</w:t>
      </w:r>
    </w:p>
    <w:p ns2:paraId="4A8E3D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附件4：现场检查与核对照片</w:t>
      </w:r>
    </w:p>
    <w:p ns2:paraId="6237A2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附件5：气象灾害防御（防雷）重点单位风险分类分级管控清单</w:t>
      </w:r>
    </w:p>
    <w:p ns2:paraId="1880D6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附件6：风险四色图</w:t>
      </w:r>
    </w:p>
    <w:p ns2:paraId="1E3619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附件7：气象灾害防御（防雷）重点单位安全隐患排查及整改措施记录</w:t>
      </w:r>
    </w:p>
    <w:p ns2:paraId="2E0B42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附件8：气象灾害防御（防雷）重点单位安全隐患复查记录</w:t>
      </w:r>
    </w:p>
    <w:p ns2:paraId="149C05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CF26D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4800" w:firstLineChars="1500"/>
        <w:jc w:val="both"/>
        <w:textAlignment w:val="baseline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深圳市全民安全生产研究院</w:t>
      </w:r>
    </w:p>
    <w:p ns2:paraId="235A3D4D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                                   2026年10月</w:t>
      </w:r>
    </w:p>
    <w:p ns2:paraId="65C3449B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4D7018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B3F488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EC0C0D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5FB565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B44043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A95791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54E2748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80C9CD4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E5A339B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F6056BC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53C37F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897422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265415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ACAC25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BC5F33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5D4487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23D5384F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91F793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F5EB851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365DE2C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5C04403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2092706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D39FB7">
      <w:pPr>
        <w:pStyle w:val="6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5F2B152">
      <w:pPr>
        <w:bidi w:val="0"/>
        <w:rPr>
          <w:rFonts w:hint="eastAsia"/>
          <w:lang w:val="en-US" w:eastAsia="zh-CN"/>
        </w:rPr>
      </w:pPr>
    </w:p>
    <w:p ns2:paraId="074280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textAlignment w:val="auto"/>
        <w:rPr>
          <w:rFonts w:hint="eastAsia"/>
        </w:rPr>
      </w:pPr>
      <w:r>
        <w:rPr>
          <w:rFonts w:hint="eastAsia"/>
          <w:sz w:val="32"/>
          <w:szCs w:val="20"/>
          <w:lang w:val="en-US" w:eastAsia="zh-CN"/>
        </w:rPr>
        <w:t>附件1：</w:t>
      </w:r>
      <w:r>
        <w:rPr>
          <w:rFonts w:hint="eastAsia"/>
          <w:sz w:val="32"/>
          <w:szCs w:val="20"/>
        </w:rPr>
        <w:t>企业基础信息收集表</w:t>
      </w:r>
    </w:p>
    <w:p ns2:paraId="64594651">
      <w:pPr>
        <w:bidi w:val="0"/>
        <w:spacing w:line="360" w:lineRule="auto"/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 w:ascii="黑体" w:hAnsi="黑体" w:eastAsia="黑体" w:cs="黑体"/>
          <w:b/>
          <w:bCs/>
          <w:sz w:val="40"/>
          <w:szCs w:val="48"/>
        </w:rPr>
        <w:t>企业基础信息收集表</w:t>
      </w:r>
    </w:p>
    <w:p ns2:paraId="79F23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仿宋_GB2312" w:hAnsi="黑体" w:eastAsia="仿宋_GB2312"/>
          <w:color w:val="auto"/>
          <w:sz w:val="28"/>
          <w:szCs w:val="28"/>
          <w:u w:val="single"/>
          <w:lang w:val="en-US"/>
        </w:rPr>
      </w:pPr>
      <w:r>
        <w:rPr>
          <w:rFonts w:hint="eastAsia" w:ascii="仿宋_GB2312" w:hAnsi="黑体" w:eastAsia="仿宋_GB2312"/>
          <w:color w:val="auto"/>
          <w:sz w:val="28"/>
          <w:szCs w:val="28"/>
        </w:rPr>
        <w:t>检查日期：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  <w:lang w:val="en-US" w:eastAsia="zh-CN"/>
        </w:rPr>
        <w:t>2026.06.09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 </w:t>
      </w:r>
      <w:r>
        <w:rPr>
          <w:rFonts w:hint="eastAsia" w:ascii="仿宋_GB2312" w:hAnsi="黑体" w:eastAsia="仿宋_GB2312"/>
          <w:color w:val="auto"/>
          <w:sz w:val="28"/>
          <w:szCs w:val="28"/>
        </w:rPr>
        <w:t xml:space="preserve">      </w:t>
      </w:r>
      <w:r>
        <w:rPr>
          <w:rFonts w:hint="eastAsia" w:ascii="仿宋_GB2312" w:hAnsi="黑体" w:eastAsia="仿宋_GB2312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黑体" w:eastAsia="仿宋_GB2312"/>
          <w:color w:val="auto"/>
          <w:sz w:val="28"/>
          <w:szCs w:val="28"/>
        </w:rPr>
        <w:t>检查人：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  <w:lang w:val="en-US" w:eastAsia="zh-CN"/>
        </w:rPr>
        <w:t xml:space="preserve">  陈正龙、陈春兰           </w:t>
      </w:r>
    </w:p>
    <w:tbl>
      <w:tblPr>
        <w:tblStyle w:val="9"/>
        <w:tblW w:w="538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84"/>
        <w:gridCol w:w="1337"/>
        <w:gridCol w:w="1641"/>
        <w:gridCol w:w="1684"/>
        <w:gridCol w:w="1568"/>
        <w:gridCol w:w="1466"/>
        <w:gridCol w:w="1686"/>
      </w:tblGrid>
      <w:tr ns2:paraId="0BE3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313" w:type="pct"/>
            <w:vMerge w:val="restart"/>
            <w:noWrap w:val="0"/>
            <w:vAlign w:val="center"/>
          </w:tcPr>
          <w:p ns2:paraId="3DB89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基本</w:t>
            </w:r>
          </w:p>
          <w:p ns2:paraId="4DD98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情况</w:t>
            </w:r>
          </w:p>
        </w:tc>
        <w:tc>
          <w:tcPr>
            <w:tcW w:w="1549" w:type="pct"/>
            <w:gridSpan w:val="3"/>
            <w:noWrap w:val="0"/>
            <w:vAlign w:val="center"/>
          </w:tcPr>
          <w:p ns2:paraId="51D4F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单位名称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696C5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深圳市欣峰热处理有限公司</w:t>
            </w:r>
          </w:p>
        </w:tc>
      </w:tr>
      <w:tr ns2:paraId="2CAF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3F18B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49" w:type="pct"/>
            <w:gridSpan w:val="3"/>
            <w:noWrap w:val="0"/>
            <w:vAlign w:val="center"/>
          </w:tcPr>
          <w:p ns2:paraId="7A672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单位地址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7CD3A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深圳市宝安区燕罗街道塘下涌社区水泉路38号嘉业合成科创园c区一楼中间</w:t>
            </w:r>
          </w:p>
        </w:tc>
      </w:tr>
      <w:tr ns2:paraId="510F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1D7DF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01464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法定代表人</w:t>
            </w:r>
          </w:p>
          <w:p ns2:paraId="2D89A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(负责人)</w:t>
            </w:r>
          </w:p>
        </w:tc>
        <w:tc>
          <w:tcPr>
            <w:tcW w:w="804" w:type="pct"/>
            <w:noWrap w:val="0"/>
            <w:vAlign w:val="center"/>
          </w:tcPr>
          <w:p ns2:paraId="0EA09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曾啸</w:t>
            </w:r>
          </w:p>
        </w:tc>
        <w:tc>
          <w:tcPr>
            <w:tcW w:w="824" w:type="pct"/>
            <w:noWrap w:val="0"/>
            <w:vAlign w:val="center"/>
          </w:tcPr>
          <w:p ns2:paraId="283EA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应急联系人</w:t>
            </w:r>
          </w:p>
        </w:tc>
        <w:tc>
          <w:tcPr>
            <w:tcW w:w="768" w:type="pct"/>
            <w:noWrap w:val="0"/>
            <w:vAlign w:val="center"/>
          </w:tcPr>
          <w:p ns2:paraId="0ABA1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谢志强</w:t>
            </w:r>
          </w:p>
        </w:tc>
        <w:tc>
          <w:tcPr>
            <w:tcW w:w="718" w:type="pct"/>
            <w:noWrap w:val="0"/>
            <w:vAlign w:val="center"/>
          </w:tcPr>
          <w:p ns2:paraId="0AD72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安全员</w:t>
            </w:r>
          </w:p>
        </w:tc>
        <w:tc>
          <w:tcPr>
            <w:tcW w:w="825" w:type="pct"/>
            <w:noWrap w:val="0"/>
            <w:vAlign w:val="center"/>
          </w:tcPr>
          <w:p ns2:paraId="34CC8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黄金生</w:t>
            </w:r>
          </w:p>
        </w:tc>
      </w:tr>
      <w:tr ns2:paraId="3761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162B5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34F84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04" w:type="pct"/>
            <w:noWrap w:val="0"/>
            <w:vAlign w:val="center"/>
          </w:tcPr>
          <w:p ns2:paraId="66AE6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13824311607</w:t>
            </w:r>
          </w:p>
        </w:tc>
        <w:tc>
          <w:tcPr>
            <w:tcW w:w="824" w:type="pct"/>
            <w:noWrap w:val="0"/>
            <w:vAlign w:val="center"/>
          </w:tcPr>
          <w:p ns2:paraId="1BBAF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768" w:type="pct"/>
            <w:noWrap w:val="0"/>
            <w:vAlign w:val="center"/>
          </w:tcPr>
          <w:p ns2:paraId="541B4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13424377203</w:t>
            </w:r>
          </w:p>
        </w:tc>
        <w:tc>
          <w:tcPr>
            <w:tcW w:w="718" w:type="pct"/>
            <w:noWrap w:val="0"/>
            <w:vAlign w:val="center"/>
          </w:tcPr>
          <w:p ns2:paraId="5C84C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25" w:type="pct"/>
            <w:noWrap w:val="0"/>
            <w:vAlign w:val="center"/>
          </w:tcPr>
          <w:p ns2:paraId="59E20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13530567761</w:t>
            </w:r>
          </w:p>
        </w:tc>
      </w:tr>
      <w:tr ns2:paraId="70C0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0B46F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620F0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经营状态</w:t>
            </w:r>
          </w:p>
        </w:tc>
        <w:tc>
          <w:tcPr>
            <w:tcW w:w="804" w:type="pct"/>
            <w:noWrap w:val="0"/>
            <w:vAlign w:val="center"/>
          </w:tcPr>
          <w:p ns2:paraId="0DCCF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824" w:type="pct"/>
            <w:noWrap w:val="0"/>
            <w:vAlign w:val="center"/>
          </w:tcPr>
          <w:p ns2:paraId="40A86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自查自报工作人员</w:t>
            </w:r>
          </w:p>
        </w:tc>
        <w:tc>
          <w:tcPr>
            <w:tcW w:w="768" w:type="pct"/>
            <w:noWrap w:val="0"/>
            <w:vAlign w:val="center"/>
          </w:tcPr>
          <w:p ns2:paraId="4736F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谢志强</w:t>
            </w:r>
          </w:p>
        </w:tc>
        <w:tc>
          <w:tcPr>
            <w:tcW w:w="718" w:type="pct"/>
            <w:noWrap w:val="0"/>
            <w:vAlign w:val="center"/>
          </w:tcPr>
          <w:p ns2:paraId="03EBD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25" w:type="pct"/>
            <w:noWrap w:val="0"/>
            <w:vAlign w:val="center"/>
          </w:tcPr>
          <w:p ns2:paraId="18E1D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13424377203</w:t>
            </w:r>
          </w:p>
        </w:tc>
      </w:tr>
      <w:tr ns2:paraId="5EE3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62" w:type="pct"/>
            <w:gridSpan w:val="4"/>
            <w:noWrap w:val="0"/>
            <w:vAlign w:val="center"/>
          </w:tcPr>
          <w:p ns2:paraId="421AA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社会统一信用代码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42BC5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91440300MA5G8CKE9L</w:t>
            </w:r>
          </w:p>
        </w:tc>
      </w:tr>
      <w:tr ns2:paraId="3AB4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01003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经纬度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77AAC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东经：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113°50′47″</w:t>
            </w:r>
          </w:p>
        </w:tc>
        <w:tc>
          <w:tcPr>
            <w:tcW w:w="2312" w:type="pct"/>
            <w:gridSpan w:val="3"/>
            <w:noWrap w:val="0"/>
            <w:vAlign w:val="center"/>
          </w:tcPr>
          <w:p ns2:paraId="3E668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北纬：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22°48′19″</w:t>
            </w:r>
          </w:p>
        </w:tc>
      </w:tr>
      <w:tr ns2:paraId="3626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732BA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雷电监测设备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25E68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有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无</w:t>
            </w:r>
          </w:p>
        </w:tc>
        <w:tc>
          <w:tcPr>
            <w:tcW w:w="768" w:type="pct"/>
            <w:noWrap w:val="0"/>
            <w:vAlign w:val="center"/>
          </w:tcPr>
          <w:p ns2:paraId="6BDDC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是否</w:t>
            </w:r>
          </w:p>
          <w:p ns2:paraId="35E4C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正常运行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536AB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正常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非正常</w:t>
            </w:r>
          </w:p>
        </w:tc>
      </w:tr>
      <w:tr ns2:paraId="439B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03" w:type="pct"/>
            <w:gridSpan w:val="2"/>
            <w:vMerge w:val="restart"/>
            <w:noWrap w:val="0"/>
            <w:vAlign w:val="center"/>
          </w:tcPr>
          <w:p ns2:paraId="3C883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存放危险化学品</w:t>
            </w:r>
          </w:p>
        </w:tc>
        <w:tc>
          <w:tcPr>
            <w:tcW w:w="2284" w:type="pct"/>
            <w:gridSpan w:val="3"/>
            <w:noWrap w:val="0"/>
            <w:vAlign w:val="center"/>
          </w:tcPr>
          <w:p ns2:paraId="030AE23D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是 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不涉及</w:t>
            </w:r>
          </w:p>
        </w:tc>
        <w:tc>
          <w:tcPr>
            <w:tcW w:w="768" w:type="pct"/>
            <w:noWrap w:val="0"/>
            <w:vAlign w:val="center"/>
          </w:tcPr>
          <w:p ns2:paraId="29250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危险化学品存放区域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2D940C2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露天储罐/构筑物 </w:t>
            </w:r>
          </w:p>
          <w:p ns2:paraId="1FE6832B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中间仓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埋地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中转仓</w:t>
            </w:r>
          </w:p>
        </w:tc>
      </w:tr>
      <w:tr ns2:paraId="5AC4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403" w:type="pct"/>
            <w:gridSpan w:val="2"/>
            <w:vMerge w:val="continue"/>
            <w:noWrap w:val="0"/>
            <w:vAlign w:val="center"/>
          </w:tcPr>
          <w:p ns2:paraId="14D94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</w:p>
        </w:tc>
        <w:tc>
          <w:tcPr>
            <w:tcW w:w="655" w:type="pct"/>
            <w:noWrap w:val="0"/>
            <w:vAlign w:val="center"/>
          </w:tcPr>
          <w:p ns2:paraId="2B564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危险性类别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0C210AB9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甲类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乙、丙类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丁 、戊类及其他</w:t>
            </w:r>
          </w:p>
        </w:tc>
        <w:tc>
          <w:tcPr>
            <w:tcW w:w="768" w:type="pct"/>
            <w:noWrap w:val="0"/>
            <w:vAlign w:val="center"/>
          </w:tcPr>
          <w:p ns2:paraId="24774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防雷装置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03C13A1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接闪针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接闪带</w:t>
            </w:r>
          </w:p>
          <w:p ns2:paraId="2A95F00C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暗敷</w:t>
            </w:r>
          </w:p>
        </w:tc>
      </w:tr>
      <w:tr ns2:paraId="013E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403" w:type="pct"/>
            <w:gridSpan w:val="2"/>
            <w:vMerge w:val="continue"/>
            <w:noWrap w:val="0"/>
            <w:vAlign w:val="center"/>
          </w:tcPr>
          <w:p ns2:paraId="01DAD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</w:p>
        </w:tc>
        <w:tc>
          <w:tcPr>
            <w:tcW w:w="655" w:type="pct"/>
            <w:noWrap w:val="0"/>
            <w:vAlign w:val="center"/>
          </w:tcPr>
          <w:p ns2:paraId="1E3EE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毒性危害类别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370C79FF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类别1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类别 2 </w:t>
            </w:r>
          </w:p>
          <w:p ns2:paraId="0E50C8E2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类别3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类别 4</w:t>
            </w:r>
          </w:p>
          <w:p ns2:paraId="204C2937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仿宋_GB2312" w:hAnsi="等线" w:eastAsia="仿宋_GB2312" w:cs="等线"/>
                <w:color w:val="C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类别5 及其他</w:t>
            </w:r>
          </w:p>
        </w:tc>
        <w:tc>
          <w:tcPr>
            <w:tcW w:w="768" w:type="pct"/>
            <w:noWrap w:val="0"/>
            <w:vAlign w:val="center"/>
          </w:tcPr>
          <w:p ns2:paraId="5130A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危险工艺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4D955F05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不涉及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连续操作</w:t>
            </w:r>
          </w:p>
          <w:p ns2:paraId="5078D3DD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间歇操作</w:t>
            </w:r>
          </w:p>
        </w:tc>
      </w:tr>
      <w:tr ns2:paraId="57CF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2BED0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重大危险源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75A5EF84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hint="default" w:eastAsia="仿宋_GB2312"/>
                <w:color w:val="auto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一级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二级  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三级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四级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不涉及</w:t>
            </w:r>
          </w:p>
        </w:tc>
      </w:tr>
      <w:tr ns2:paraId="3AF3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862" w:type="pct"/>
            <w:gridSpan w:val="4"/>
            <w:noWrap w:val="0"/>
            <w:vAlign w:val="center"/>
          </w:tcPr>
          <w:p ns2:paraId="04D69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等线" w:eastAsia="仿宋_GB2312" w:cs="等线"/>
                <w:color w:val="auto"/>
                <w:kern w:val="0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风险单元现场最大人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6E91178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（0-10）人；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（10-30）人；</w:t>
            </w:r>
          </w:p>
          <w:p ns2:paraId="10210EC0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30人及以上</w:t>
            </w:r>
          </w:p>
        </w:tc>
      </w:tr>
      <w:tr ns2:paraId="2926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4F58E9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区域建筑物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020D6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区域建筑物面积：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600㎡  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；2、建筑高度：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4m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</w:t>
            </w:r>
          </w:p>
          <w:p ns2:paraId="3D4B1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3、等效高度：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13m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 4、相对高度：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0m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。</w:t>
            </w:r>
          </w:p>
        </w:tc>
      </w:tr>
      <w:tr ns2:paraId="77AA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295F8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周边地理情况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3C905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地势情况：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  </w:t>
            </w:r>
          </w:p>
          <w:p ns2:paraId="1F121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周边高层建筑物；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临海；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山坡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孤立空旷；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高大树木遮挡；</w:t>
            </w:r>
          </w:p>
          <w:p ns2:paraId="74C40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最近直线距离的公共区域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：</w:t>
            </w:r>
          </w:p>
          <w:p ns2:paraId="2603E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黑体" w:cs="仿宋_GB2312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学校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机场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小区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加（充）油（气）站；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其它 </w:t>
            </w:r>
          </w:p>
        </w:tc>
      </w:tr>
      <w:tr ns2:paraId="7905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38829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是否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有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历史灾情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7953A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  <w:t xml:space="preserve">有 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  <w:t>无</w:t>
            </w:r>
          </w:p>
          <w:p ns2:paraId="07A88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描述内容：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u w:val="none"/>
                <w:lang w:val="en-US" w:eastAsia="zh-CN"/>
              </w:rPr>
              <w:t xml:space="preserve">无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 xml:space="preserve">                                                                                                       </w:t>
            </w:r>
          </w:p>
        </w:tc>
      </w:tr>
    </w:tbl>
    <w:p ns2:paraId="14A612C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附件2：气象灾害防御（防雷）重点单位风险评估法</w:t>
      </w:r>
    </w:p>
    <w:p ns2:paraId="3E02070A">
      <w:pPr>
        <w:bidi w:val="0"/>
        <w:spacing w:line="360" w:lineRule="auto"/>
        <w:jc w:val="center"/>
        <w:rPr>
          <w:rFonts w:hint="default" w:cs="Times New Roman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气象灾害防御（防雷）重点单位风险评估法</w:t>
      </w:r>
    </w:p>
    <w:p ns2:paraId="6CB1AB67">
      <w:pPr>
        <w:pStyle w:val="3"/>
        <w:bidi w:val="0"/>
        <w:ind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1、雷电灾害事故发生可能性评估（L）</w:t>
      </w:r>
    </w:p>
    <w:p ns2:paraId="24EA407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93"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雷电灾害事故发生可能性（L），主要考察雷击发生可能性等级（L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）、雷电防护装置现状(L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)、防雷安全管理制度建立及执行情况（L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）三个部分，最后按公式（</w:t>
      </w:r>
      <w:r>
        <w:rPr>
          <w:rFonts w:ascii="Arial" w:hAnsi="Arial" w:eastAsia="Arial" w:cs="Arial"/>
          <w:spacing w:val="13"/>
          <w:position w:val="1"/>
          <w:sz w:val="28"/>
          <w:szCs w:val="28"/>
        </w:rPr>
        <w:t>A</w:t>
      </w:r>
      <w:r>
        <w:rPr>
          <w:rFonts w:ascii="Arial" w:hAnsi="Arial" w:eastAsia="Arial" w:cs="Arial"/>
          <w:spacing w:val="13"/>
          <w:sz w:val="28"/>
          <w:szCs w:val="28"/>
        </w:rPr>
        <w:t>.</w:t>
      </w:r>
      <w:r>
        <w:rPr>
          <w:rFonts w:ascii="Arial" w:hAnsi="Arial" w:eastAsia="Arial" w:cs="Arial"/>
          <w:spacing w:val="40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spacing w:val="13"/>
          <w:sz w:val="28"/>
          <w:szCs w:val="28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）。赋值与计算方法如下：</w:t>
      </w:r>
    </w:p>
    <w:p ns2:paraId="633DE047">
      <w:pPr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表 A.1 雷电灾害事故发生可能性评价因子赋值</w:t>
      </w:r>
    </w:p>
    <w:tbl>
      <w:tblPr>
        <w:tblStyle w:val="15"/>
        <w:tblW w:w="995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5"/>
        <w:gridCol w:w="1570"/>
        <w:gridCol w:w="1609"/>
        <w:gridCol w:w="1705"/>
        <w:gridCol w:w="682"/>
        <w:gridCol w:w="654"/>
        <w:gridCol w:w="682"/>
        <w:gridCol w:w="764"/>
      </w:tblGrid>
      <w:tr ns2:paraId="256ED1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  <w:jc w:val="center"/>
        </w:trPr>
        <w:tc>
          <w:tcPr>
            <w:tcW w:w="2285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413EB8A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评价因子</w:t>
            </w:r>
          </w:p>
        </w:tc>
        <w:tc>
          <w:tcPr>
            <w:tcW w:w="4884" w:type="dxa"/>
            <w:gridSpan w:val="3"/>
            <w:tcBorders>
              <w:top w:val="single" w:color="000000" w:sz="6" w:space="0"/>
            </w:tcBorders>
            <w:noWrap w:val="0"/>
            <w:vAlign w:val="center"/>
          </w:tcPr>
          <w:p ns2:paraId="4DBBCA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赋值</w:t>
            </w:r>
          </w:p>
        </w:tc>
        <w:tc>
          <w:tcPr>
            <w:tcW w:w="682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center"/>
          </w:tcPr>
          <w:p ns2:paraId="228F40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Ln</w:t>
            </w:r>
          </w:p>
        </w:tc>
        <w:tc>
          <w:tcPr>
            <w:tcW w:w="1336" w:type="dxa"/>
            <w:gridSpan w:val="2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AD185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权重</w:t>
            </w:r>
          </w:p>
          <w:p ns2:paraId="78D5D0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赋值（W）</w:t>
            </w:r>
          </w:p>
        </w:tc>
        <w:tc>
          <w:tcPr>
            <w:tcW w:w="764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657E688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分值</w:t>
            </w:r>
          </w:p>
        </w:tc>
      </w:tr>
      <w:tr ns2:paraId="4F1C2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2285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30F2E2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</w:p>
        </w:tc>
        <w:tc>
          <w:tcPr>
            <w:tcW w:w="1570" w:type="dxa"/>
            <w:tcBorders>
              <w:bottom w:val="single" w:color="000000" w:sz="6" w:space="0"/>
            </w:tcBorders>
            <w:noWrap w:val="0"/>
            <w:vAlign w:val="center"/>
          </w:tcPr>
          <w:p ns2:paraId="1078B16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1</w:t>
            </w:r>
          </w:p>
        </w:tc>
        <w:tc>
          <w:tcPr>
            <w:tcW w:w="1609" w:type="dxa"/>
            <w:tcBorders>
              <w:bottom w:val="single" w:color="000000" w:sz="6" w:space="0"/>
            </w:tcBorders>
            <w:noWrap w:val="0"/>
            <w:vAlign w:val="center"/>
          </w:tcPr>
          <w:p ns2:paraId="4476A5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1705" w:type="dxa"/>
            <w:tcBorders>
              <w:bottom w:val="single" w:color="000000" w:sz="6" w:space="0"/>
            </w:tcBorders>
            <w:noWrap w:val="0"/>
            <w:vAlign w:val="center"/>
          </w:tcPr>
          <w:p ns2:paraId="37D32A0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682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459B07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336" w:type="dxa"/>
            <w:gridSpan w:val="2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7AE57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764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785D3A59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ns2:paraId="20A051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2285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5E3B31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雷击发生可能性等级</w:t>
            </w:r>
          </w:p>
        </w:tc>
        <w:tc>
          <w:tcPr>
            <w:tcW w:w="1570" w:type="dxa"/>
            <w:tcBorders>
              <w:top w:val="single" w:color="000000" w:sz="6" w:space="0"/>
            </w:tcBorders>
            <w:noWrap w:val="0"/>
            <w:vAlign w:val="center"/>
          </w:tcPr>
          <w:p ns2:paraId="162F1EB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Ⅲ</w:t>
            </w:r>
          </w:p>
        </w:tc>
        <w:tc>
          <w:tcPr>
            <w:tcW w:w="1609" w:type="dxa"/>
            <w:tcBorders>
              <w:top w:val="single" w:color="000000" w:sz="6" w:space="0"/>
            </w:tcBorders>
            <w:noWrap w:val="0"/>
            <w:vAlign w:val="center"/>
          </w:tcPr>
          <w:p ns2:paraId="3F8F6F63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Ⅱ</w:t>
            </w:r>
          </w:p>
        </w:tc>
        <w:tc>
          <w:tcPr>
            <w:tcW w:w="1705" w:type="dxa"/>
            <w:tcBorders>
              <w:top w:val="single" w:color="000000" w:sz="6" w:space="0"/>
            </w:tcBorders>
            <w:noWrap w:val="0"/>
            <w:vAlign w:val="center"/>
          </w:tcPr>
          <w:p ns2:paraId="7C04CB77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I</w:t>
            </w:r>
          </w:p>
        </w:tc>
        <w:tc>
          <w:tcPr>
            <w:tcW w:w="682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1147E59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1</w:t>
            </w:r>
          </w:p>
        </w:tc>
        <w:tc>
          <w:tcPr>
            <w:tcW w:w="654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56B308DC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682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54B12BA9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0.2</w:t>
            </w:r>
          </w:p>
        </w:tc>
        <w:tc>
          <w:tcPr>
            <w:tcW w:w="764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E9FEE4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sz w:val="24"/>
                <w:szCs w:val="32"/>
                <w:lang w:val="en-US" w:eastAsia="zh-CN"/>
              </w:rPr>
              <w:t>0.2</w:t>
            </w:r>
          </w:p>
        </w:tc>
      </w:tr>
      <w:tr ns2:paraId="673C89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  <w:jc w:val="center"/>
        </w:trPr>
        <w:tc>
          <w:tcPr>
            <w:tcW w:w="2285" w:type="dxa"/>
            <w:tcBorders>
              <w:left w:val="single" w:color="000000" w:sz="6" w:space="0"/>
            </w:tcBorders>
            <w:noWrap w:val="0"/>
            <w:vAlign w:val="center"/>
          </w:tcPr>
          <w:p ns2:paraId="65D6688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雷电防护装置现状</w:t>
            </w:r>
          </w:p>
        </w:tc>
        <w:tc>
          <w:tcPr>
            <w:tcW w:w="1570" w:type="dxa"/>
            <w:noWrap w:val="0"/>
            <w:vAlign w:val="center"/>
          </w:tcPr>
          <w:p ns2:paraId="678B7EF0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雷电防护装置正常运行</w:t>
            </w:r>
          </w:p>
        </w:tc>
        <w:tc>
          <w:tcPr>
            <w:tcW w:w="1609" w:type="dxa"/>
            <w:noWrap w:val="0"/>
            <w:vAlign w:val="center"/>
          </w:tcPr>
          <w:p ns2:paraId="768DDC85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雷电防护装置存在隐患</w:t>
            </w:r>
          </w:p>
        </w:tc>
        <w:tc>
          <w:tcPr>
            <w:tcW w:w="1705" w:type="dxa"/>
            <w:noWrap w:val="0"/>
            <w:vAlign w:val="center"/>
          </w:tcPr>
          <w:p ns2:paraId="67F4C703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雷电防护装置缺失或失效</w:t>
            </w:r>
          </w:p>
        </w:tc>
        <w:tc>
          <w:tcPr>
            <w:tcW w:w="682" w:type="dxa"/>
            <w:tcBorders>
              <w:right w:val="single" w:color="000000" w:sz="6" w:space="0"/>
            </w:tcBorders>
            <w:noWrap w:val="0"/>
            <w:vAlign w:val="center"/>
          </w:tcPr>
          <w:p ns2:paraId="7D5CB8A7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2</w:t>
            </w:r>
          </w:p>
        </w:tc>
        <w:tc>
          <w:tcPr>
            <w:tcW w:w="654" w:type="dxa"/>
            <w:tcBorders>
              <w:right w:val="single" w:color="000000" w:sz="6" w:space="0"/>
            </w:tcBorders>
            <w:noWrap w:val="0"/>
            <w:vAlign w:val="center"/>
          </w:tcPr>
          <w:p ns2:paraId="17BF5F6F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82" w:type="dxa"/>
            <w:tcBorders>
              <w:right w:val="single" w:color="000000" w:sz="6" w:space="0"/>
            </w:tcBorders>
            <w:noWrap w:val="0"/>
            <w:vAlign w:val="center"/>
          </w:tcPr>
          <w:p ns2:paraId="49E3EFC5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0.4</w:t>
            </w:r>
          </w:p>
        </w:tc>
        <w:tc>
          <w:tcPr>
            <w:tcW w:w="764" w:type="dxa"/>
            <w:tcBorders>
              <w:right w:val="single" w:color="000000" w:sz="6" w:space="0"/>
            </w:tcBorders>
            <w:noWrap w:val="0"/>
            <w:vAlign w:val="center"/>
          </w:tcPr>
          <w:p ns2:paraId="5328D41C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sz w:val="24"/>
                <w:szCs w:val="32"/>
                <w:lang w:val="en-US" w:eastAsia="zh-CN"/>
              </w:rPr>
              <w:t>0.4</w:t>
            </w:r>
          </w:p>
        </w:tc>
      </w:tr>
      <w:tr ns2:paraId="5EB7F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  <w:jc w:val="center"/>
        </w:trPr>
        <w:tc>
          <w:tcPr>
            <w:tcW w:w="2285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0F4A895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防雷安全管理制度建立及执行情况</w:t>
            </w:r>
          </w:p>
        </w:tc>
        <w:tc>
          <w:tcPr>
            <w:tcW w:w="1570" w:type="dxa"/>
            <w:tcBorders>
              <w:bottom w:val="single" w:color="000000" w:sz="6" w:space="0"/>
            </w:tcBorders>
            <w:noWrap w:val="0"/>
            <w:vAlign w:val="center"/>
          </w:tcPr>
          <w:p ns2:paraId="5DCF2ADC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防雷安全管理制度完善且执行到位</w:t>
            </w:r>
          </w:p>
        </w:tc>
        <w:tc>
          <w:tcPr>
            <w:tcW w:w="1609" w:type="dxa"/>
            <w:tcBorders>
              <w:bottom w:val="single" w:color="000000" w:sz="6" w:space="0"/>
            </w:tcBorders>
            <w:noWrap w:val="0"/>
            <w:vAlign w:val="center"/>
          </w:tcPr>
          <w:p ns2:paraId="62234D81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防雷安全管理制度不完善或执行不到位</w:t>
            </w:r>
          </w:p>
        </w:tc>
        <w:tc>
          <w:tcPr>
            <w:tcW w:w="1705" w:type="dxa"/>
            <w:tcBorders>
              <w:bottom w:val="single" w:color="000000" w:sz="6" w:space="0"/>
            </w:tcBorders>
            <w:noWrap w:val="0"/>
            <w:vAlign w:val="center"/>
          </w:tcPr>
          <w:p ns2:paraId="2CF632B2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无防雷安全管理制度</w:t>
            </w:r>
          </w:p>
        </w:tc>
        <w:tc>
          <w:tcPr>
            <w:tcW w:w="682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9111EF2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3</w:t>
            </w:r>
          </w:p>
        </w:tc>
        <w:tc>
          <w:tcPr>
            <w:tcW w:w="654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FF015FF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82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3FA5B7F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0.4</w:t>
            </w:r>
          </w:p>
        </w:tc>
        <w:tc>
          <w:tcPr>
            <w:tcW w:w="764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A31C87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sz w:val="24"/>
                <w:szCs w:val="32"/>
                <w:lang w:val="en-US" w:eastAsia="zh-CN"/>
              </w:rPr>
              <w:t>0.4</w:t>
            </w:r>
          </w:p>
        </w:tc>
      </w:tr>
    </w:tbl>
    <w:p ns2:paraId="2F72A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36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L = 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十W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十W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ascii="Arial" w:hAnsi="Arial" w:eastAsia="Arial" w:cs="Arial"/>
          <w:position w:val="-2"/>
          <w:sz w:val="10"/>
          <w:szCs w:val="10"/>
        </w:rPr>
        <w:t xml:space="preserve"> </w:t>
      </w:r>
      <w:r>
        <w:rPr>
          <w:rFonts w:ascii="Arial" w:hAnsi="Arial" w:eastAsia="Arial" w:cs="Arial"/>
          <w:position w:val="-2"/>
          <w:sz w:val="32"/>
          <w:szCs w:val="32"/>
          <w:vertAlign w:val="baseline"/>
        </w:rPr>
        <w:t xml:space="preserve"> </w:t>
      </w:r>
      <w:r>
        <w:rPr>
          <w:rFonts w:hint="eastAsia" w:ascii="仿宋" w:hAnsi="仿宋" w:cs="仿宋" w:eastAsia="微软雅黑"/>
          <w:position w:val="-2"/>
          <w:sz w:val="32"/>
          <w:szCs w:val="32"/>
          <w:vertAlign w:val="baseline"/>
          <w:lang w:val="en-US" w:eastAsia="zh-CN"/>
        </w:rPr>
        <w:t>=1</w:t>
      </w:r>
      <w:r>
        <w:rPr>
          <w:rFonts w:ascii="Arial" w:hAnsi="Arial" w:eastAsia="Arial" w:cs="Arial"/>
          <w:position w:val="-2"/>
          <w:sz w:val="32"/>
          <w:szCs w:val="32"/>
          <w:vertAlign w:val="baseline"/>
        </w:rPr>
        <w:t/>
      </w:r>
      <w:r>
        <w:rPr>
          <w:spacing w:val="13"/>
          <w:position w:val="1"/>
          <w:sz w:val="28"/>
          <w:szCs w:val="28"/>
        </w:rPr>
        <w:t>……………(</w:t>
      </w:r>
      <w:r>
        <w:rPr>
          <w:rFonts w:ascii="Arial" w:hAnsi="Arial" w:eastAsia="Arial" w:cs="Arial"/>
          <w:spacing w:val="13"/>
          <w:position w:val="1"/>
          <w:sz w:val="28"/>
          <w:szCs w:val="28"/>
        </w:rPr>
        <w:t>A</w:t>
      </w:r>
      <w:r>
        <w:rPr>
          <w:rFonts w:ascii="Arial" w:hAnsi="Arial" w:eastAsia="Arial" w:cs="Arial"/>
          <w:spacing w:val="13"/>
          <w:sz w:val="28"/>
          <w:szCs w:val="28"/>
        </w:rPr>
        <w:t>.</w:t>
      </w:r>
      <w:r>
        <w:rPr>
          <w:rFonts w:ascii="Arial" w:hAnsi="Arial" w:eastAsia="Arial" w:cs="Arial"/>
          <w:spacing w:val="40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spacing w:val="13"/>
          <w:sz w:val="28"/>
          <w:szCs w:val="28"/>
        </w:rPr>
        <w:t>1</w:t>
      </w:r>
      <w:r>
        <w:rPr>
          <w:spacing w:val="13"/>
          <w:sz w:val="28"/>
          <w:szCs w:val="28"/>
        </w:rPr>
        <w:t>)</w:t>
      </w:r>
    </w:p>
    <w:p ns2:paraId="7A224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36" w:lineRule="auto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0AAAB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—雷电灾害事故发生可能性, L级差为1 , 当 L大于 1 且小于等于2时 , L取2 , 依此类推;</w:t>
      </w:r>
    </w:p>
    <w:p ns2:paraId="44D48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雷击发生可能性等级分值 , 雷击发生可能性等级按照 A. 1 . 2 确定;</w:t>
      </w:r>
    </w:p>
    <w:p ns2:paraId="5AD6D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雷电防护装置现状分值;</w:t>
      </w:r>
    </w:p>
    <w:p ns2:paraId="2E763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防雷安全管理制度建立及执行情况分值;</w:t>
      </w:r>
    </w:p>
    <w:p ns2:paraId="5C71F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雷击发生可能性等级权重值;</w:t>
      </w:r>
    </w:p>
    <w:p ns2:paraId="124BF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雷电防护装置现状权重值;</w:t>
      </w:r>
    </w:p>
    <w:p ns2:paraId="1B968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防雷安全管理制度建立及执行情况权重值。</w:t>
      </w:r>
    </w:p>
    <w:p ns2:paraId="458131CE">
      <w:pPr>
        <w:pStyle w:val="6"/>
        <w:spacing w:before="226" w:line="360" w:lineRule="auto"/>
        <w:ind w:left="21" w:right="15" w:firstLine="419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注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1、 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L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en-US" w:bidi="ar"/>
        </w:rPr>
        <w:t>1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—雷击发生可能性等级分值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确定：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按表 A.2进行雷击发生可能性评价因子赋值, 再按公式(A.2)计算雷击发生可能性分值, 最后按表 A.3划分为 I、Ⅱ、Ⅲ三个等级。</w:t>
      </w:r>
    </w:p>
    <w:p ns2:paraId="31476759">
      <w:pPr>
        <w:pStyle w:val="6"/>
        <w:spacing w:before="111" w:line="178" w:lineRule="auto"/>
        <w:jc w:val="center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2  雷击发生可能性评价因子赋值</w:t>
      </w:r>
    </w:p>
    <w:p ns2:paraId="4ACDD4D9">
      <w:pPr>
        <w:jc w:val="center"/>
        <w:rPr>
          <w:rFonts w:hint="eastAsia" w:ascii="仿宋" w:hAnsi="仿宋" w:eastAsia="仿宋" w:cs="仿宋"/>
          <w:sz w:val="24"/>
          <w:szCs w:val="32"/>
        </w:rPr>
      </w:pPr>
    </w:p>
    <w:tbl>
      <w:tblPr>
        <w:tblStyle w:val="15"/>
        <w:tblW w:w="981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1"/>
        <w:gridCol w:w="1380"/>
        <w:gridCol w:w="1400"/>
        <w:gridCol w:w="1413"/>
        <w:gridCol w:w="1512"/>
        <w:gridCol w:w="1404"/>
        <w:gridCol w:w="681"/>
        <w:gridCol w:w="655"/>
      </w:tblGrid>
      <w:tr ns2:paraId="6C6B3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jc w:val="center"/>
        </w:trPr>
        <w:tc>
          <w:tcPr>
            <w:tcW w:w="13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vAlign w:val="center"/>
          </w:tcPr>
          <w:p ns2:paraId="629407FD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评价因子</w:t>
            </w:r>
          </w:p>
        </w:tc>
        <w:tc>
          <w:tcPr>
            <w:tcW w:w="710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D377C8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赋值</w:t>
            </w: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796BCD6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Pn</w:t>
            </w:r>
          </w:p>
        </w:tc>
        <w:tc>
          <w:tcPr>
            <w:tcW w:w="65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243D9E2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65992E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  <w:jc w:val="center"/>
        </w:trPr>
        <w:tc>
          <w:tcPr>
            <w:tcW w:w="13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0C1EBBA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5DF48AF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3CD763E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48E41036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3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78DC273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15E3052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</w:t>
            </w: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460CA7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65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DD0A7D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ns2:paraId="457B6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43905C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 xml:space="preserve">雷击密度次/(Km2 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13"/>
                <w:szCs w:val="16"/>
              </w:rPr>
              <w:t>●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 xml:space="preserve"> a)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C9044A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[0 , 1)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2B6EE2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[1 , 2)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2FA54A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[2 , 3)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D2CBB3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 , 4)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B544E7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[4 , ∞)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A8420AA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</w:rPr>
              <w:t>1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F73957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5</w:t>
            </w:r>
          </w:p>
        </w:tc>
      </w:tr>
      <w:tr ns2:paraId="585343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CBF902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地形地貌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84F6232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周边高层建筑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09E274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丘陵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A83FA3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山地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DCCF11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河流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湖泊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低洼潮湿地 区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山间风口等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00F114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旷野孤立或突 出区域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2A019D8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97DA2F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5</w:t>
            </w:r>
          </w:p>
        </w:tc>
      </w:tr>
      <w:tr ns2:paraId="246EB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8584CB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相对高度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9A6978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风险单元被比风险单元内高的外部建(构)筑物或其他雷击可接闪物所环绕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8C7FBA5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风险单元外局部方向有高于风险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单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元内的建(构)筑物或其他雷击可接闪物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18586D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 建(构)筑物 或其他雷击可接闪物与风险单元内高度基本持平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EFDF502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 建(构)筑物 或其他雷击可接闪物低于风险单元内高度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8BF871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风险单元外无建(构)筑 物或其他雷击可接闪物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BA9DFB0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BF5769A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</w:tr>
      <w:tr ns2:paraId="1739AD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00B3A9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占地面积m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</w:rPr>
              <w:t>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76CC99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2500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74D8E5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250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5000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1B483E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7500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E4A2C7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750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10000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78E5D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∞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647D5A1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4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65605D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7C8278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AFCE78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等效高度m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6C4207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0 , 30)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347DB1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[30 , 45)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AA62E6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45 , 60)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F7BF71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60 , 100)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F55843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 , ∞)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EB83BB9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32"/>
                <w:vertAlign w:val="subscript"/>
                <w:lang w:val="en-US" w:eastAsia="zh-CN"/>
              </w:rPr>
              <w:t>5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B5DDC1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3A4C6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FB6886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风险单元内建(构)筑物防雷分类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</w:rPr>
              <w:t>a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2144A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第三类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A2AA80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—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AE4868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第二类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BF6214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—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57155E6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第一类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41371A2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6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7DD178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</w:tr>
    </w:tbl>
    <w:p ns2:paraId="5148D63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40"/>
        <w:jc w:val="center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Arial" w:hAnsi="Arial" w:eastAsia="Arial" w:cs="Arial"/>
          <w:i/>
          <w:iCs/>
          <w:spacing w:val="5"/>
          <w:sz w:val="28"/>
          <w:szCs w:val="28"/>
        </w:rPr>
        <w:t xml:space="preserve">P </w:t>
      </w:r>
      <w:r>
        <w:rPr>
          <w:spacing w:val="5"/>
          <w:position w:val="-1"/>
          <w:sz w:val="28"/>
          <w:szCs w:val="28"/>
        </w:rPr>
        <w:t>=</w:t>
      </w:r>
      <w:r>
        <w:rPr>
          <w:spacing w:val="49"/>
          <w:w w:val="101"/>
          <w:position w:val="-1"/>
          <w:sz w:val="28"/>
          <w:szCs w:val="28"/>
        </w:rPr>
        <w:t xml:space="preserve">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1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</w:rPr>
        <w:t>2</w:t>
      </w:r>
      <w:r>
        <w:rPr>
          <w:rFonts w:ascii="Arial" w:hAnsi="Arial" w:eastAsia="Arial" w:cs="Arial"/>
          <w:spacing w:val="1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3</w:t>
      </w:r>
      <w:r>
        <w:rPr>
          <w:rFonts w:ascii="Arial" w:hAnsi="Arial" w:eastAsia="Arial" w:cs="Arial"/>
          <w:spacing w:val="1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4</w:t>
      </w:r>
      <w:r>
        <w:rPr>
          <w:rFonts w:ascii="Arial" w:hAnsi="Arial" w:eastAsia="Arial" w:cs="Arial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5</w:t>
      </w:r>
      <w:r>
        <w:rPr>
          <w:rFonts w:ascii="Arial" w:hAnsi="Arial" w:eastAsia="Arial" w:cs="Arial"/>
          <w:spacing w:val="2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6</w:t>
      </w:r>
      <w:r>
        <w:rPr>
          <w:rFonts w:hint="eastAsia" w:ascii="Arial" w:hAnsi="Arial" w:eastAsia="宋体" w:cs="Arial"/>
          <w:spacing w:val="5"/>
          <w:position w:val="-2"/>
          <w:sz w:val="28"/>
          <w:szCs w:val="28"/>
          <w:vertAlign w:val="subscript"/>
          <w:lang w:val="en-US" w:eastAsia="zh-CN"/>
        </w:rPr>
        <w:t xml:space="preserve"> </w:t>
      </w:r>
      <w:r>
        <w:rPr>
          <w:rFonts w:hint="eastAsia" w:ascii="Arial" w:hAnsi="Arial" w:eastAsia="宋体" w:cs="Arial"/>
          <w:spacing w:val="5"/>
          <w:position w:val="-2"/>
          <w:sz w:val="28"/>
          <w:szCs w:val="28"/>
          <w:vertAlign w:val="baseline"/>
          <w:lang w:val="en-US" w:eastAsia="zh-CN"/>
        </w:rPr>
        <w:t xml:space="preserve">= </w:t>
      </w:r>
      <w:r>
        <w:rPr>
          <w:rFonts w:hint="eastAsia" w:ascii="仿宋" w:hAnsi="仿宋" w:eastAsia="微软雅黑" w:cs="仿宋"/>
          <w:spacing w:val="5"/>
          <w:position w:val="-2"/>
          <w:sz w:val="36"/>
          <w:szCs w:val="36"/>
          <w:vertAlign w:val="baseline"/>
          <w:lang w:val="en-US" w:eastAsia="zh-CN"/>
        </w:rPr>
        <w:t>18</w:t>
      </w:r>
    </w:p>
    <w:p ns2:paraId="2A6D96E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38"/>
        <w:textAlignment w:val="auto"/>
        <w:rPr>
          <w:sz w:val="24"/>
          <w:szCs w:val="24"/>
        </w:rPr>
      </w:pPr>
      <w:r>
        <w:rPr>
          <w:spacing w:val="16"/>
          <w:sz w:val="24"/>
          <w:szCs w:val="24"/>
        </w:rPr>
        <w:t>式中:</w:t>
      </w:r>
    </w:p>
    <w:p ns2:paraId="40AFFD3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33"/>
          <w:position w:val="-1"/>
          <w:sz w:val="24"/>
          <w:szCs w:val="24"/>
        </w:rPr>
        <w:t>P</w:t>
      </w:r>
      <w:r>
        <w:rPr>
          <w:rFonts w:ascii="Arial" w:hAnsi="Arial" w:eastAsia="Arial" w:cs="Arial"/>
          <w:i/>
          <w:iCs/>
          <w:spacing w:val="-3"/>
          <w:position w:val="-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3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9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雷击发生可能性分值;</w:t>
      </w:r>
    </w:p>
    <w:p ns2:paraId="6A89F4D0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30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30"/>
          <w:position w:val="-3"/>
          <w:sz w:val="24"/>
          <w:szCs w:val="24"/>
          <w:vertAlign w:val="subscript"/>
        </w:rPr>
        <w:t>1</w:t>
      </w:r>
      <w:r>
        <w:rPr>
          <w:rFonts w:ascii="Arial" w:hAnsi="Arial" w:eastAsia="Arial" w:cs="Arial"/>
          <w:spacing w:val="17"/>
          <w:w w:val="102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0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9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雷击密度分值;</w:t>
      </w:r>
    </w:p>
    <w:p ns2:paraId="67E73DE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28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8"/>
          <w:position w:val="-3"/>
          <w:sz w:val="24"/>
          <w:szCs w:val="24"/>
          <w:vertAlign w:val="subscript"/>
        </w:rPr>
        <w:t>2</w:t>
      </w:r>
      <w:r>
        <w:rPr>
          <w:rFonts w:ascii="Arial" w:hAnsi="Arial" w:eastAsia="Arial" w:cs="Arial"/>
          <w:spacing w:val="29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9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31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地形地貌分值;</w:t>
      </w:r>
    </w:p>
    <w:p ns2:paraId="03A9B68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29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9"/>
          <w:position w:val="-3"/>
          <w:sz w:val="24"/>
          <w:szCs w:val="24"/>
          <w:vertAlign w:val="subscript"/>
        </w:rPr>
        <w:t>3</w:t>
      </w:r>
      <w:r>
        <w:rPr>
          <w:rFonts w:ascii="Arial" w:hAnsi="Arial" w:eastAsia="Arial" w:cs="Arial"/>
          <w:spacing w:val="19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0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31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相对高度分值;</w:t>
      </w:r>
    </w:p>
    <w:p ns2:paraId="5F9C789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29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9"/>
          <w:position w:val="-3"/>
          <w:sz w:val="24"/>
          <w:szCs w:val="24"/>
          <w:vertAlign w:val="subscript"/>
        </w:rPr>
        <w:t>4</w:t>
      </w:r>
      <w:r>
        <w:rPr>
          <w:rFonts w:ascii="Arial" w:hAnsi="Arial" w:eastAsia="Arial" w:cs="Arial"/>
          <w:spacing w:val="22"/>
          <w:w w:val="102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7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4"/>
          <w:position w:val="1"/>
          <w:sz w:val="24"/>
          <w:szCs w:val="24"/>
        </w:rPr>
        <w:t xml:space="preserve"> </w:t>
      </w:r>
      <w:r>
        <w:rPr>
          <w:spacing w:val="27"/>
          <w:sz w:val="24"/>
          <w:szCs w:val="24"/>
        </w:rPr>
        <w:t>占地面积分值</w:t>
      </w:r>
      <w:r>
        <w:rPr>
          <w:spacing w:val="27"/>
          <w:position w:val="1"/>
          <w:sz w:val="24"/>
          <w:szCs w:val="24"/>
        </w:rPr>
        <w:t>;</w:t>
      </w:r>
    </w:p>
    <w:p ns2:paraId="5FE9889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30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30"/>
          <w:position w:val="-3"/>
          <w:sz w:val="24"/>
          <w:szCs w:val="24"/>
          <w:vertAlign w:val="subscript"/>
        </w:rPr>
        <w:t>5</w:t>
      </w:r>
      <w:r>
        <w:rPr>
          <w:rFonts w:ascii="Arial" w:hAnsi="Arial" w:eastAsia="Arial" w:cs="Arial"/>
          <w:spacing w:val="28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8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0"/>
          <w:position w:val="1"/>
          <w:sz w:val="24"/>
          <w:szCs w:val="24"/>
        </w:rPr>
        <w:t xml:space="preserve"> </w:t>
      </w:r>
      <w:r>
        <w:rPr>
          <w:spacing w:val="28"/>
          <w:sz w:val="24"/>
          <w:szCs w:val="24"/>
        </w:rPr>
        <w:t>等效高度分值</w:t>
      </w:r>
      <w:r>
        <w:rPr>
          <w:spacing w:val="28"/>
          <w:position w:val="1"/>
          <w:sz w:val="24"/>
          <w:szCs w:val="24"/>
        </w:rPr>
        <w:t>;</w:t>
      </w:r>
    </w:p>
    <w:p ns2:paraId="4DB629E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19"/>
          <w:szCs w:val="19"/>
        </w:rPr>
      </w:pPr>
      <w:r>
        <w:rPr>
          <w:rFonts w:ascii="Arial" w:hAnsi="Arial" w:eastAsia="Arial" w:cs="Arial"/>
          <w:i/>
          <w:iCs/>
          <w:spacing w:val="27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7"/>
          <w:position w:val="-3"/>
          <w:sz w:val="24"/>
          <w:szCs w:val="24"/>
          <w:vertAlign w:val="subscript"/>
        </w:rPr>
        <w:t>6</w:t>
      </w:r>
      <w:r>
        <w:rPr>
          <w:rFonts w:ascii="Arial" w:hAnsi="Arial" w:eastAsia="Arial" w:cs="Arial"/>
          <w:spacing w:val="26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6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5"/>
          <w:sz w:val="24"/>
          <w:szCs w:val="24"/>
        </w:rPr>
        <w:t xml:space="preserve"> </w:t>
      </w:r>
      <w:r>
        <w:rPr>
          <w:spacing w:val="26"/>
          <w:sz w:val="24"/>
          <w:szCs w:val="24"/>
        </w:rPr>
        <w:t>风险单元内建(构)筑物防雷分类分值。</w:t>
      </w:r>
    </w:p>
    <w:p ns2:paraId="0464F34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31" w:line="178" w:lineRule="auto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3 雷击发生可能性分级</w:t>
      </w:r>
    </w:p>
    <w:p ns2:paraId="4F7B92C8">
      <w:pPr>
        <w:spacing w:line="214" w:lineRule="exact"/>
      </w:pPr>
    </w:p>
    <w:tbl>
      <w:tblPr>
        <w:tblStyle w:val="15"/>
        <w:tblW w:w="9317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67"/>
        <w:gridCol w:w="3362"/>
        <w:gridCol w:w="2188"/>
      </w:tblGrid>
      <w:tr ns2:paraId="14D29B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3767" w:type="dxa"/>
            <w:tcBorders>
              <w:right w:val="single" w:color="000000" w:sz="2" w:space="0"/>
            </w:tcBorders>
            <w:noWrap w:val="0"/>
            <w:vAlign w:val="top"/>
          </w:tcPr>
          <w:p ns2:paraId="3FF5B2C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雷击发生可能性分值</w:t>
            </w:r>
          </w:p>
        </w:tc>
        <w:tc>
          <w:tcPr>
            <w:tcW w:w="3362" w:type="dxa"/>
            <w:tcBorders>
              <w:left w:val="single" w:color="000000" w:sz="2" w:space="0"/>
            </w:tcBorders>
            <w:noWrap w:val="0"/>
            <w:vAlign w:val="top"/>
          </w:tcPr>
          <w:p ns2:paraId="1322E23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雷击发生可能性等级</w:t>
            </w:r>
          </w:p>
        </w:tc>
        <w:tc>
          <w:tcPr>
            <w:tcW w:w="2188" w:type="dxa"/>
            <w:tcBorders>
              <w:left w:val="single" w:color="000000" w:sz="2" w:space="0"/>
            </w:tcBorders>
            <w:noWrap w:val="0"/>
            <w:vAlign w:val="top"/>
          </w:tcPr>
          <w:p ns2:paraId="2E2883E5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6E4A85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3767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ns2:paraId="4999B45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[8 , 18]</w:t>
            </w:r>
          </w:p>
        </w:tc>
        <w:tc>
          <w:tcPr>
            <w:tcW w:w="3362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2A6815D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Ⅲ</w:t>
            </w:r>
          </w:p>
        </w:tc>
        <w:tc>
          <w:tcPr>
            <w:tcW w:w="2188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348B6AF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微软雅黑" w:cs="仿宋"/>
                <w:b w:val="0"/>
                <w:color w:val="000000"/>
                <w:sz w:val="24"/>
                <w:szCs w:val="32"/>
              </w:rPr>
              <w:t>18</w:t>
            </w:r>
          </w:p>
        </w:tc>
      </w:tr>
      <w:tr ns2:paraId="694315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3767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ns2:paraId="73D1DCB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[19 , 29]</w:t>
            </w:r>
          </w:p>
        </w:tc>
        <w:tc>
          <w:tcPr>
            <w:tcW w:w="33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2539072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Ⅱ</w:t>
            </w:r>
          </w:p>
        </w:tc>
        <w:tc>
          <w:tcPr>
            <w:tcW w:w="2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4E4C56D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ns2:paraId="66747F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3767" w:type="dxa"/>
            <w:tcBorders>
              <w:top w:val="single" w:color="000000" w:sz="2" w:space="0"/>
              <w:right w:val="single" w:color="000000" w:sz="2" w:space="0"/>
            </w:tcBorders>
            <w:noWrap w:val="0"/>
            <w:vAlign w:val="top"/>
          </w:tcPr>
          <w:p ns2:paraId="2591ACE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[30 , 40]</w:t>
            </w:r>
          </w:p>
        </w:tc>
        <w:tc>
          <w:tcPr>
            <w:tcW w:w="3362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top"/>
          </w:tcPr>
          <w:p ns2:paraId="52E2486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I</w:t>
            </w:r>
          </w:p>
        </w:tc>
        <w:tc>
          <w:tcPr>
            <w:tcW w:w="2188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top"/>
          </w:tcPr>
          <w:p ns2:paraId="795717F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</w:tbl>
    <w:p ns2:paraId="00E21E00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3" w:line="360" w:lineRule="auto"/>
        <w:ind w:leftChars="0" w:firstLine="643" w:firstLineChars="200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注2、 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L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2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、L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—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雷电防护装置现状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防雷安全管理制度建立及执行情况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等分值确定：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如出现表A.4 中所列情况中的任一条 , 雷电灾害事故发生可能性直接赋值“3”。</w:t>
      </w:r>
    </w:p>
    <w:p ns2:paraId="38C91D16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4雷电灾害事故发生可能性直接赋值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3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的情况列表</w:t>
      </w:r>
    </w:p>
    <w:p ns2:paraId="5E33B8BB">
      <w:pPr>
        <w:spacing w:line="236" w:lineRule="exact"/>
      </w:pPr>
    </w:p>
    <w:tbl>
      <w:tblPr>
        <w:tblStyle w:val="15"/>
        <w:tblW w:w="947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5"/>
        <w:gridCol w:w="6884"/>
      </w:tblGrid>
      <w:tr ns2:paraId="5F390B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2595" w:type="dxa"/>
            <w:tcBorders>
              <w:tl2br w:val="nil"/>
              <w:tr2bl w:val="nil"/>
            </w:tcBorders>
            <w:noWrap w:val="0"/>
            <w:vAlign w:val="center"/>
          </w:tcPr>
          <w:p ns2:paraId="4810F77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项 目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04C2CE18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存在情况</w:t>
            </w:r>
          </w:p>
        </w:tc>
      </w:tr>
      <w:tr ns2:paraId="10E7A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286B4E3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防雷安全管理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6CECDDF7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雷电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预警信息接收和响应机制</w:t>
            </w:r>
          </w:p>
        </w:tc>
      </w:tr>
      <w:tr ns2:paraId="36A023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1CE6352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0E02A4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安全管理工作机构和管理人员</w:t>
            </w:r>
          </w:p>
        </w:tc>
      </w:tr>
      <w:tr ns2:paraId="3AB57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0E92A5C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4C2450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安全规章制度</w:t>
            </w:r>
          </w:p>
        </w:tc>
      </w:tr>
      <w:tr ns2:paraId="7D79A1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3B6BFA9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6927215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雷电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灾害应急预案,且未组织演练</w:t>
            </w:r>
          </w:p>
        </w:tc>
      </w:tr>
      <w:tr ns2:paraId="5663F7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27BDA97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雷电防护装置设施现状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030A72B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独立接闪杆、架空接闪线或网的支柱及其接地装置至被保护建(构)筑物及与其有联系的管道、电缆等金属物之间的间隔距离不满足 GB50057 中的间隔距离要求</w:t>
            </w:r>
          </w:p>
        </w:tc>
      </w:tr>
      <w:tr ns2:paraId="0E9770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455F7FA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D7716A3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建(构)筑物周边有树木且不在接闪器保护范围之内时, 树木与建筑物之间的净距小于 5 m</w:t>
            </w:r>
          </w:p>
        </w:tc>
      </w:tr>
      <w:tr ns2:paraId="02D2F6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2595" w:type="dxa"/>
            <w:vMerge w:val="continue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ns2:paraId="13DA91E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ns2:paraId="2C344FEE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建(构)筑物、户外生产设施等未按照 GB50057 中的要求设置防跨步电压和接触电压措施</w:t>
            </w:r>
          </w:p>
        </w:tc>
      </w:tr>
      <w:tr ns2:paraId="7D3173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00873FE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雷电防护装置定期检测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FAAA97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建(构)筑物雷电防护装置未按照 GB/T 21431 中的周期要求进行检测工作</w:t>
            </w:r>
          </w:p>
        </w:tc>
      </w:tr>
      <w:tr ns2:paraId="3FCB8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73B22EE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526DD1C3">
            <w:p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 xml:space="preserve">根据年度安全检测工作的合同和协议,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由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检测机构资质等级不符合《雷电防护资质检测资质管理办法》要求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的机构提供检测服务</w:t>
            </w:r>
          </w:p>
        </w:tc>
      </w:tr>
      <w:tr ns2:paraId="454F32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282F759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535BFE1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根据检测报告结论, 建(构)筑物、户外生产设施、电子电气系统的雷电防护装置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不符合国家标准中强制性条文内容且未做整改的</w:t>
            </w:r>
          </w:p>
        </w:tc>
      </w:tr>
      <w:tr ns2:paraId="34A753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10E0156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F93C5E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根据检测报告结论, 建(构)筑物、户外生产设施、电子电气系统的雷电防护装置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不符合国家标准中非强制性条文内容且未做整改超过 3 项(含 3 项)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</w:t>
            </w:r>
          </w:p>
        </w:tc>
      </w:tr>
      <w:tr ns2:paraId="382F87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1E685E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831C019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部分需进行年度安全检测工作的雷电防护装置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无检测报告的</w:t>
            </w:r>
          </w:p>
        </w:tc>
      </w:tr>
      <w:tr ns2:paraId="1C4BA9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6B39C96E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新、改、扩建项目雷电防护装置审查和竣工验收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A868A5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bookmarkStart w:id="2" w:name="_GoBack"/>
            <w:bookmarkEnd w:id="2"/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新、改、扩(建)项目无防雷设计审查意见或防雷施工图审查意见</w:t>
            </w:r>
          </w:p>
        </w:tc>
      </w:tr>
      <w:tr ns2:paraId="7189B3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4326A3E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A33D5B3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新投入使用的建(构)筑物, 其雷电防护装置未取得竣工验收合格报告</w:t>
            </w:r>
          </w:p>
        </w:tc>
      </w:tr>
      <w:tr ns2:paraId="68AFC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tcBorders>
              <w:tl2br w:val="nil"/>
              <w:tr2bl w:val="nil"/>
            </w:tcBorders>
            <w:noWrap w:val="0"/>
            <w:vAlign w:val="center"/>
          </w:tcPr>
          <w:p ns2:paraId="184104D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防雷安全标志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1C159245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对于人员密集场所且具有雷击风险的户外区域、具有爆炸和火灾危险环境的露天生产设备未设置护栏、警告牌等防雷安全标志</w:t>
            </w:r>
          </w:p>
        </w:tc>
      </w:tr>
      <w:tr ns2:paraId="10404B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39438FD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雷电灾害历史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38CA9F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年来遭受过雷电灾害, 经气象主管机构调查和鉴定后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未采取相关改善措施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</w:t>
            </w:r>
          </w:p>
        </w:tc>
      </w:tr>
      <w:tr ns2:paraId="7D0586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524F53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1A38048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年来遭受过雷电灾害, 未向气象主管机构上报灾害情况的</w:t>
            </w:r>
          </w:p>
        </w:tc>
      </w:tr>
    </w:tbl>
    <w:p ns2:paraId="6A46001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413" w:lineRule="auto"/>
        <w:ind w:firstLine="643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2、雷电灾害事故后果严重性评估（S）</w:t>
      </w:r>
    </w:p>
    <w:p ns2:paraId="4797726B">
      <w:pPr>
        <w:pStyle w:val="6"/>
        <w:spacing w:before="226" w:line="360" w:lineRule="auto"/>
        <w:ind w:right="15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雷电灾害事故后果严重性评价应先按表A. 5进行雷电灾害事故后果严重性评价因子赋值 , 再按公式(A. 3)计算。</w:t>
      </w:r>
    </w:p>
    <w:p ns2:paraId="3EAB994C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5 雷电灾害事故后果严重性评价因子赋值</w:t>
      </w:r>
    </w:p>
    <w:p ns2:paraId="47B7CEBF">
      <w:pPr>
        <w:spacing w:line="201" w:lineRule="exact"/>
      </w:pPr>
    </w:p>
    <w:tbl>
      <w:tblPr>
        <w:tblStyle w:val="15"/>
        <w:tblW w:w="96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8"/>
        <w:gridCol w:w="1997"/>
        <w:gridCol w:w="2338"/>
        <w:gridCol w:w="1808"/>
        <w:gridCol w:w="667"/>
        <w:gridCol w:w="689"/>
      </w:tblGrid>
      <w:tr ns2:paraId="23B382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2138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439A1E7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评价因子</w:t>
            </w:r>
          </w:p>
        </w:tc>
        <w:tc>
          <w:tcPr>
            <w:tcW w:w="6143" w:type="dxa"/>
            <w:gridSpan w:val="3"/>
            <w:tcBorders>
              <w:top w:val="single" w:color="000000" w:sz="6" w:space="0"/>
            </w:tcBorders>
            <w:noWrap w:val="0"/>
            <w:vAlign w:val="center"/>
          </w:tcPr>
          <w:p ns2:paraId="7F3FB96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赋值</w:t>
            </w:r>
          </w:p>
        </w:tc>
        <w:tc>
          <w:tcPr>
            <w:tcW w:w="667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center"/>
          </w:tcPr>
          <w:p ns2:paraId="1741C19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Sn</w:t>
            </w:r>
          </w:p>
        </w:tc>
        <w:tc>
          <w:tcPr>
            <w:tcW w:w="689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20DD35E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481683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138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5EA90C0D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12825D1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2338" w:type="dxa"/>
            <w:tcBorders>
              <w:bottom w:val="single" w:color="000000" w:sz="6" w:space="0"/>
            </w:tcBorders>
            <w:noWrap w:val="0"/>
            <w:vAlign w:val="center"/>
          </w:tcPr>
          <w:p ns2:paraId="23997F7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1808" w:type="dxa"/>
            <w:tcBorders>
              <w:bottom w:val="single" w:color="000000" w:sz="6" w:space="0"/>
            </w:tcBorders>
            <w:noWrap w:val="0"/>
            <w:vAlign w:val="center"/>
          </w:tcPr>
          <w:p ns2:paraId="4E285A3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66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FECB2F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689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B20321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ns2:paraId="2E7974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  <w:jc w:val="center"/>
        </w:trPr>
        <w:tc>
          <w:tcPr>
            <w:tcW w:w="2138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4506557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风险单元现场人数最大值a</w:t>
            </w:r>
          </w:p>
        </w:tc>
        <w:tc>
          <w:tcPr>
            <w:tcW w:w="1997" w:type="dxa"/>
            <w:tcBorders>
              <w:top w:val="single" w:color="000000" w:sz="6" w:space="0"/>
            </w:tcBorders>
            <w:noWrap w:val="0"/>
            <w:vAlign w:val="center"/>
          </w:tcPr>
          <w:p ns2:paraId="3C4291E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0 , 10)</w:t>
            </w:r>
          </w:p>
        </w:tc>
        <w:tc>
          <w:tcPr>
            <w:tcW w:w="2338" w:type="dxa"/>
            <w:tcBorders>
              <w:top w:val="single" w:color="000000" w:sz="6" w:space="0"/>
            </w:tcBorders>
            <w:noWrap w:val="0"/>
            <w:vAlign w:val="center"/>
          </w:tcPr>
          <w:p ns2:paraId="2BA41BB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10 , 30)</w:t>
            </w:r>
          </w:p>
        </w:tc>
        <w:tc>
          <w:tcPr>
            <w:tcW w:w="1808" w:type="dxa"/>
            <w:tcBorders>
              <w:top w:val="single" w:color="000000" w:sz="6" w:space="0"/>
            </w:tcBorders>
            <w:noWrap w:val="0"/>
            <w:vAlign w:val="center"/>
          </w:tcPr>
          <w:p ns2:paraId="09C3C2C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30 , ∞)</w:t>
            </w:r>
          </w:p>
        </w:tc>
        <w:tc>
          <w:tcPr>
            <w:tcW w:w="6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7457C6AC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689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4B63F8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7A105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  <w:jc w:val="center"/>
        </w:trPr>
        <w:tc>
          <w:tcPr>
            <w:tcW w:w="2138" w:type="dxa"/>
            <w:tcBorders>
              <w:left w:val="single" w:color="000000" w:sz="6" w:space="0"/>
            </w:tcBorders>
            <w:noWrap w:val="0"/>
            <w:vAlign w:val="center"/>
          </w:tcPr>
          <w:p ns2:paraId="256239D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风险单元边界外 500 m范围内防护目标情况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b</w:t>
            </w:r>
          </w:p>
        </w:tc>
        <w:tc>
          <w:tcPr>
            <w:tcW w:w="1997" w:type="dxa"/>
            <w:noWrap w:val="0"/>
            <w:vAlign w:val="center"/>
          </w:tcPr>
          <w:p ns2:paraId="54515E9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无防护目标</w:t>
            </w:r>
          </w:p>
        </w:tc>
        <w:tc>
          <w:tcPr>
            <w:tcW w:w="2338" w:type="dxa"/>
            <w:noWrap w:val="0"/>
            <w:vAlign w:val="center"/>
          </w:tcPr>
          <w:p ns2:paraId="7842B27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仅涉及 1~2 个一般防护目标中的三类防护目标</w:t>
            </w:r>
          </w:p>
        </w:tc>
        <w:tc>
          <w:tcPr>
            <w:tcW w:w="1808" w:type="dxa"/>
            <w:noWrap w:val="0"/>
            <w:vAlign w:val="center"/>
          </w:tcPr>
          <w:p ns2:paraId="5FA8E13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涉及防护目标的其他情况</w:t>
            </w:r>
          </w:p>
        </w:tc>
        <w:tc>
          <w:tcPr>
            <w:tcW w:w="667" w:type="dxa"/>
            <w:tcBorders>
              <w:right w:val="single" w:color="000000" w:sz="6" w:space="0"/>
            </w:tcBorders>
            <w:noWrap w:val="0"/>
            <w:vAlign w:val="center"/>
          </w:tcPr>
          <w:p ns2:paraId="5BA50997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89" w:type="dxa"/>
            <w:tcBorders>
              <w:right w:val="single" w:color="000000" w:sz="6" w:space="0"/>
            </w:tcBorders>
            <w:noWrap w:val="0"/>
            <w:vAlign w:val="center"/>
          </w:tcPr>
          <w:p ns2:paraId="3293AD8A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6AADB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2138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3EE60486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风险单元化学品固有危险性等级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62BC33E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Ⅲ</w:t>
            </w:r>
          </w:p>
        </w:tc>
        <w:tc>
          <w:tcPr>
            <w:tcW w:w="2338" w:type="dxa"/>
            <w:tcBorders>
              <w:bottom w:val="single" w:color="000000" w:sz="6" w:space="0"/>
            </w:tcBorders>
            <w:noWrap w:val="0"/>
            <w:vAlign w:val="center"/>
          </w:tcPr>
          <w:p ns2:paraId="014ECA6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Ⅱ</w:t>
            </w:r>
          </w:p>
        </w:tc>
        <w:tc>
          <w:tcPr>
            <w:tcW w:w="1808" w:type="dxa"/>
            <w:tcBorders>
              <w:bottom w:val="single" w:color="000000" w:sz="6" w:space="0"/>
            </w:tcBorders>
            <w:noWrap w:val="0"/>
            <w:vAlign w:val="center"/>
          </w:tcPr>
          <w:p ns2:paraId="0939A5B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I</w:t>
            </w:r>
          </w:p>
        </w:tc>
        <w:tc>
          <w:tcPr>
            <w:tcW w:w="6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67BC82F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89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F706611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</w:tr>
    </w:tbl>
    <w:p ns2:paraId="7EDDC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line="420" w:lineRule="exact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S=MAX(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)</w:t>
      </w:r>
      <w:r>
        <w:rPr>
          <w:rFonts w:hint="eastAsia" w:ascii="仿宋" w:hAnsi="仿宋" w:eastAsia="微软雅黑" w:cs="仿宋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=3</w:t>
      </w:r>
      <w:r>
        <w:rPr>
          <w:rFonts w:hint="eastAsia" w:ascii="仿宋" w:hAnsi="仿宋" w:eastAsia="微软雅黑" w:cs="仿宋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………………(A. 3)</w:t>
      </w:r>
    </w:p>
    <w:p ns2:paraId="3FC48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41032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雷电灾害事故后果严重性;</w:t>
      </w:r>
    </w:p>
    <w:p ns2:paraId="1659A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风险单元现场人数最大值分值;</w:t>
      </w:r>
    </w:p>
    <w:p ns2:paraId="3B918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风险单元边界外 500 m范围内防护目标情况分值;</w:t>
      </w:r>
    </w:p>
    <w:p ns2:paraId="3A860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风险单元化学品固有危险性等级分值。</w:t>
      </w:r>
    </w:p>
    <w:p ns2:paraId="0A93EE06">
      <w:pPr>
        <w:pStyle w:val="6"/>
        <w:spacing w:before="226" w:line="360" w:lineRule="auto"/>
        <w:ind w:right="15" w:firstLine="643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注：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S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— 风险单元化学品固有危险性等级赋值：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化学品固有危险性等级确定按表 A. 6 进行化学品固有危险性等级评价因子赋值, 再按公式(A. 4)计算化学品固有危险性分值, 最后按表 A. 7 划分为 I 、Ⅱ 、Ⅲ三个等级 。</w:t>
      </w:r>
    </w:p>
    <w:p ns2:paraId="5D68C442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6 化学品固有危险性评价因子赋值</w:t>
      </w:r>
    </w:p>
    <w:p ns2:paraId="4389C176">
      <w:pPr>
        <w:spacing w:line="201" w:lineRule="exact"/>
      </w:pPr>
    </w:p>
    <w:tbl>
      <w:tblPr>
        <w:tblStyle w:val="15"/>
        <w:tblW w:w="988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7"/>
        <w:gridCol w:w="2175"/>
        <w:gridCol w:w="1994"/>
        <w:gridCol w:w="1997"/>
        <w:gridCol w:w="767"/>
        <w:gridCol w:w="767"/>
      </w:tblGrid>
      <w:tr ns2:paraId="6FEAEF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2187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502E3261">
            <w:pPr>
              <w:pStyle w:val="14"/>
              <w:spacing w:before="272" w:line="480" w:lineRule="auto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评价因子</w:t>
            </w:r>
          </w:p>
        </w:tc>
        <w:tc>
          <w:tcPr>
            <w:tcW w:w="6166" w:type="dxa"/>
            <w:gridSpan w:val="3"/>
            <w:tcBorders>
              <w:top w:val="single" w:color="000000" w:sz="6" w:space="0"/>
            </w:tcBorders>
            <w:noWrap w:val="0"/>
            <w:vAlign w:val="top"/>
          </w:tcPr>
          <w:p ns2:paraId="2919EE7F">
            <w:pPr>
              <w:pStyle w:val="14"/>
              <w:spacing w:before="93" w:line="184" w:lineRule="auto"/>
              <w:ind w:left="2893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赋值</w:t>
            </w:r>
          </w:p>
        </w:tc>
        <w:tc>
          <w:tcPr>
            <w:tcW w:w="767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top"/>
          </w:tcPr>
          <w:p ns2:paraId="7D6521D6">
            <w:pPr>
              <w:spacing w:before="278" w:line="238" w:lineRule="auto"/>
              <w:ind w:left="277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Mn</w:t>
            </w:r>
          </w:p>
        </w:tc>
        <w:tc>
          <w:tcPr>
            <w:tcW w:w="767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top"/>
          </w:tcPr>
          <w:p ns2:paraId="08E467D4">
            <w:pPr>
              <w:spacing w:before="278" w:line="238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分值</w:t>
            </w:r>
          </w:p>
        </w:tc>
      </w:tr>
      <w:tr ns2:paraId="1CC15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2187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6CFC34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2175" w:type="dxa"/>
            <w:tcBorders>
              <w:bottom w:val="single" w:color="000000" w:sz="6" w:space="0"/>
            </w:tcBorders>
            <w:noWrap w:val="0"/>
            <w:vAlign w:val="top"/>
          </w:tcPr>
          <w:p ns2:paraId="43F67129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1</w:t>
            </w:r>
          </w:p>
        </w:tc>
        <w:tc>
          <w:tcPr>
            <w:tcW w:w="1994" w:type="dxa"/>
            <w:tcBorders>
              <w:bottom w:val="single" w:color="000000" w:sz="6" w:space="0"/>
            </w:tcBorders>
            <w:noWrap w:val="0"/>
            <w:vAlign w:val="top"/>
          </w:tcPr>
          <w:p ns2:paraId="69B601B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2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top"/>
          </w:tcPr>
          <w:p ns2:paraId="63AB9F7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3</w:t>
            </w:r>
          </w:p>
        </w:tc>
        <w:tc>
          <w:tcPr>
            <w:tcW w:w="76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0D60467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767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0F91FDF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ns2:paraId="76B50D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2187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5271758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火灾危险性类别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a</w:t>
            </w:r>
          </w:p>
        </w:tc>
        <w:tc>
          <w:tcPr>
            <w:tcW w:w="2175" w:type="dxa"/>
            <w:tcBorders>
              <w:top w:val="single" w:color="000000" w:sz="6" w:space="0"/>
            </w:tcBorders>
            <w:noWrap w:val="0"/>
            <w:vAlign w:val="center"/>
          </w:tcPr>
          <w:p ns2:paraId="742D79C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丁、戊类及其他</w:t>
            </w:r>
          </w:p>
        </w:tc>
        <w:tc>
          <w:tcPr>
            <w:tcW w:w="1994" w:type="dxa"/>
            <w:tcBorders>
              <w:top w:val="single" w:color="000000" w:sz="6" w:space="0"/>
            </w:tcBorders>
            <w:noWrap w:val="0"/>
            <w:vAlign w:val="center"/>
          </w:tcPr>
          <w:p ns2:paraId="020454A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乙、丙类</w:t>
            </w:r>
          </w:p>
        </w:tc>
        <w:tc>
          <w:tcPr>
            <w:tcW w:w="1997" w:type="dxa"/>
            <w:tcBorders>
              <w:top w:val="single" w:color="000000" w:sz="6" w:space="0"/>
            </w:tcBorders>
            <w:noWrap w:val="0"/>
            <w:vAlign w:val="center"/>
          </w:tcPr>
          <w:p ns2:paraId="6F7DC58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甲类</w:t>
            </w:r>
          </w:p>
        </w:tc>
        <w:tc>
          <w:tcPr>
            <w:tcW w:w="7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0291C32C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7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00AE8494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</w:tr>
      <w:tr ns2:paraId="0944E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2187" w:type="dxa"/>
            <w:tcBorders>
              <w:left w:val="single" w:color="000000" w:sz="6" w:space="0"/>
            </w:tcBorders>
            <w:noWrap w:val="0"/>
            <w:vAlign w:val="center"/>
          </w:tcPr>
          <w:p ns2:paraId="2F45090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化学品急性毒性危害类别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b</w:t>
            </w:r>
          </w:p>
        </w:tc>
        <w:tc>
          <w:tcPr>
            <w:tcW w:w="2175" w:type="dxa"/>
            <w:noWrap w:val="0"/>
            <w:vAlign w:val="center"/>
          </w:tcPr>
          <w:p ns2:paraId="6BF6FF4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类别4、类别5及其他</w:t>
            </w:r>
          </w:p>
        </w:tc>
        <w:tc>
          <w:tcPr>
            <w:tcW w:w="1994" w:type="dxa"/>
            <w:noWrap w:val="0"/>
            <w:vAlign w:val="center"/>
          </w:tcPr>
          <w:p ns2:paraId="2023B81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类别2、类别3</w:t>
            </w:r>
          </w:p>
        </w:tc>
        <w:tc>
          <w:tcPr>
            <w:tcW w:w="1997" w:type="dxa"/>
            <w:noWrap w:val="0"/>
            <w:vAlign w:val="center"/>
          </w:tcPr>
          <w:p ns2:paraId="1C097CA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类别1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03B8C1C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59C63262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</w:tr>
      <w:tr ns2:paraId="0A01A2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1" w:hRule="atLeast"/>
          <w:jc w:val="center"/>
        </w:trPr>
        <w:tc>
          <w:tcPr>
            <w:tcW w:w="2187" w:type="dxa"/>
            <w:tcBorders>
              <w:left w:val="single" w:color="000000" w:sz="6" w:space="0"/>
            </w:tcBorders>
            <w:noWrap w:val="0"/>
            <w:vAlign w:val="center"/>
          </w:tcPr>
          <w:p ns2:paraId="0543675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危险工艺和操作</w:t>
            </w:r>
          </w:p>
        </w:tc>
        <w:tc>
          <w:tcPr>
            <w:tcW w:w="2175" w:type="dxa"/>
            <w:noWrap w:val="0"/>
            <w:vAlign w:val="center"/>
          </w:tcPr>
          <w:p ns2:paraId="43AB835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不涉及危险化工 工艺和金属有机物合成反应(包括格氏反应), 且采用连续、间歇或半连续操作</w:t>
            </w:r>
          </w:p>
        </w:tc>
        <w:tc>
          <w:tcPr>
            <w:tcW w:w="1994" w:type="dxa"/>
            <w:noWrap w:val="0"/>
            <w:vAlign w:val="center"/>
          </w:tcPr>
          <w:p ns2:paraId="74D8DA1E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涉及危险工艺和金属有机物合成反应(包括格氏反 应), 且采用连续操作</w:t>
            </w:r>
          </w:p>
        </w:tc>
        <w:tc>
          <w:tcPr>
            <w:tcW w:w="1997" w:type="dxa"/>
            <w:noWrap w:val="0"/>
            <w:vAlign w:val="center"/>
          </w:tcPr>
          <w:p ns2:paraId="1DCF1D4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涉及危险工艺或金属有机物合成反应(包括格氏反 应),且采用间歇或半连续操作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18C78C7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473B0BC3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  <w:tr ns2:paraId="4CD2C9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2187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41880A8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重大危险源等级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c</w:t>
            </w:r>
          </w:p>
        </w:tc>
        <w:tc>
          <w:tcPr>
            <w:tcW w:w="2175" w:type="dxa"/>
            <w:tcBorders>
              <w:bottom w:val="single" w:color="000000" w:sz="6" w:space="0"/>
            </w:tcBorders>
            <w:noWrap w:val="0"/>
            <w:vAlign w:val="center"/>
          </w:tcPr>
          <w:p ns2:paraId="68319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非危险化学品重大危险源</w:t>
            </w:r>
          </w:p>
        </w:tc>
        <w:tc>
          <w:tcPr>
            <w:tcW w:w="1994" w:type="dxa"/>
            <w:tcBorders>
              <w:bottom w:val="single" w:color="000000" w:sz="6" w:space="0"/>
            </w:tcBorders>
            <w:noWrap w:val="0"/>
            <w:vAlign w:val="center"/>
          </w:tcPr>
          <w:p ns2:paraId="223A1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三级 、四级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2B280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二级 、一级</w:t>
            </w:r>
          </w:p>
        </w:tc>
        <w:tc>
          <w:tcPr>
            <w:tcW w:w="7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27CB9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4</w:t>
            </w:r>
          </w:p>
        </w:tc>
        <w:tc>
          <w:tcPr>
            <w:tcW w:w="7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AD6D7F0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微软雅黑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</w:tr>
    </w:tbl>
    <w:p ns2:paraId="6A334B1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5" w:line="176" w:lineRule="auto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M=MAX(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2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3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) </w:t>
      </w:r>
      <w:r>
        <w:rPr>
          <w:rFonts w:hint="eastAsia" w:cs="仿宋" w:ascii="仿宋" w:hAnsi="仿宋" w:eastAsia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=3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  ………………(A. 4)</w:t>
      </w:r>
    </w:p>
    <w:p ns2:paraId="4A37D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6343A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化学品固有危险性分值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570A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火灾危险性类别分值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244CD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化学品急性毒性危害类别分值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7840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危险工艺和操作分值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6F327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重大危险源等级分值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。</w:t>
      </w:r>
    </w:p>
    <w:p ns2:paraId="5C46E0D7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表A. 7 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化学品固有危险性分级</w:t>
      </w:r>
    </w:p>
    <w:p ns2:paraId="11F3A21A">
      <w:pPr>
        <w:spacing w:line="211" w:lineRule="exact"/>
      </w:pPr>
    </w:p>
    <w:tbl>
      <w:tblPr>
        <w:tblStyle w:val="15"/>
        <w:tblW w:w="903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524"/>
      </w:tblGrid>
      <w:tr ns2:paraId="15E78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  <w:jc w:val="center"/>
        </w:trPr>
        <w:tc>
          <w:tcPr>
            <w:tcW w:w="4515" w:type="dxa"/>
            <w:tcBorders>
              <w:right w:val="single" w:color="000000" w:sz="2" w:space="0"/>
            </w:tcBorders>
            <w:noWrap w:val="0"/>
            <w:vAlign w:val="center"/>
          </w:tcPr>
          <w:p ns2:paraId="3EF517C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化学品固有危险性分值</w:t>
            </w:r>
          </w:p>
        </w:tc>
        <w:tc>
          <w:tcPr>
            <w:tcW w:w="4524" w:type="dxa"/>
            <w:tcBorders>
              <w:left w:val="single" w:color="000000" w:sz="2" w:space="0"/>
            </w:tcBorders>
            <w:noWrap w:val="0"/>
            <w:vAlign w:val="center"/>
          </w:tcPr>
          <w:p ns2:paraId="0053F20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化学品固有危险性等级</w:t>
            </w:r>
          </w:p>
        </w:tc>
      </w:tr>
      <w:tr ns2:paraId="04768D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jc w:val="center"/>
        </w:trPr>
        <w:tc>
          <w:tcPr>
            <w:tcW w:w="4515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69A4CBA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4524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center"/>
          </w:tcPr>
          <w:p ns2:paraId="5439B1B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Ⅲ</w:t>
            </w:r>
          </w:p>
        </w:tc>
      </w:tr>
      <w:tr ns2:paraId="7654EE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4515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5744E1B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4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center"/>
          </w:tcPr>
          <w:p ns2:paraId="16EED2C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Ⅱ</w:t>
            </w:r>
          </w:p>
        </w:tc>
      </w:tr>
      <w:tr ns2:paraId="1D7703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4515" w:type="dxa"/>
            <w:tcBorders>
              <w:top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760F93F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4524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center"/>
          </w:tcPr>
          <w:p ns2:paraId="6CD1DFE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I</w:t>
            </w:r>
          </w:p>
        </w:tc>
      </w:tr>
    </w:tbl>
    <w:p ns2:paraId="5CCBA3C5">
      <w:pPr>
        <w:rPr>
          <w:rFonts w:ascii="Arial"/>
          <w:sz w:val="21"/>
        </w:rPr>
      </w:pPr>
    </w:p>
    <w:p ns2:paraId="5567705F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413" w:lineRule="auto"/>
        <w:ind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3、气象灾害（防雷）防御重点单位防雷安全风险等级（R）</w:t>
      </w:r>
    </w:p>
    <w:p ns2:paraId="23B71D17">
      <w:pPr>
        <w:rPr>
          <w:rFonts w:ascii="Arial" w:hAnsi="Arial" w:eastAsia="Arial" w:cs="Arial"/>
          <w:sz w:val="21"/>
          <w:szCs w:val="21"/>
        </w:rPr>
      </w:pPr>
    </w:p>
    <w:p ns2:paraId="31228EBB">
      <w:pPr>
        <w:spacing w:line="360" w:lineRule="auto"/>
        <w:ind w:firstLine="640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根据雷电灾害事故发生可能性(L)和雷电灾害事故后果严重性(S),按照下列公式计算出该公司防雷安全风险值(R)。</w:t>
      </w:r>
    </w:p>
    <w:p ns2:paraId="722F8D32">
      <w:pPr>
        <w:spacing w:line="360" w:lineRule="auto"/>
        <w:jc w:val="center"/>
        <w:rPr>
          <w:rFonts w:hint="default" w:ascii="Arial" w:hAnsi="Arial" w:eastAsia="Arial" w:cs="Arial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</w:pPr>
      <w:r>
        <w:rPr>
          <w:rFonts w:hint="eastAsia" w:ascii="Arial" w:hAnsi="Arial" w:eastAsia="Arial" w:cs="Arial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  <w:t>R=L×S=</w:t>
      </w:r>
      <w:r>
        <w:rPr>
          <w:rFonts w:hint="eastAsia" w:ascii="仿宋" w:hAnsi="仿宋" w:eastAsia="微软雅黑" w:cs="仿宋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  <w:t>1×3=3</w:t>
      </w:r>
    </w:p>
    <w:p ns2:paraId="4743742F">
      <w:pPr>
        <w:bidi w:val="0"/>
        <w:spacing w:line="360" w:lineRule="auto"/>
        <w:ind w:firstLine="640" w:firstLineChars="200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经综合评定，对照下列“风险评估指标危险等级表”，判定该公司存在：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较高气象（雷电）灾害风险。</w:t>
      </w:r>
    </w:p>
    <w:p ns2:paraId="7920C6B3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表A. 8  风险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评估指标危险等级</w:t>
      </w:r>
    </w:p>
    <w:p ns2:paraId="41E7FA52">
      <w:pPr>
        <w:spacing w:line="208" w:lineRule="exact"/>
      </w:pPr>
    </w:p>
    <w:tbl>
      <w:tblPr>
        <w:tblStyle w:val="15"/>
        <w:tblW w:w="9239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71"/>
        <w:gridCol w:w="3062"/>
        <w:gridCol w:w="3106"/>
      </w:tblGrid>
      <w:tr ns2:paraId="6CA11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3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6B41DA8F">
            <w:pPr>
              <w:spacing w:before="92" w:line="183" w:lineRule="auto"/>
              <w:ind w:left="117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危险等级</w:t>
            </w:r>
          </w:p>
        </w:tc>
        <w:tc>
          <w:tcPr>
            <w:tcW w:w="3062" w:type="dxa"/>
            <w:tcBorders>
              <w:top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DA44955">
            <w:pPr>
              <w:pStyle w:val="14"/>
              <w:spacing w:before="155" w:line="102" w:lineRule="exact"/>
              <w:ind w:left="1489"/>
              <w:rPr>
                <w:rFonts w:hint="eastAsia" w:eastAsia="微软雅黑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position w:val="1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310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5F87881D">
            <w:pPr>
              <w:spacing w:before="92" w:line="182" w:lineRule="auto"/>
              <w:ind w:left="138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sz w:val="21"/>
                <w:szCs w:val="21"/>
              </w:rPr>
              <w:t>说明</w:t>
            </w:r>
          </w:p>
        </w:tc>
      </w:tr>
      <w:tr ns2:paraId="1D5B5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071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top"/>
          </w:tcPr>
          <w:p ns2:paraId="7C9966F9">
            <w:pPr>
              <w:spacing w:before="86" w:line="183" w:lineRule="auto"/>
              <w:ind w:left="139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position w:val="-1"/>
                <w:sz w:val="21"/>
                <w:szCs w:val="21"/>
              </w:rPr>
              <w:t>I</w:t>
            </w:r>
            <w:r>
              <w:rPr>
                <w:rFonts w:ascii="微软雅黑" w:hAnsi="微软雅黑" w:eastAsia="微软雅黑" w:cs="微软雅黑"/>
                <w:spacing w:val="21"/>
                <w:w w:val="101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1"/>
                <w:position w:val="1"/>
                <w:sz w:val="21"/>
                <w:szCs w:val="21"/>
              </w:rPr>
              <w:t>级</w:t>
            </w:r>
          </w:p>
        </w:tc>
        <w:tc>
          <w:tcPr>
            <w:tcW w:w="3062" w:type="dxa"/>
            <w:tcBorders>
              <w:top w:val="single" w:color="000000" w:sz="6" w:space="0"/>
            </w:tcBorders>
            <w:noWrap w:val="0"/>
            <w:vAlign w:val="top"/>
          </w:tcPr>
          <w:p ns2:paraId="6583ABBC">
            <w:pPr>
              <w:pStyle w:val="14"/>
              <w:spacing w:before="75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>0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7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top"/>
          </w:tcPr>
          <w:p ns2:paraId="3BBF5B72">
            <w:pPr>
              <w:spacing w:before="86" w:line="184" w:lineRule="auto"/>
              <w:ind w:left="129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4"/>
                <w:sz w:val="21"/>
                <w:szCs w:val="21"/>
              </w:rPr>
              <w:t>低风险</w:t>
            </w:r>
          </w:p>
        </w:tc>
      </w:tr>
      <w:tr ns2:paraId="2226A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5E3DBDDD">
            <w:pPr>
              <w:spacing w:before="97" w:line="183" w:lineRule="auto"/>
              <w:ind w:left="139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17"/>
                <w:position w:val="-1"/>
                <w:sz w:val="21"/>
                <w:szCs w:val="21"/>
              </w:rPr>
              <w:t>Ⅱ</w:t>
            </w:r>
            <w:r>
              <w:rPr>
                <w:rFonts w:ascii="微软雅黑" w:hAnsi="微软雅黑" w:eastAsia="微软雅黑" w:cs="微软雅黑"/>
                <w:spacing w:val="-27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7"/>
                <w:position w:val="1"/>
                <w:sz w:val="21"/>
                <w:szCs w:val="21"/>
              </w:rPr>
              <w:t>级</w:t>
            </w:r>
          </w:p>
        </w:tc>
        <w:tc>
          <w:tcPr>
            <w:tcW w:w="3062" w:type="dxa"/>
            <w:noWrap w:val="0"/>
            <w:vAlign w:val="top"/>
          </w:tcPr>
          <w:p ns2:paraId="549C19B1">
            <w:pPr>
              <w:pStyle w:val="14"/>
              <w:spacing w:before="86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>2</w:t>
            </w:r>
            <w:r>
              <w:rPr>
                <w:spacing w:val="4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9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4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7A1FAFAD">
            <w:pPr>
              <w:spacing w:before="97" w:line="184" w:lineRule="auto"/>
              <w:ind w:left="120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较低风险</w:t>
            </w:r>
          </w:p>
        </w:tc>
      </w:tr>
      <w:tr ns2:paraId="25B5FC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6A28CEFF">
            <w:pPr>
              <w:spacing w:before="98" w:line="183" w:lineRule="auto"/>
              <w:ind w:left="138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Ⅲ级</w:t>
            </w:r>
          </w:p>
        </w:tc>
        <w:tc>
          <w:tcPr>
            <w:tcW w:w="3062" w:type="dxa"/>
            <w:noWrap w:val="0"/>
            <w:vAlign w:val="top"/>
          </w:tcPr>
          <w:p ns2:paraId="1A755A6F">
            <w:pPr>
              <w:pStyle w:val="14"/>
              <w:spacing w:before="87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 xml:space="preserve">, </w:t>
            </w:r>
            <w:r>
              <w:rPr>
                <w:spacing w:val="-2"/>
                <w:sz w:val="21"/>
                <w:szCs w:val="21"/>
              </w:rPr>
              <w:t>6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4A960D35">
            <w:pPr>
              <w:spacing w:before="99" w:line="183" w:lineRule="auto"/>
              <w:ind w:left="121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sz w:val="21"/>
                <w:szCs w:val="21"/>
              </w:rPr>
              <w:t>中等风险</w:t>
            </w:r>
          </w:p>
        </w:tc>
      </w:tr>
      <w:tr ns2:paraId="49C8BC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79FE2815">
            <w:pPr>
              <w:spacing w:before="100" w:line="183" w:lineRule="auto"/>
              <w:ind w:left="137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4"/>
                <w:sz w:val="21"/>
                <w:szCs w:val="21"/>
              </w:rPr>
              <w:t>Ⅳ级</w:t>
            </w:r>
          </w:p>
        </w:tc>
        <w:tc>
          <w:tcPr>
            <w:tcW w:w="3062" w:type="dxa"/>
            <w:noWrap w:val="0"/>
            <w:vAlign w:val="top"/>
          </w:tcPr>
          <w:p ns2:paraId="28D79409">
            <w:pPr>
              <w:pStyle w:val="14"/>
              <w:spacing w:before="89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[</w:t>
            </w:r>
            <w:r>
              <w:rPr>
                <w:spacing w:val="-3"/>
                <w:sz w:val="21"/>
                <w:szCs w:val="21"/>
              </w:rPr>
              <w:t>6</w:t>
            </w:r>
            <w:r>
              <w:rPr>
                <w:spacing w:val="7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7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8</w:t>
            </w: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0A49D81B">
            <w:pPr>
              <w:spacing w:before="100" w:line="184" w:lineRule="auto"/>
              <w:ind w:left="120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较高风险</w:t>
            </w:r>
          </w:p>
        </w:tc>
      </w:tr>
      <w:tr ns2:paraId="6B2BB0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5D3F00DB">
            <w:pPr>
              <w:spacing w:before="101" w:line="183" w:lineRule="auto"/>
              <w:ind w:left="137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26"/>
                <w:sz w:val="21"/>
                <w:szCs w:val="21"/>
              </w:rPr>
              <w:t>V级</w:t>
            </w:r>
          </w:p>
        </w:tc>
        <w:tc>
          <w:tcPr>
            <w:tcW w:w="3062" w:type="dxa"/>
            <w:tcBorders>
              <w:bottom w:val="single" w:color="000000" w:sz="6" w:space="0"/>
            </w:tcBorders>
            <w:noWrap w:val="0"/>
            <w:vAlign w:val="top"/>
          </w:tcPr>
          <w:p ns2:paraId="2A5A0C96">
            <w:pPr>
              <w:pStyle w:val="14"/>
              <w:spacing w:before="90" w:line="178" w:lineRule="auto"/>
              <w:ind w:left="127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1"/>
                <w:sz w:val="21"/>
                <w:szCs w:val="21"/>
              </w:rPr>
              <w:t>[</w:t>
            </w:r>
            <w:r>
              <w:rPr>
                <w:spacing w:val="-1"/>
                <w:sz w:val="21"/>
                <w:szCs w:val="21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1"/>
                <w:position w:val="1"/>
                <w:sz w:val="21"/>
                <w:szCs w:val="21"/>
              </w:rPr>
              <w:t xml:space="preserve">, </w:t>
            </w:r>
            <w:r>
              <w:rPr>
                <w:spacing w:val="-1"/>
                <w:sz w:val="21"/>
                <w:szCs w:val="21"/>
              </w:rPr>
              <w:t>10</w:t>
            </w:r>
            <w:r>
              <w:rPr>
                <w:rFonts w:ascii="微软雅黑" w:hAnsi="微软雅黑" w:eastAsia="微软雅黑" w:cs="微软雅黑"/>
                <w:spacing w:val="-1"/>
                <w:sz w:val="21"/>
                <w:szCs w:val="21"/>
              </w:rPr>
              <w:t>]</w:t>
            </w:r>
          </w:p>
        </w:tc>
        <w:tc>
          <w:tcPr>
            <w:tcW w:w="3106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32918D3F">
            <w:pPr>
              <w:spacing w:before="101" w:line="184" w:lineRule="auto"/>
              <w:ind w:left="1296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3"/>
                <w:sz w:val="21"/>
                <w:szCs w:val="21"/>
              </w:rPr>
              <w:t>高风险</w:t>
            </w:r>
          </w:p>
        </w:tc>
      </w:tr>
      <w:tr ns2:paraId="42D32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9239" w:type="dxa"/>
            <w:gridSpan w:val="3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top"/>
          </w:tcPr>
          <w:p ns2:paraId="7BB3EB8F">
            <w:pPr>
              <w:pStyle w:val="14"/>
              <w:spacing w:before="146" w:line="161" w:lineRule="auto"/>
              <w:ind w:left="47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/>
                <w:i/>
                <w:iCs/>
                <w:spacing w:val="20"/>
                <w:position w:val="-2"/>
                <w:sz w:val="21"/>
                <w:szCs w:val="21"/>
                <w:lang w:val="en-US" w:eastAsia="zh-CN"/>
              </w:rPr>
              <w:t>R</w:t>
            </w:r>
            <w:r>
              <w:rPr>
                <w:rFonts w:ascii="微软雅黑" w:hAnsi="微软雅黑" w:eastAsia="微软雅黑" w:cs="微软雅黑"/>
                <w:spacing w:val="20"/>
                <w:sz w:val="21"/>
                <w:szCs w:val="21"/>
              </w:rPr>
              <w:t>值与对应风险(用色标表示)的关系如下:</w:t>
            </w:r>
          </w:p>
        </w:tc>
      </w:tr>
      <w:tr ns2:paraId="1E3451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4" w:hRule="atLeast"/>
        </w:trPr>
        <w:tc>
          <w:tcPr>
            <w:tcW w:w="923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7FE3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综合评估（R）及对应风险</w:t>
            </w:r>
          </w:p>
          <w:p ns2:paraId="79E67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drawing>
                <ns4:inline distT="0" distB="0" distL="114300" distR="114300">
                  <ns4:extent cx="2562225" cy="861060"/>
                  <ns4:effectExtent l="0" t="0" r="3175" b="2540"/>
                  <ns4:docPr id="1" name="图片 20"/>
                  <ns4:cNvGraphicFramePr>
                    <ns5:graphicFrameLocks noChangeAspect="1"/>
                  </ns4:cNvGraphicFramePr>
                  <ns5:graphic>
                    <ns5:graphicData uri="http://schemas.openxmlformats.org/drawingml/2006/picture">
                      <ns6:pic>
                        <ns6:nvPicPr>
                          <ns6:cNvPr id="1" name="图片 20"/>
                          <ns6:cNvPicPr>
                            <ns5:picLocks noChangeAspect="1"/>
                          </ns6:cNvPicPr>
                        </ns6:nvPicPr>
                        <ns6:blipFill>
                          <ns5:blip ns3:embed="rId10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562225" cy="86106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4:inline>
              </w:drawing>
            </w:r>
          </w:p>
        </w:tc>
      </w:tr>
    </w:tbl>
    <w:p ns2:paraId="55990535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D9C3C7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E4CDAE8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sectPr>
          <w:footerReference ns3:id="rId5" w:type="default"/>
          <w:pgSz w:w="11905" w:h="16836"/>
          <w:pgMar w:top="1655" w:right="1327" w:bottom="1400" w:left="1327" w:header="1356" w:footer="1225" w:gutter="0"/>
          <w:paperSrc/>
          <w:pgNumType w:fmt="decimal" w:start="1"/>
          <w:cols w:space="720" w:num="1"/>
          <w:rtlGutter w:val="0"/>
          <w:docGrid w:linePitch="0" w:charSpace="0"/>
        </w:sectPr>
      </w:pPr>
    </w:p>
    <w:p ns2:paraId="0033718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附件3: 气象灾害防御（防雷）重点单位隐患排查表</w:t>
      </w:r>
    </w:p>
    <w:p ns2:paraId="0EC144D9"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气象灾害防御（防雷）重点单位隐患排查表</w:t>
      </w:r>
    </w:p>
    <w:tbl>
      <w:tblPr>
        <w:tblStyle w:val="10"/>
        <w:tblW w:w="103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524"/>
        <w:gridCol w:w="3152"/>
        <w:gridCol w:w="1212"/>
        <w:gridCol w:w="1325"/>
        <w:gridCol w:w="2801"/>
      </w:tblGrid>
      <w:tr ns2:paraId="04F5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0" w:hRule="atLeast"/>
          <w:jc w:val="center"/>
        </w:trPr>
        <w:tc>
          <w:tcPr>
            <w:tcW w:w="1301" w:type="dxa"/>
            <w:noWrap w:val="0"/>
            <w:vAlign w:val="center"/>
          </w:tcPr>
          <w:p ns2:paraId="4A234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分类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0E65F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项目内容</w:t>
            </w:r>
          </w:p>
        </w:tc>
        <w:tc>
          <w:tcPr>
            <w:tcW w:w="1212" w:type="dxa"/>
            <w:noWrap w:val="0"/>
            <w:vAlign w:val="center"/>
          </w:tcPr>
          <w:p ns2:paraId="6B13BC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标准依据</w:t>
            </w:r>
          </w:p>
        </w:tc>
        <w:tc>
          <w:tcPr>
            <w:tcW w:w="1325" w:type="dxa"/>
            <w:noWrap w:val="0"/>
            <w:vAlign w:val="center"/>
          </w:tcPr>
          <w:p ns2:paraId="5D734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判定结果</w:t>
            </w:r>
          </w:p>
        </w:tc>
        <w:tc>
          <w:tcPr>
            <w:tcW w:w="2801" w:type="dxa"/>
            <w:noWrap w:val="0"/>
            <w:vAlign w:val="center"/>
          </w:tcPr>
          <w:p ns2:paraId="290A6C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隐患具体描述</w:t>
            </w:r>
          </w:p>
        </w:tc>
      </w:tr>
      <w:tr ns2:paraId="5A0E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41E7F3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气象灾害防御（防雷）安全管理情况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3FE7E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1、是否建立气象（雷电）灾害预警信息接收和响应机制，并正常运行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65ADE7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《防雷安全重点单位雷电灾害防御工作指南</w:t>
            </w:r>
          </w:p>
          <w:p ns2:paraId="0453E6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》QX/T 694—2023:</w:t>
            </w:r>
          </w:p>
          <w:p ns2:paraId="434934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5、防雷管理 5.1、5.2、5.3、5.4、5.5。</w:t>
            </w:r>
          </w:p>
          <w:p ns2:paraId="52F9DD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6.5、雷电灾害风险隐患排查分级治理 6.5.1、6.5.2、6.5.3、</w:t>
            </w:r>
          </w:p>
        </w:tc>
        <w:tc>
          <w:tcPr>
            <w:tcW w:w="1325" w:type="dxa"/>
            <w:noWrap w:val="0"/>
            <w:vAlign w:val="center"/>
          </w:tcPr>
          <w:p ns2:paraId="0B2859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DB9AD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628C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650854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55A2B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2、是否建立气象（雷电）灾害安全管理工作机构，配备有专（兼）管理人员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41A56A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F9562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06B7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538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3BBCD3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E883A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3、是否建立健全气象灾害（防雷）安全工作责任制和安全管理制度，并定期召开防御能力分析会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618440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43A46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926CF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6F42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159AA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146969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4、是否制定有气象（雷电）灾害应急预案，并定期组织演练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3DF2CB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938A3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0A9F76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C9A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0140C6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24DC9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5、是否建立有必备的气象（雷电）灾害应急物资储备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3C3B9D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0A83D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C06A5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999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2B4FDB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84F99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6、是否接入“市气象局气象安全管理监察平台”，并按要求开展每季度自查自报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2977B8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19F96E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B8FB8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1F1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6476AA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2AFA20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7、接收到预警信息后，是否能有效组织应急联动与灾害处置，并及时报送灾情情况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516267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AD3A2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1EA31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7998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5D365C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A1B4E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8、是否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制定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有气象灾害防御（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安全教育培训计划,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并有针对性地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组织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气象灾害（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安全知识培训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135C2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2A40ED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0F692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C93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4E4CD6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1225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9、是否将气象灾害（防雷）安全保障投入，列入安全生产经费保障计划中，并落实到位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01F36E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5AC1DB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A3D45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474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2116A0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0FD161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10、是否建立有气象灾害防御（防雷）安全工作档案，并保存完整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27BDA4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A0074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2ABE8A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7D04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5C9595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雷电防护装置设施现状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1F4178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11、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独立接闪杆、架空接闪线或网的支柱及其接地装置至被保护建(构)筑物及与其有联系的管道、电缆等金属物之间的间隔距离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满足 GB50057 中的间隔距离要求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637BDCF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《建筑物防雷设计规范》</w:t>
            </w:r>
          </w:p>
          <w:p ns2:paraId="60A8F029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GB50057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-2022：</w:t>
            </w:r>
          </w:p>
          <w:p ns2:paraId="06803BA2">
            <w:pPr>
              <w:jc w:val="both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4.2，4.3，4.4</w:t>
            </w:r>
          </w:p>
        </w:tc>
        <w:tc>
          <w:tcPr>
            <w:tcW w:w="1325" w:type="dxa"/>
            <w:noWrap w:val="0"/>
            <w:vAlign w:val="center"/>
          </w:tcPr>
          <w:p ns2:paraId="1F68E21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023B34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634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0E32CF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0CAE32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12、是否存在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建(构)筑物周边有树木且不在接闪器保护范围之内时, 树木与建筑物之间的净距小于 5 m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77283A60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2E0A437D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B3FD0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409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27160D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23B67A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13、一、二级配电箱及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电气、仪表及信息系统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是否按相关标准规范要求配置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电涌保护器（SPD）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1CBEE41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458D223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01844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14C9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8E6E9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06E27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14、是否按要求，定期对雷电防护装置进行检测，对存在的隐患及时整改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58DE78DF">
            <w:p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《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建筑物雷电防护装置检测技术规范</w:t>
            </w:r>
          </w:p>
          <w:p ns2:paraId="69DAD8D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》GB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T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21431-2023</w:t>
            </w:r>
          </w:p>
        </w:tc>
        <w:tc>
          <w:tcPr>
            <w:tcW w:w="1325" w:type="dxa"/>
            <w:noWrap w:val="0"/>
            <w:vAlign w:val="center"/>
          </w:tcPr>
          <w:p ns2:paraId="5EC9B3F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4C1A2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C9F7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76B9F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102CFF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15、是否定期对雷电防护装备开展巡查、排查，并落实整改措施形成闭环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09F423D1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2909C2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6672F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A5F9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3E2885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新、改、扩建项目雷电防护装置审查和竣工验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收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948D8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16、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新、改、扩(建)项目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防雷设计审查意见或防雷施工图审查意见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0D05A82A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1065229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703998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D44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7F9F9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1933A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17、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新投入使用的建(构)筑物, 其雷电防护装置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取得竣工验收合格报告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44446782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773AAE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ECF2F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2E7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noWrap w:val="0"/>
            <w:vAlign w:val="center"/>
          </w:tcPr>
          <w:p ns2:paraId="3A9DFD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防雷安全标志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3D44E6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18、是否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对人员密集场所且具有雷击风险的户外区域、具有爆炸和火灾危险环境的露天生产设备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设置护栏、警告牌等防雷安全标志</w:t>
            </w:r>
          </w:p>
        </w:tc>
        <w:tc>
          <w:tcPr>
            <w:tcW w:w="1212" w:type="dxa"/>
            <w:noWrap w:val="0"/>
            <w:vAlign w:val="center"/>
          </w:tcPr>
          <w:p ns2:paraId="5F7F9948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60C65EB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55C66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1F0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3FE7C0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雷电灾害历史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415A55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19、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来，是否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遭受过雷电灾害, 经气象主管机构调查和鉴定后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未采取相关改善措施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16FD3DAE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6EF97A4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3917C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4FB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45D8C7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BE02F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20、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 xml:space="preserve">遭受过雷电灾害,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未向气象主管机构上报灾害情况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70C55479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549C8E9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85A20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292A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2" w:hRule="atLeast"/>
          <w:jc w:val="center"/>
        </w:trPr>
        <w:tc>
          <w:tcPr>
            <w:tcW w:w="10315" w:type="dxa"/>
            <w:gridSpan w:val="6"/>
            <w:noWrap w:val="0"/>
            <w:vAlign w:val="top"/>
          </w:tcPr>
          <w:p ns2:paraId="16548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其它：</w:t>
            </w:r>
          </w:p>
        </w:tc>
      </w:tr>
      <w:tr ns2:paraId="2893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825" w:type="dxa"/>
            <w:gridSpan w:val="2"/>
            <w:noWrap w:val="0"/>
            <w:vAlign w:val="center"/>
          </w:tcPr>
          <w:p ns2:paraId="6717CB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核查人员</w:t>
            </w:r>
          </w:p>
        </w:tc>
        <w:tc>
          <w:tcPr>
            <w:tcW w:w="8490" w:type="dxa"/>
            <w:gridSpan w:val="4"/>
            <w:noWrap w:val="0"/>
            <w:vAlign w:val="top"/>
          </w:tcPr>
          <w:p ns2:paraId="357FC2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</w:p>
        </w:tc>
      </w:tr>
      <w:tr ns2:paraId="786C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825" w:type="dxa"/>
            <w:gridSpan w:val="2"/>
            <w:noWrap w:val="0"/>
            <w:vAlign w:val="center"/>
          </w:tcPr>
          <w:p ns2:paraId="01E71D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被检单位</w:t>
            </w:r>
          </w:p>
          <w:p ns2:paraId="6A203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（签字</w:t>
            </w:r>
            <w:r>
              <w:rPr>
                <w:rFonts w:hint="default" w:ascii="仿宋_GB2312" w:hAnsi="仿宋_GB2312" w:eastAsia="仿宋_GB2312" w:cs="仿宋_GB2312"/>
                <w:sz w:val="24"/>
                <w:lang w:val="en" w:eastAsia="zh-CN"/>
              </w:rPr>
              <w:t>/</w:t>
            </w:r>
            <w:r>
              <w:rPr>
                <w:rFonts w:hint="eastAsia" w:ascii="仿宋_GB2312" w:hAnsi="仿宋_GB2312" w:eastAsia="仿宋_GB2312" w:cs="仿宋_GB2312"/>
                <w:sz w:val="24"/>
                <w:lang w:val="en" w:eastAsia="zh-CN"/>
              </w:rPr>
              <w:t>盖章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）</w:t>
            </w:r>
          </w:p>
        </w:tc>
        <w:tc>
          <w:tcPr>
            <w:tcW w:w="8490" w:type="dxa"/>
            <w:gridSpan w:val="4"/>
            <w:noWrap w:val="0"/>
            <w:vAlign w:val="top"/>
          </w:tcPr>
          <w:p ns2:paraId="09735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</w:tr>
    </w:tbl>
    <w:p ns2:paraId="62E30E41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sz w:val="40"/>
          <w:szCs w:val="22"/>
          <w:lang w:val="en-US" w:eastAsia="zh-CN"/>
        </w:rPr>
        <w:sectPr>
          <w:pgSz w:w="11905" w:h="16836"/>
          <w:pgMar w:top="1655" w:right="1327" w:bottom="1400" w:left="1327" w:header="1356" w:footer="1225" w:gutter="0"/>
          <w:paperSrc/>
          <w:pgNumType w:fmt="decimal"/>
          <w:cols w:space="720" w:num="1"/>
          <w:rtlGutter w:val="0"/>
          <w:docGrid w:linePitch="0" w:charSpace="0"/>
        </w:sectPr>
      </w:pPr>
    </w:p>
    <w:p ns2:paraId="59D4F09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附件4：现场检查与核对照片</w:t>
      </w:r>
    </w:p>
    <w:p ns2:paraId="6600F8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ns2:paraId="33594A4F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1、防雷检测报告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ns2:paraId="09E8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2" w:hRule="atLeast"/>
        </w:trPr>
        <w:tc>
          <w:tcPr>
            <w:tcW w:w="8520" w:type="dxa"/>
            <w:noWrap w:val="0"/>
            <w:vAlign w:val="top"/>
          </w:tcPr>
          <w:p ns2:paraId="0A920D73">
            <w:pPr>
              <w:jc w:val="center"/>
              <w:rPr>
                <w:rFonts w:hint="eastAsia" w:eastAsia="宋体"/>
                <w:color w:val="auto"/>
                <w:lang w:eastAsia="zh-CN"/>
              </w:rPr>
            </w:pPr>
          </w:p>
        </w:tc>
      </w:tr>
    </w:tbl>
    <w:p ns2:paraId="5E81D2E9">
      <w:pPr>
        <w:rPr>
          <w:color w:val="auto"/>
        </w:rPr>
      </w:pPr>
    </w:p>
    <w:p ns2:paraId="396832C3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2、单位营业执照</w:t>
      </w:r>
    </w:p>
    <w:tbl>
      <w:tblPr>
        <w:tblStyle w:val="10"/>
        <w:tblW w:w="8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1"/>
      </w:tblGrid>
      <w:tr ns2:paraId="6D88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2" w:hRule="atLeast"/>
        </w:trPr>
        <w:tc>
          <w:tcPr>
            <w:tcW w:w="8351" w:type="dxa"/>
            <w:noWrap w:val="0"/>
            <w:vAlign w:val="top"/>
          </w:tcPr>
          <w:p ns2:paraId="23423262">
            <w:pPr>
              <w:rPr>
                <w:rFonts w:hint="eastAsia" w:eastAsia="宋体"/>
                <w:color w:val="auto"/>
                <w:lang w:eastAsia="zh-CN"/>
              </w:rPr>
            </w:pPr>
          </w:p>
        </w:tc>
      </w:tr>
    </w:tbl>
    <w:p ns2:paraId="6ED6C75C">
      <w:pPr>
        <w:rPr>
          <w:rFonts w:ascii="宋体" w:hAnsi="宋体" w:cs="宋体"/>
          <w:color w:val="auto"/>
          <w:sz w:val="36"/>
          <w:szCs w:val="36"/>
        </w:rPr>
      </w:pPr>
    </w:p>
    <w:p ns2:paraId="7B08CC6F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3、现场照片</w:t>
      </w:r>
    </w:p>
    <w:tbl>
      <w:tblPr>
        <w:tblStyle w:val="10"/>
        <w:tblW w:w="86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4309"/>
      </w:tblGrid>
      <w:tr ns2:paraId="284F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218CEEDF">
            <w:pPr>
              <w:jc w:val="center"/>
              <w:rPr>
                <w:rFonts w:hint="eastAsia" w:ascii="宋体" w:hAnsi="宋体" w:eastAsia="宋体" w:cs="宋体"/>
                <w:color w:val="auto"/>
                <w:sz w:val="36"/>
                <w:szCs w:val="36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1423A3EC">
            <w:pPr>
              <w:jc w:val="center"/>
              <w:rPr>
                <w:rFonts w:hint="eastAsia" w:ascii="宋体" w:hAnsi="宋体" w:eastAsia="宋体" w:cs="宋体"/>
                <w:color w:val="auto"/>
                <w:sz w:val="36"/>
                <w:szCs w:val="36"/>
                <w:lang w:eastAsia="zh-CN"/>
              </w:rPr>
            </w:pPr>
          </w:p>
        </w:tc>
      </w:tr>
      <w:tr ns2:paraId="08D5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09B54722">
            <w:pPr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公司</w:t>
            </w:r>
            <w:r>
              <w:rPr>
                <w:rFonts w:hint="eastAsia" w:ascii="宋体" w:hAnsi="宋体" w:cs="宋体"/>
                <w:color w:val="auto"/>
                <w:sz w:val="32"/>
                <w:szCs w:val="32"/>
                <w:lang w:eastAsia="zh-CN"/>
              </w:rPr>
              <w:t>门面照</w:t>
            </w:r>
          </w:p>
        </w:tc>
        <w:tc>
          <w:tcPr>
            <w:tcW w:w="4309" w:type="dxa"/>
            <w:noWrap w:val="0"/>
            <w:vAlign w:val="center"/>
          </w:tcPr>
          <w:p ns2:paraId="5AB880BB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</w:t>
            </w:r>
          </w:p>
        </w:tc>
      </w:tr>
      <w:tr ns2:paraId="2485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1EABCDF2">
            <w:pPr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56B064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</w:p>
        </w:tc>
      </w:tr>
      <w:tr ns2:paraId="47AB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1314A740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企业内部防雷措施</w:t>
            </w:r>
          </w:p>
        </w:tc>
        <w:tc>
          <w:tcPr>
            <w:tcW w:w="4309" w:type="dxa"/>
            <w:noWrap w:val="0"/>
            <w:vAlign w:val="center"/>
          </w:tcPr>
          <w:p ns2:paraId="6B5686A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企业内部防雷措施</w:t>
            </w:r>
          </w:p>
        </w:tc>
      </w:tr>
      <w:tr ns2:paraId="06A2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651CA282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2C127807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</w:p>
        </w:tc>
      </w:tr>
      <w:tr ns2:paraId="3CC6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23890D34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应急物资</w:t>
            </w:r>
          </w:p>
        </w:tc>
        <w:tc>
          <w:tcPr>
            <w:tcW w:w="4309" w:type="dxa"/>
            <w:noWrap w:val="0"/>
            <w:vAlign w:val="center"/>
          </w:tcPr>
          <w:p ns2:paraId="6692DF17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主要风险点部位</w:t>
            </w:r>
          </w:p>
        </w:tc>
      </w:tr>
      <w:tr ns2:paraId="1C8C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0E8C5B49">
            <w:pPr>
              <w:jc w:val="center"/>
              <w:rPr>
                <w:rFonts w:hint="eastAsia" w:ascii="宋体" w:hAnsi="宋体" w:eastAsia="宋体" w:cs="宋体"/>
                <w:color w:val="0000FF"/>
                <w:sz w:val="32"/>
                <w:szCs w:val="32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68F18F45">
            <w:pPr>
              <w:jc w:val="center"/>
              <w:rPr>
                <w:rFonts w:hint="eastAsia" w:ascii="宋体" w:hAnsi="宋体" w:eastAsia="宋体" w:cs="宋体"/>
                <w:color w:val="0000FF"/>
                <w:sz w:val="32"/>
                <w:szCs w:val="32"/>
                <w:lang w:eastAsia="zh-CN"/>
              </w:rPr>
            </w:pPr>
          </w:p>
        </w:tc>
      </w:tr>
      <w:tr ns2:paraId="1F06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4309" w:type="dxa"/>
            <w:noWrap w:val="0"/>
            <w:vAlign w:val="center"/>
          </w:tcPr>
          <w:p ns2:paraId="246945F5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企业自查自报</w:t>
            </w:r>
          </w:p>
        </w:tc>
        <w:tc>
          <w:tcPr>
            <w:tcW w:w="4309" w:type="dxa"/>
            <w:noWrap w:val="0"/>
            <w:vAlign w:val="center"/>
          </w:tcPr>
          <w:p ns2:paraId="3147C807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雷电监测设备</w:t>
            </w:r>
          </w:p>
        </w:tc>
      </w:tr>
    </w:tbl>
    <w:p ns2:paraId="7703C0AC">
      <w:pPr>
        <w:jc w:val="center"/>
        <w:rPr>
          <w:rFonts w:hint="eastAsia" w:ascii="宋体" w:hAnsi="宋体" w:eastAsia="宋体" w:cs="宋体"/>
          <w:color w:val="auto"/>
          <w:sz w:val="36"/>
          <w:szCs w:val="36"/>
          <w:lang w:eastAsia="zh-CN"/>
        </w:rPr>
        <w:sectPr>
          <w:footerReference ns3:id="rId6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ns2:paraId="588537C9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4、气象灾害防御主体责任承诺书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ns2:paraId="2588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5" w:hRule="atLeast"/>
          <w:jc w:val="center"/>
        </w:trPr>
        <w:tc>
          <w:tcPr>
            <w:tcW w:w="8522" w:type="dxa"/>
            <w:noWrap w:val="0"/>
            <w:vAlign w:val="top"/>
          </w:tcPr>
          <w:p ns2:paraId="791754E9">
            <w:pPr>
              <w:rPr>
                <w:rFonts w:hint="eastAsia" w:ascii="方正小标宋简体" w:hAnsi="宋体" w:eastAsia="方正小标宋简体" w:cs="宋体"/>
                <w:color w:val="auto"/>
                <w:sz w:val="52"/>
                <w:szCs w:val="52"/>
                <w:lang w:eastAsia="zh-CN"/>
              </w:rPr>
            </w:pPr>
          </w:p>
        </w:tc>
      </w:tr>
    </w:tbl>
    <w:p ns2:paraId="1D28540A">
      <w:pPr>
        <w:rPr>
          <w:color w:val="auto"/>
        </w:rPr>
      </w:pPr>
    </w:p>
    <w:p ns2:paraId="6F0F13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  <w:sectPr>
          <w:pgSz w:w="11905" w:h="16836"/>
          <w:pgMar w:top="1654" w:right="1324" w:bottom="1401" w:left="1324" w:header="1356" w:footer="1224" w:gutter="0"/>
          <w:pgNumType w:fmt="decimal"/>
          <w:cols w:space="720" w:num="1"/>
        </w:sectPr>
      </w:pPr>
    </w:p>
    <w:p ns2:paraId="24DAB19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附件5：气象灾害防御（防雷）安全重点单位“重点部位”风险分类分级管控清单</w:t>
      </w:r>
    </w:p>
    <w:p ns2:paraId="3A58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1" w:beforeLines="50" w:line="360" w:lineRule="auto"/>
        <w:jc w:val="center"/>
        <w:textAlignment w:val="auto"/>
        <w:rPr>
          <w:rFonts w:hint="eastAsia" w:ascii="黑体" w:hAnsi="黑体" w:eastAsia="黑体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气象灾害防御（防雷）安全重点单位“重点部位”风险分类分级管控清单</w:t>
      </w:r>
    </w:p>
    <w:p ns2:paraId="79318161"/>
    <w:tbl>
      <w:tblPr>
        <w:tblStyle w:val="9"/>
        <w:tblW w:w="147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26"/>
        <w:gridCol w:w="2256"/>
        <w:gridCol w:w="2016"/>
        <w:gridCol w:w="1390"/>
        <w:gridCol w:w="1275"/>
        <w:gridCol w:w="5670"/>
      </w:tblGrid>
      <w:tr ns2:paraId="6C105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04" w:type="dxa"/>
            <w:noWrap w:val="0"/>
            <w:vAlign w:val="center"/>
          </w:tcPr>
          <w:p ns2:paraId="20955BDD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序号</w:t>
            </w:r>
          </w:p>
        </w:tc>
        <w:tc>
          <w:tcPr>
            <w:tcW w:w="1426" w:type="dxa"/>
            <w:noWrap w:val="0"/>
            <w:vAlign w:val="center"/>
          </w:tcPr>
          <w:p ns2:paraId="0B7AFC1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场所</w:t>
            </w:r>
          </w:p>
        </w:tc>
        <w:tc>
          <w:tcPr>
            <w:tcW w:w="2256" w:type="dxa"/>
            <w:noWrap w:val="0"/>
            <w:vAlign w:val="center"/>
          </w:tcPr>
          <w:p ns2:paraId="274390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风险描述</w:t>
            </w:r>
          </w:p>
        </w:tc>
        <w:tc>
          <w:tcPr>
            <w:tcW w:w="2016" w:type="dxa"/>
            <w:noWrap w:val="0"/>
            <w:vAlign w:val="center"/>
          </w:tcPr>
          <w:p ns2:paraId="654D00E0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可能导致的事故类型</w:t>
            </w:r>
          </w:p>
        </w:tc>
        <w:tc>
          <w:tcPr>
            <w:tcW w:w="1390" w:type="dxa"/>
            <w:noWrap w:val="0"/>
            <w:vAlign w:val="center"/>
          </w:tcPr>
          <w:p ns2:paraId="3E0ACE11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风险等级</w:t>
            </w:r>
          </w:p>
        </w:tc>
        <w:tc>
          <w:tcPr>
            <w:tcW w:w="1275" w:type="dxa"/>
            <w:noWrap w:val="0"/>
            <w:vAlign w:val="center"/>
          </w:tcPr>
          <w:p ns2:paraId="5BA41140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标示颜色</w:t>
            </w:r>
          </w:p>
        </w:tc>
        <w:tc>
          <w:tcPr>
            <w:tcW w:w="5670" w:type="dxa"/>
            <w:noWrap w:val="0"/>
            <w:vAlign w:val="center"/>
          </w:tcPr>
          <w:p ns2:paraId="12B8927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管控措施</w:t>
            </w:r>
          </w:p>
        </w:tc>
      </w:tr>
      <w:tr ns2:paraId="1758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6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18F4F7D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BD536A9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气罐</w:t>
            </w:r>
            <w:r>
              <w:rPr>
                <w:rFonts w:ascii="仿宋_GB2312" w:eastAsia="仿宋_GB2312"/>
                <w:color w:val="FF0000"/>
                <w:sz w:val="24"/>
              </w:rPr>
              <w:t>区</w:t>
            </w:r>
          </w:p>
          <w:p ns2:paraId="32515CB2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（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卸气</w:t>
            </w:r>
            <w:r>
              <w:rPr>
                <w:rFonts w:ascii="仿宋_GB2312" w:eastAsia="仿宋_GB2312"/>
                <w:color w:val="FF0000"/>
                <w:sz w:val="24"/>
              </w:rPr>
              <w:t>区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）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CE2B9CD">
            <w:pPr>
              <w:jc w:val="left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卸气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作业时，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</w:t>
            </w:r>
            <w:r>
              <w:rPr>
                <w:rFonts w:ascii="仿宋_GB2312" w:eastAsia="仿宋_GB2312"/>
                <w:color w:val="FF0000"/>
                <w:sz w:val="24"/>
              </w:rPr>
              <w:t>罐车及卸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</w:t>
            </w:r>
            <w:r>
              <w:rPr>
                <w:rFonts w:ascii="仿宋_GB2312" w:eastAsia="仿宋_GB2312"/>
                <w:color w:val="FF0000"/>
                <w:sz w:val="24"/>
              </w:rPr>
              <w:t>管接头泄漏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，遭遇雷击。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45498738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火灾、爆炸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176CB37C">
            <w:pPr>
              <w:jc w:val="center"/>
              <w:rPr>
                <w:rFonts w:hint="eastAsia" w:ascii="仿宋_GB2312" w:eastAsia="仿宋_GB2312"/>
                <w:color w:val="FF0000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较</w:t>
            </w:r>
            <w:r>
              <w:rPr>
                <w:rFonts w:hint="eastAsia" w:ascii="仿宋_GB2312" w:eastAsia="仿宋_GB2312"/>
                <w:color w:val="FF0000"/>
                <w:sz w:val="24"/>
                <w:lang w:val="en-US" w:eastAsia="zh-CN"/>
              </w:rPr>
              <w:t>高</w:t>
            </w:r>
          </w:p>
        </w:tc>
        <w:tc>
          <w:tcPr>
            <w:tcW w:w="1275" w:type="dxa"/>
            <w:shd w:val="clear" w:color="auto" w:fill="ED7D31"/>
            <w:noWrap w:val="0"/>
            <w:vAlign w:val="center"/>
          </w:tcPr>
          <w:p ns2:paraId="1302893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橙色</w:t>
            </w:r>
          </w:p>
        </w:tc>
        <w:tc>
          <w:tcPr>
            <w:tcW w:w="5670" w:type="dxa"/>
            <w:noWrap w:val="0"/>
            <w:vAlign w:val="center"/>
          </w:tcPr>
          <w:p ns2:paraId="4F5C9E3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前车辆停稳、熄火、静置。</w:t>
            </w:r>
          </w:p>
          <w:p ns2:paraId="2FBF260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前应连接静电接地夹。</w:t>
            </w:r>
          </w:p>
          <w:p ns2:paraId="20B83733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时周边进行隔离，禁止其他人员或车间进入。</w:t>
            </w:r>
          </w:p>
          <w:p ns2:paraId="235D83B8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4.定期安全教育培训</w:t>
            </w:r>
          </w:p>
          <w:p ns2:paraId="583A358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5.定期进行隐患巡查。</w:t>
            </w:r>
          </w:p>
          <w:p ns2:paraId="2AAEA4AB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6.定期维护保养设备，定期对防雷装置、接地装置进行检验。</w:t>
            </w:r>
          </w:p>
          <w:p ns2:paraId="08AE828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7.现场配备灭火器、消防砂等应急物资。</w:t>
            </w:r>
          </w:p>
          <w:p ns2:paraId="43B62C0D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8.定期开展应急演练。</w:t>
            </w:r>
          </w:p>
        </w:tc>
      </w:tr>
      <w:tr ns2:paraId="66C1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5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232B02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0A0B2EF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区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58346C79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液化石油气</w:t>
            </w:r>
            <w:r>
              <w:rPr>
                <w:rFonts w:hint="eastAsia" w:ascii="仿宋_GB2312" w:eastAsia="仿宋_GB2312"/>
                <w:sz w:val="24"/>
              </w:rPr>
              <w:t>泄露遭遇雷击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70AEB2C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火灾、爆炸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7F4EE9D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较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高</w:t>
            </w:r>
          </w:p>
        </w:tc>
        <w:tc>
          <w:tcPr>
            <w:tcW w:w="1275" w:type="dxa"/>
            <w:shd w:val="clear" w:color="auto" w:fill="ED7D31"/>
            <w:noWrap w:val="0"/>
            <w:vAlign w:val="center"/>
          </w:tcPr>
          <w:p ns2:paraId="4D269DE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橙色</w:t>
            </w:r>
          </w:p>
        </w:tc>
        <w:tc>
          <w:tcPr>
            <w:tcW w:w="5670" w:type="dxa"/>
            <w:noWrap w:val="0"/>
            <w:vAlign w:val="center"/>
          </w:tcPr>
          <w:p ns2:paraId="3EF9FFC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机设置设置拉断阀、截切阀。</w:t>
            </w:r>
          </w:p>
          <w:p ns2:paraId="58A14F0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气机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机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端部位设置防撞栏，如加装金属防撞要加装接地措施。</w:t>
            </w:r>
          </w:p>
          <w:p ns2:paraId="5DDFFEA3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3.设置油气回收装置。</w:t>
            </w:r>
          </w:p>
          <w:p ns2:paraId="5DB0731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4.定期安全教育培训。</w:t>
            </w:r>
          </w:p>
          <w:p ns2:paraId="0C389BD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5.定期进行隐患巡查。</w:t>
            </w:r>
          </w:p>
          <w:p ns2:paraId="4B1F38C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6.定期维护保养设备，定期对防雷装置、接地装置进行检验。</w:t>
            </w:r>
          </w:p>
          <w:p ns2:paraId="4C76060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7.现场配备灭火器、消防砂、灭火毯等应急物资。</w:t>
            </w:r>
          </w:p>
          <w:p ns2:paraId="09051DA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8.定期开展应急演练。</w:t>
            </w:r>
          </w:p>
        </w:tc>
      </w:tr>
      <w:tr ns2:paraId="3418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2F94076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28E42E2B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配电房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2894DA9A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36B88185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791B632F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2D19296E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12A497FA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1.电气线路套管保护，安全过载、漏电保护装置。</w:t>
            </w:r>
          </w:p>
          <w:p ns2:paraId="28B2C4F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2.定期安全教育培训。</w:t>
            </w:r>
          </w:p>
          <w:p ns2:paraId="2D2D6221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3.定期进行隐患巡查。</w:t>
            </w:r>
          </w:p>
          <w:p ns2:paraId="499D2E9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4.定期开展电气防火技术检测。</w:t>
            </w:r>
          </w:p>
          <w:p ns2:paraId="1B9A1CB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5.现场配备灭火器等应急物资。</w:t>
            </w:r>
          </w:p>
          <w:p ns2:paraId="1471318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6.定期开展应急演练。</w:t>
            </w:r>
          </w:p>
        </w:tc>
      </w:tr>
      <w:tr ns2:paraId="6E0B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6B9534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EB8A0B9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储罐房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D44880F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电气线路、电气设备遭遇雷击、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水淹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DE35E2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F9C6C29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3AA5B5F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1753170C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1.电气线路套管保护，安全过载、漏电保护装置。</w:t>
            </w:r>
          </w:p>
          <w:p ns2:paraId="55174441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2.定期安全教育培训。</w:t>
            </w:r>
          </w:p>
          <w:p ns2:paraId="3E67324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3.定期进行隐患巡查。</w:t>
            </w:r>
          </w:p>
          <w:p ns2:paraId="31B3782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4.定期开展电气防火技术检测。</w:t>
            </w:r>
          </w:p>
          <w:p ns2:paraId="2F28DE5B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5.现场配备灭火器等应急物资。</w:t>
            </w:r>
          </w:p>
          <w:p ns2:paraId="68A2DEA6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6.定期开展应急演练。</w:t>
            </w:r>
          </w:p>
        </w:tc>
      </w:tr>
      <w:tr ns2:paraId="725E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3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6B0CCDA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719806A1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站周边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597E8E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遇到暴雨，山体水土流失发生坍塌，对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加气</w:t>
            </w:r>
            <w:r>
              <w:rPr>
                <w:rFonts w:hint="eastAsia" w:ascii="仿宋_GB2312" w:eastAsia="仿宋_GB2312"/>
                <w:sz w:val="24"/>
              </w:rPr>
              <w:t>站的设备设施造成损坏，甚至造成人员伤亡。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3CD04B2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坍塌、物体打击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3D239644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796B42B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0DDB1026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1.设置防护措施、警示标志等。</w:t>
            </w:r>
          </w:p>
          <w:p ns2:paraId="594AB2A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2.定期进行巡查，发现异常报相关部门检测。</w:t>
            </w:r>
          </w:p>
          <w:p ns2:paraId="76C9167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3.收到气象灾害预警时，设置警戒线，禁止人员靠近。</w:t>
            </w:r>
          </w:p>
          <w:p ns2:paraId="425982D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4.定期开展应急演练。</w:t>
            </w:r>
          </w:p>
        </w:tc>
      </w:tr>
      <w:tr ns2:paraId="2B79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61C5C1A7">
            <w:pPr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6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00D29D00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办公楼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93768A3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电气线路老化、过载、人员抽烟、纸张堆放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7BE03C4F">
            <w:pPr>
              <w:jc w:val="lef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火灾、触电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62C0DB4D">
            <w:pPr>
              <w:jc w:val="center"/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val="en-US" w:eastAsia="zh-CN"/>
              </w:rPr>
              <w:t>较低</w:t>
            </w:r>
          </w:p>
        </w:tc>
        <w:tc>
          <w:tcPr>
            <w:tcW w:w="1275" w:type="dxa"/>
            <w:shd w:val="clear" w:color="auto" w:fill="0070C0"/>
            <w:noWrap w:val="0"/>
            <w:vAlign w:val="center"/>
          </w:tcPr>
          <w:p ns2:paraId="7C152F2B">
            <w:pPr>
              <w:jc w:val="center"/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  <w:t>蓝色</w:t>
            </w:r>
          </w:p>
        </w:tc>
        <w:tc>
          <w:tcPr>
            <w:tcW w:w="5670" w:type="dxa"/>
            <w:noWrap w:val="0"/>
            <w:vAlign w:val="center"/>
          </w:tcPr>
          <w:p ns2:paraId="3F7FC3FE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1.定期检查电气线路。</w:t>
            </w:r>
          </w:p>
          <w:p ns2:paraId="70B2E2E6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2.纸张不摆放在电气设备旁。</w:t>
            </w:r>
          </w:p>
          <w:p ns2:paraId="09DE7E80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3.禁止人员抽烟。</w:t>
            </w:r>
          </w:p>
        </w:tc>
      </w:tr>
      <w:tr ns2:paraId="5294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31580100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0FB7E3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配电房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1C04DF4">
            <w:pPr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3381B73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833412F">
            <w:pPr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34689EBC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07440DA4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1.电气线路套管保护，安全过载、漏电保护装置。</w:t>
            </w:r>
          </w:p>
          <w:p ns2:paraId="11CD2025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2.定期安全教育培训。</w:t>
            </w:r>
          </w:p>
          <w:p ns2:paraId="025DA310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3.定期进行隐患巡查。</w:t>
            </w:r>
          </w:p>
          <w:p ns2:paraId="0C577C23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4.定期开展电气防火技术检测。</w:t>
            </w:r>
          </w:p>
          <w:p ns2:paraId="126D03CD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5.现场配备灭火器等应急物资。</w:t>
            </w:r>
          </w:p>
          <w:p ns2:paraId="4BC9ED7A">
            <w:pPr>
              <w:jc w:val="left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6.定期开展应急演练。</w:t>
            </w:r>
          </w:p>
        </w:tc>
      </w:tr>
      <w:tr ns2:paraId="7935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AA98426">
            <w:pPr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181D65D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kern w:val="2"/>
                <w:sz w:val="24"/>
                <w:szCs w:val="24"/>
                <w:lang w:val="en-US" w:eastAsia="zh-CN" w:bidi="ar-SA"/>
              </w:rPr>
              <w:t>候车厅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019C1D1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69C5BD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30FDE54D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较低</w:t>
            </w:r>
          </w:p>
        </w:tc>
        <w:tc>
          <w:tcPr>
            <w:tcW w:w="1275" w:type="dxa"/>
            <w:shd w:val="clear" w:color="auto" w:fill="4874CB"/>
            <w:noWrap w:val="0"/>
            <w:vAlign w:val="center"/>
          </w:tcPr>
          <w:p ns2:paraId="1302C922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蓝色</w:t>
            </w:r>
          </w:p>
        </w:tc>
        <w:tc>
          <w:tcPr>
            <w:tcW w:w="5670" w:type="dxa"/>
            <w:noWrap w:val="0"/>
            <w:vAlign w:val="center"/>
          </w:tcPr>
          <w:p ns2:paraId="5112EE0B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1.电气线路套管保护，安全过载、漏电保护装置。</w:t>
            </w:r>
          </w:p>
          <w:p ns2:paraId="6B56F567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2.定期安全教育培训。</w:t>
            </w:r>
          </w:p>
          <w:p ns2:paraId="705D63F2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3.定期进行隐患巡查。</w:t>
            </w:r>
          </w:p>
          <w:p ns2:paraId="1798C251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4.定期开展电气防火技术检测。</w:t>
            </w:r>
          </w:p>
          <w:p ns2:paraId="73ECC3FD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5.现场配备灭火器等应急物资。</w:t>
            </w:r>
          </w:p>
          <w:p ns2:paraId="76250904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6.定期开展应急演练。</w:t>
            </w:r>
          </w:p>
        </w:tc>
      </w:tr>
    </w:tbl>
    <w:p ns2:paraId="3E4F28AB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DBA3FEE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EFEE73E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5F1CDB7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930BBF5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1C6F080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8D6AE59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C2B86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附件6：风险四色图</w:t>
      </w:r>
    </w:p>
    <w:p ns2:paraId="047E5A79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风险四色图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4"/>
      </w:tblGrid>
      <w:tr ns2:paraId="7501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8" w:hRule="atLeast"/>
        </w:trPr>
        <w:tc>
          <w:tcPr>
            <w:tcW w:w="14174" w:type="dxa"/>
            <w:noWrap w:val="0"/>
            <w:vAlign w:val="top"/>
          </w:tcPr>
          <w:p ns2:paraId="72E10187">
            <w:pPr>
              <w:pStyle w:val="14"/>
              <w:numPr>
                <w:ilvl w:val="0"/>
                <w:numId w:val="0"/>
              </w:numPr>
              <w:spacing w:before="143" w:line="184" w:lineRule="auto"/>
              <w:jc w:val="center"/>
              <w:rPr>
                <w:rFonts w:hint="default" w:ascii="黑体" w:hAnsi="黑体" w:eastAsia="黑体" w:cs="黑体"/>
                <w:b/>
                <w:bCs/>
                <w:kern w:val="2"/>
                <w:sz w:val="40"/>
                <w:szCs w:val="48"/>
                <w:vertAlign w:val="baseline"/>
                <w:lang w:val="en-US" w:eastAsia="zh-CN" w:bidi="ar-SA"/>
              </w:rPr>
            </w:pPr>
          </w:p>
        </w:tc>
      </w:tr>
    </w:tbl>
    <w:p ns2:paraId="35773B9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黑体" w:hAnsi="黑体" w:eastAsia="黑体" w:cs="宋体"/>
          <w:sz w:val="44"/>
          <w:szCs w:val="44"/>
          <w:lang w:val="en-US" w:eastAsia="zh-CN"/>
        </w:rPr>
      </w:pPr>
      <w:bookmarkStart w:id="0" w:name="_Toc15529"/>
      <w:bookmarkStart w:id="1" w:name="_Toc2427"/>
      <w:r>
        <w:rPr>
          <w:rFonts w:hint="eastAsia" w:cs="Times New Roman"/>
          <w:b/>
          <w:sz w:val="32"/>
          <w:szCs w:val="20"/>
          <w:lang w:val="en-US" w:eastAsia="zh-CN"/>
        </w:rPr>
        <w:t>附件7：气象灾害防御（防雷）重点单位安全隐患排查及整改措施记录</w:t>
      </w:r>
    </w:p>
    <w:p ns2:paraId="0B7466D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ascii="黑体" w:hAnsi="黑体" w:eastAsia="黑体" w:cs="宋体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气象灾害防御（防雷）重点单位安全隐患排查及整改措施记录</w:t>
      </w:r>
      <w:bookmarkEnd w:id="0"/>
      <w:bookmarkEnd w:id="1"/>
    </w:p>
    <w:p ns2:paraId="705445B3">
      <w:pPr>
        <w:snapToGrid w:val="0"/>
        <w:jc w:val="center"/>
        <w:rPr>
          <w:rFonts w:ascii="黑体" w:eastAsia="黑体"/>
          <w:b/>
          <w:bCs/>
          <w:sz w:val="22"/>
          <w:szCs w:val="48"/>
        </w:rPr>
      </w:pPr>
    </w:p>
    <w:tbl>
      <w:tblPr>
        <w:tblStyle w:val="9"/>
        <w:tblW w:w="137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559"/>
        <w:gridCol w:w="3385"/>
        <w:gridCol w:w="3600"/>
        <w:gridCol w:w="3457"/>
        <w:gridCol w:w="852"/>
      </w:tblGrid>
      <w:tr ns2:paraId="0951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tblHeader/>
          <w:jc w:val="center"/>
        </w:trPr>
        <w:tc>
          <w:tcPr>
            <w:tcW w:w="881" w:type="dxa"/>
            <w:noWrap w:val="0"/>
            <w:vAlign w:val="center"/>
          </w:tcPr>
          <w:p ns2:paraId="44E4CD1F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559" w:type="dxa"/>
            <w:noWrap w:val="0"/>
            <w:vAlign w:val="center"/>
          </w:tcPr>
          <w:p ns2:paraId="168FB520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区域</w:t>
            </w:r>
          </w:p>
        </w:tc>
        <w:tc>
          <w:tcPr>
            <w:tcW w:w="3385" w:type="dxa"/>
            <w:noWrap w:val="0"/>
            <w:vAlign w:val="center"/>
          </w:tcPr>
          <w:p ns2:paraId="46052E58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隐患描述与整改措施</w:t>
            </w:r>
          </w:p>
        </w:tc>
        <w:tc>
          <w:tcPr>
            <w:tcW w:w="3600" w:type="dxa"/>
            <w:noWrap w:val="0"/>
            <w:vAlign w:val="center"/>
          </w:tcPr>
          <w:p ns2:paraId="3DEA458A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隐患整改前照片</w:t>
            </w:r>
          </w:p>
        </w:tc>
        <w:tc>
          <w:tcPr>
            <w:tcW w:w="3457" w:type="dxa"/>
            <w:noWrap w:val="0"/>
            <w:vAlign w:val="center"/>
          </w:tcPr>
          <w:p ns2:paraId="77D8E64D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隐患整改后照片</w:t>
            </w:r>
          </w:p>
        </w:tc>
        <w:tc>
          <w:tcPr>
            <w:tcW w:w="852" w:type="dxa"/>
            <w:noWrap w:val="0"/>
            <w:vAlign w:val="center"/>
          </w:tcPr>
          <w:p ns2:paraId="524D910E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备注</w:t>
            </w:r>
          </w:p>
        </w:tc>
      </w:tr>
      <w:tr ns2:paraId="4A95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7" w:hRule="atLeast"/>
          <w:jc w:val="center"/>
        </w:trPr>
        <w:tc>
          <w:tcPr>
            <w:tcW w:w="881" w:type="dxa"/>
            <w:noWrap w:val="0"/>
            <w:vAlign w:val="center"/>
          </w:tcPr>
          <w:p ns2:paraId="6DA01FD2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noWrap w:val="0"/>
            <w:vAlign w:val="center"/>
          </w:tcPr>
          <w:p ns2:paraId="0450E66D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5342C934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隐患描述：未见气象灾害防御工作制度</w:t>
            </w:r>
          </w:p>
          <w:p ns2:paraId="7585413D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整改措施：建立健全气象灾害防御工作制度</w:t>
            </w:r>
          </w:p>
        </w:tc>
        <w:tc>
          <w:tcPr>
            <w:tcW w:w="3600" w:type="dxa"/>
            <w:noWrap w:val="0"/>
            <w:vAlign w:val="center"/>
          </w:tcPr>
          <w:p ns2:paraId="3F4524BC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4B026F47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A0DA703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E95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2" w:hRule="atLeast"/>
          <w:jc w:val="center"/>
        </w:trPr>
        <w:tc>
          <w:tcPr>
            <w:tcW w:w="881" w:type="dxa"/>
            <w:noWrap w:val="0"/>
            <w:vAlign w:val="center"/>
          </w:tcPr>
          <w:p ns2:paraId="7C9B3B04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2</w:t>
            </w:r>
          </w:p>
        </w:tc>
        <w:tc>
          <w:tcPr>
            <w:tcW w:w="1559" w:type="dxa"/>
            <w:noWrap w:val="0"/>
            <w:vAlign w:val="center"/>
          </w:tcPr>
          <w:p ns2:paraId="4B0248DC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0B9747E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隐患描述：未进行自查自报</w:t>
            </w:r>
          </w:p>
          <w:p ns2:paraId="1F46DD05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整改措施：应定期进行“气象安全监察平台”自查自报</w:t>
            </w:r>
          </w:p>
        </w:tc>
        <w:tc>
          <w:tcPr>
            <w:tcW w:w="3600" w:type="dxa"/>
            <w:noWrap w:val="0"/>
            <w:vAlign w:val="center"/>
          </w:tcPr>
          <w:p ns2:paraId="4E9880DA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0DA14953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55EF7B21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D27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4" w:hRule="atLeast"/>
          <w:jc w:val="center"/>
        </w:trPr>
        <w:tc>
          <w:tcPr>
            <w:tcW w:w="881" w:type="dxa"/>
            <w:noWrap w:val="0"/>
            <w:vAlign w:val="center"/>
          </w:tcPr>
          <w:p ns2:paraId="297882F5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3</w:t>
            </w:r>
          </w:p>
        </w:tc>
        <w:tc>
          <w:tcPr>
            <w:tcW w:w="1559" w:type="dxa"/>
            <w:noWrap w:val="0"/>
            <w:vAlign w:val="center"/>
          </w:tcPr>
          <w:p ns2:paraId="58D1AD1A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2ACBD586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隐患描述：未见气象灾害应急预案</w:t>
            </w:r>
          </w:p>
          <w:p ns2:paraId="59F9705C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整改措施：建立健全气象灾害应急预案</w:t>
            </w:r>
          </w:p>
        </w:tc>
        <w:tc>
          <w:tcPr>
            <w:tcW w:w="3600" w:type="dxa"/>
            <w:noWrap w:val="0"/>
            <w:vAlign w:val="center"/>
          </w:tcPr>
          <w:p ns2:paraId="2A00D84C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7A643B07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5D73747C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0764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  <w:jc w:val="center"/>
        </w:trPr>
        <w:tc>
          <w:tcPr>
            <w:tcW w:w="881" w:type="dxa"/>
            <w:noWrap w:val="0"/>
            <w:vAlign w:val="center"/>
          </w:tcPr>
          <w:p ns2:paraId="2A9163A6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4</w:t>
            </w:r>
          </w:p>
        </w:tc>
        <w:tc>
          <w:tcPr>
            <w:tcW w:w="1559" w:type="dxa"/>
            <w:noWrap w:val="0"/>
            <w:vAlign w:val="center"/>
          </w:tcPr>
          <w:p ns2:paraId="6A244D8F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5605250F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隐患描述：未开展气象灾害培训</w:t>
            </w:r>
          </w:p>
          <w:p ns2:paraId="16FAAF15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整改措施：应定期开展气象灾害培训</w:t>
            </w:r>
          </w:p>
        </w:tc>
        <w:tc>
          <w:tcPr>
            <w:tcW w:w="3600" w:type="dxa"/>
            <w:noWrap w:val="0"/>
            <w:vAlign w:val="center"/>
          </w:tcPr>
          <w:p ns2:paraId="5C35BBBA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6B097E68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7B846A69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DEF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0" w:hRule="atLeast"/>
          <w:jc w:val="center"/>
        </w:trPr>
        <w:tc>
          <w:tcPr>
            <w:tcW w:w="881" w:type="dxa"/>
            <w:noWrap w:val="0"/>
            <w:vAlign w:val="center"/>
          </w:tcPr>
          <w:p ns2:paraId="10717582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59" w:type="dxa"/>
            <w:noWrap w:val="0"/>
            <w:vAlign w:val="center"/>
          </w:tcPr>
          <w:p ns2:paraId="07DA2145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6A00E881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隐患描述：未开展气象灾害应急演练</w:t>
            </w:r>
          </w:p>
          <w:p ns2:paraId="4F3F373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整改措施：应定期开展气象灾害应急演练</w:t>
            </w:r>
          </w:p>
        </w:tc>
        <w:tc>
          <w:tcPr>
            <w:tcW w:w="3600" w:type="dxa"/>
            <w:noWrap w:val="0"/>
            <w:vAlign w:val="center"/>
          </w:tcPr>
          <w:p ns2:paraId="01D421CB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3852C8C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7235285D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2CDD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  <w:jc w:val="center"/>
        </w:trPr>
        <w:tc>
          <w:tcPr>
            <w:tcW w:w="881" w:type="dxa"/>
            <w:noWrap w:val="0"/>
            <w:vAlign w:val="center"/>
          </w:tcPr>
          <w:p ns2:paraId="7D99F394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59" w:type="dxa"/>
            <w:noWrap w:val="0"/>
            <w:vAlign w:val="center"/>
          </w:tcPr>
          <w:p ns2:paraId="65947502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48400CD6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隐患描述：未开展气象灾害防御设施日常巡查</w:t>
            </w:r>
          </w:p>
          <w:p ns2:paraId="2A3FCB7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整改措施：应定期开展气象灾害防御设施巡查并记录</w:t>
            </w:r>
          </w:p>
        </w:tc>
        <w:tc>
          <w:tcPr>
            <w:tcW w:w="3600" w:type="dxa"/>
            <w:noWrap w:val="0"/>
            <w:vAlign w:val="center"/>
          </w:tcPr>
          <w:p ns2:paraId="19DDA5B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5C786F55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23C0269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192E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0" w:hRule="atLeast"/>
          <w:jc w:val="center"/>
        </w:trPr>
        <w:tc>
          <w:tcPr>
            <w:tcW w:w="881" w:type="dxa"/>
            <w:noWrap w:val="0"/>
            <w:vAlign w:val="center"/>
          </w:tcPr>
          <w:p ns2:paraId="2A3116FF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559" w:type="dxa"/>
            <w:noWrap w:val="0"/>
            <w:vAlign w:val="center"/>
          </w:tcPr>
          <w:p ns2:paraId="35BD4921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1AF20E85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隐患描述：气象灾害防御档案资料不齐全</w:t>
            </w:r>
          </w:p>
          <w:p ns2:paraId="0A75A2AD">
            <w:pPr>
              <w:spacing w:line="0" w:lineRule="atLeast"/>
              <w:rPr>
                <w:rFonts w:hint="eastAsia"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整改措施：建立健全气象灾害防御档案并将资料补充完善</w:t>
            </w:r>
          </w:p>
        </w:tc>
        <w:tc>
          <w:tcPr>
            <w:tcW w:w="3600" w:type="dxa"/>
            <w:noWrap w:val="0"/>
            <w:vAlign w:val="center"/>
          </w:tcPr>
          <w:p ns2:paraId="3CDC946C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032FF20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137B84E3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5CAF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0" w:hRule="atLeast"/>
          <w:jc w:val="center"/>
        </w:trPr>
        <w:tc>
          <w:tcPr>
            <w:tcW w:w="881" w:type="dxa"/>
            <w:noWrap w:val="0"/>
            <w:vAlign w:val="center"/>
          </w:tcPr>
          <w:p ns2:paraId="684856A5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59" w:type="dxa"/>
            <w:noWrap w:val="0"/>
            <w:vAlign w:val="center"/>
          </w:tcPr>
          <w:p ns2:paraId="387D2CC4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</w:t>
            </w:r>
          </w:p>
        </w:tc>
        <w:tc>
          <w:tcPr>
            <w:tcW w:w="3385" w:type="dxa"/>
            <w:noWrap w:val="0"/>
            <w:vAlign w:val="center"/>
          </w:tcPr>
          <w:p ns2:paraId="15A1FA8D">
            <w:pPr>
              <w:spacing w:line="0" w:lineRule="atLeast"/>
              <w:rPr>
                <w:rFonts w:hint="default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隐患描述：未配备应急物资/应急物资配备不齐全</w:t>
            </w:r>
          </w:p>
          <w:p ns2:paraId="3B6F942B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整改措施：按要求配备应急物资（防汛沙袋，三防应急物资等）</w:t>
            </w:r>
          </w:p>
        </w:tc>
        <w:tc>
          <w:tcPr>
            <w:tcW w:w="3600" w:type="dxa"/>
            <w:noWrap w:val="0"/>
            <w:vAlign w:val="center"/>
          </w:tcPr>
          <w:p ns2:paraId="12C719BE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67200130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6C36C3C2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4B00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0" w:hRule="atLeast"/>
          <w:jc w:val="center"/>
        </w:trPr>
        <w:tc>
          <w:tcPr>
            <w:tcW w:w="881" w:type="dxa"/>
            <w:noWrap w:val="0"/>
            <w:vAlign w:val="center"/>
          </w:tcPr>
          <w:p ns2:paraId="35CFAEBA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1559" w:type="dxa"/>
            <w:noWrap w:val="0"/>
            <w:vAlign w:val="center"/>
          </w:tcPr>
          <w:p ns2:paraId="783FED37">
            <w:pPr>
              <w:jc w:val="center"/>
              <w:rPr>
                <w:rFonts w:hint="default" w:eastAsia="宋体" w:cs="等线"/>
                <w:bCs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现场/文件</w:t>
            </w:r>
          </w:p>
        </w:tc>
        <w:tc>
          <w:tcPr>
            <w:tcW w:w="3385" w:type="dxa"/>
            <w:noWrap w:val="0"/>
            <w:vAlign w:val="center"/>
          </w:tcPr>
          <w:p ns2:paraId="21C752C5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隐患描述：未定期开展防雷检测</w:t>
            </w:r>
          </w:p>
          <w:p ns2:paraId="7E6A63D9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整改措施：按要求应定期开展防雷检测并出示报告</w:t>
            </w:r>
          </w:p>
        </w:tc>
        <w:tc>
          <w:tcPr>
            <w:tcW w:w="3600" w:type="dxa"/>
            <w:noWrap w:val="0"/>
            <w:vAlign w:val="center"/>
          </w:tcPr>
          <w:p ns2:paraId="37C6BE9B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3A63C920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29062988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4F1A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881" w:type="dxa"/>
            <w:noWrap w:val="0"/>
            <w:vAlign w:val="center"/>
          </w:tcPr>
          <w:p ns2:paraId="5E9316A4">
            <w:pPr>
              <w:jc w:val="center"/>
              <w:rPr>
                <w:rFonts w:hint="default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559" w:type="dxa"/>
            <w:noWrap w:val="0"/>
            <w:vAlign w:val="center"/>
          </w:tcPr>
          <w:p ns2:paraId="6EB95A79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</w:t>
            </w:r>
          </w:p>
        </w:tc>
        <w:tc>
          <w:tcPr>
            <w:tcW w:w="3385" w:type="dxa"/>
            <w:noWrap w:val="0"/>
            <w:vAlign w:val="center"/>
          </w:tcPr>
          <w:p ns2:paraId="30D1ABC7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</w:t>
            </w:r>
          </w:p>
          <w:p ns2:paraId="549F3162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</w:t>
            </w:r>
          </w:p>
        </w:tc>
        <w:tc>
          <w:tcPr>
            <w:tcW w:w="3600" w:type="dxa"/>
            <w:noWrap w:val="0"/>
            <w:vAlign w:val="center"/>
          </w:tcPr>
          <w:p ns2:paraId="632CAAB0">
            <w:pPr>
              <w:jc w:val="center"/>
              <w:rPr>
                <w:rFonts w:cs="等线"/>
                <w:bCs/>
                <w:sz w:val="24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078CA244">
            <w:pPr>
              <w:jc w:val="center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5095DFE">
            <w:pPr>
              <w:jc w:val="center"/>
              <w:rPr>
                <w:rFonts w:cs="等线"/>
                <w:bCs/>
                <w:sz w:val="24"/>
              </w:rPr>
            </w:pPr>
          </w:p>
        </w:tc>
      </w:tr>
    </w:tbl>
    <w:p ns2:paraId="44F5BD14"/>
    <w:p ns2:paraId="024D73D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1" w:afterLines="50"/>
        <w:textAlignment w:val="auto"/>
        <w:rPr>
          <w:rFonts w:hint="eastAsia" w:cs="Times New Roman"/>
          <w:b/>
          <w:sz w:val="32"/>
          <w:szCs w:val="20"/>
          <w:lang w:val="en-US" w:eastAsia="zh-CN"/>
        </w:rPr>
        <w:sectPr>
          <w:headerReference ns3:id="rId7" w:type="default"/>
          <w:footerReference ns3:id="rId8" w:type="default"/>
          <w:pgSz w:w="16838" w:h="11906" w:orient="landscape"/>
          <w:pgMar w:top="1803" w:right="1440" w:bottom="1803" w:left="1440" w:header="851" w:footer="992" w:gutter="0"/>
          <w:paperSrc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type="lines" w:linePitch="319" w:charSpace="0"/>
        </w:sectPr>
      </w:pPr>
    </w:p>
    <w:p ns2:paraId="0FAB446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1" w:afterLines="5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附件8：气象灾害防御（防雷）重点单位安全隐患复查记录</w:t>
      </w:r>
    </w:p>
    <w:p ns2:paraId="713B4091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ascii="宋体" w:hAnsi="宋体" w:cs="宋体"/>
          <w:b/>
          <w:bCs/>
          <w:sz w:val="10"/>
          <w:szCs w:val="10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气象安全隐患复查记录</w:t>
      </w:r>
    </w:p>
    <w:tbl>
      <w:tblPr>
        <w:tblStyle w:val="10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6536"/>
      </w:tblGrid>
      <w:tr ns2:paraId="10A0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1983" w:type="dxa"/>
            <w:noWrap w:val="0"/>
            <w:vAlign w:val="center"/>
          </w:tcPr>
          <w:p ns2:paraId="6548A54A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单位名称</w:t>
            </w:r>
          </w:p>
        </w:tc>
        <w:tc>
          <w:tcPr>
            <w:tcW w:w="6536" w:type="dxa"/>
            <w:noWrap w:val="0"/>
            <w:vAlign w:val="center"/>
          </w:tcPr>
          <w:p ns2:paraId="53DC2787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65C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983" w:type="dxa"/>
            <w:noWrap w:val="0"/>
            <w:vAlign w:val="center"/>
          </w:tcPr>
          <w:p ns2:paraId="783D62F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地    址</w:t>
            </w:r>
          </w:p>
        </w:tc>
        <w:tc>
          <w:tcPr>
            <w:tcW w:w="6536" w:type="dxa"/>
            <w:noWrap w:val="0"/>
            <w:vAlign w:val="center"/>
          </w:tcPr>
          <w:p ns2:paraId="08B78268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A52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1983" w:type="dxa"/>
            <w:noWrap w:val="0"/>
            <w:vAlign w:val="center"/>
          </w:tcPr>
          <w:p ns2:paraId="7EACEAB1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负 责 人</w:t>
            </w:r>
          </w:p>
          <w:p ns2:paraId="7C242D69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（及电话）</w:t>
            </w:r>
          </w:p>
        </w:tc>
        <w:tc>
          <w:tcPr>
            <w:tcW w:w="6536" w:type="dxa"/>
            <w:noWrap w:val="0"/>
            <w:vAlign w:val="center"/>
          </w:tcPr>
          <w:p ns2:paraId="42A77B8F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71EE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6" w:hRule="atLeast"/>
        </w:trPr>
        <w:tc>
          <w:tcPr>
            <w:tcW w:w="1983" w:type="dxa"/>
            <w:noWrap w:val="0"/>
            <w:vAlign w:val="center"/>
          </w:tcPr>
          <w:p ns2:paraId="65E3A79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隐患内容</w:t>
            </w:r>
          </w:p>
        </w:tc>
        <w:tc>
          <w:tcPr>
            <w:tcW w:w="6536" w:type="dxa"/>
            <w:noWrap w:val="0"/>
            <w:vAlign w:val="center"/>
          </w:tcPr>
          <w:p ns2:paraId="4F4024CB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1、制度内容不齐全，未及时更新；</w:t>
            </w:r>
          </w:p>
          <w:p ns2:paraId="047B5BEF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2、气象灾害应急预案未更新；</w:t>
            </w:r>
          </w:p>
          <w:p ns2:paraId="054F651A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3、气象安全巡查记录未更新；</w:t>
            </w:r>
          </w:p>
          <w:p ns2:paraId="2790A606">
            <w:pPr>
              <w:spacing w:line="0" w:lineRule="atLeast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4、站房顶部接闪带部分断裂。</w:t>
            </w:r>
          </w:p>
        </w:tc>
      </w:tr>
      <w:tr ns2:paraId="46A2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1983" w:type="dxa"/>
            <w:noWrap w:val="0"/>
            <w:vAlign w:val="center"/>
          </w:tcPr>
          <w:p ns2:paraId="3237AEF5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复查情况</w:t>
            </w:r>
          </w:p>
        </w:tc>
        <w:tc>
          <w:tcPr>
            <w:tcW w:w="6536" w:type="dxa"/>
            <w:noWrap w:val="0"/>
            <w:vAlign w:val="center"/>
          </w:tcPr>
          <w:p ns2:paraId="4FB21AFF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已完成整改，符合要求。</w:t>
            </w:r>
          </w:p>
          <w:p ns2:paraId="0E402295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未完成整改，不符合要求。</w:t>
            </w:r>
          </w:p>
          <w:p ns2:paraId="1FF521F5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部分完成整改，其他正在整改中。</w:t>
            </w:r>
          </w:p>
        </w:tc>
      </w:tr>
      <w:tr ns2:paraId="0760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983" w:type="dxa"/>
            <w:noWrap w:val="0"/>
            <w:vAlign w:val="center"/>
          </w:tcPr>
          <w:p ns2:paraId="480E11AA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备注</w:t>
            </w:r>
          </w:p>
        </w:tc>
        <w:tc>
          <w:tcPr>
            <w:tcW w:w="6536" w:type="dxa"/>
            <w:noWrap w:val="0"/>
            <w:vAlign w:val="center"/>
          </w:tcPr>
          <w:p ns2:paraId="616CBD2E">
            <w:pPr>
              <w:spacing w:line="0" w:lineRule="atLeast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B32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983" w:type="dxa"/>
            <w:noWrap w:val="0"/>
            <w:vAlign w:val="center"/>
          </w:tcPr>
          <w:p ns2:paraId="49E5768B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复查人员</w:t>
            </w:r>
          </w:p>
          <w:p ns2:paraId="04E22C1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（姓名、日期）</w:t>
            </w:r>
          </w:p>
        </w:tc>
        <w:tc>
          <w:tcPr>
            <w:tcW w:w="6536" w:type="dxa"/>
            <w:noWrap w:val="0"/>
            <w:vAlign w:val="center"/>
          </w:tcPr>
          <w:p ns2:paraId="172C8F46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202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年 </w:t>
            </w:r>
            <w:r>
              <w:rPr>
                <w:rFonts w:ascii="仿宋_GB2312" w:hAnsi="宋体" w:eastAsia="仿宋_GB2312" w:cs="宋体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月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日</w:t>
            </w:r>
          </w:p>
        </w:tc>
      </w:tr>
    </w:tbl>
    <w:p ns2:paraId="68F7D2E0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3" w:bottom="1440" w:left="1803" w:header="851" w:footer="992" w:gutter="0"/>
      <w:paperSrc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6F578">
    <w:pPr>
      <w:spacing w:line="216" w:lineRule="auto"/>
      <w:ind w:left="148"/>
      <w:rPr>
        <w:rFonts w:ascii="Arial" w:hAnsi="Arial" w:eastAsia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F56CD">
    <w:pPr>
      <w:spacing w:line="216" w:lineRule="auto"/>
      <w:ind w:left="148"/>
      <w:rPr>
        <w:rFonts w:ascii="Arial" w:hAnsi="Arial" w:eastAsia="Arial" w:cs="Arial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44F2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QSiza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D44F2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90C2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B0CD6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ZZvO94BAAC+AwAADgAAAGRycy9lMm9Eb2MueG1srVPBjtMwEL0j8Q+W&#10;7zTZI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cMycsDfz84/v55+/zr2/s&#10;Z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llm87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B0CD6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                                      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3681E">
    <w:pPr>
      <w:spacing w:line="216" w:lineRule="auto"/>
      <w:ind w:left="9029"/>
      <w:rPr>
        <w:rFonts w:ascii="Arial" w:hAnsi="Arial" w:eastAsia="Arial" w:cs="Arial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7835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CrKrll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67835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43C72">
    <w:pPr>
      <w:spacing w:before="54" w:line="241" w:lineRule="auto"/>
      <w:rPr>
        <w:rFonts w:ascii="Arial" w:hAnsi="Arial" w:eastAsia="Arial" w:cs="Arial"/>
        <w:sz w:val="19"/>
        <w:szCs w:val="19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2BF45">
    <w:pPr>
      <w:spacing w:before="54" w:line="241" w:lineRule="auto"/>
      <w:ind w:right="20"/>
      <w:jc w:val="center"/>
      <w:rPr>
        <w:rFonts w:ascii="Arial" w:hAnsi="Arial" w:eastAsia="Arial" w:cs="Arial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DB8ED"/>
    <w:multiLevelType w:val="singleLevel"/>
    <w:tmpl w:val="EB9DB8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948F26B"/>
    <w:multiLevelType w:val="singleLevel"/>
    <w:tmpl w:val="1948F26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hyphenationZone w:val="360"/>
  <w:drawingGridVerticalSpacing w:val="159"/>
  <w:displayHorizontalDrawingGridEvery w:val="1"/>
  <w:displayVerticalDrawingGridEvery w:val="2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44C3B"/>
    <w:rsid w:val="001C6D02"/>
    <w:rsid w:val="064F49ED"/>
    <w:rsid w:val="07F97353"/>
    <w:rsid w:val="08907C6B"/>
    <w:rsid w:val="0CEC4CFA"/>
    <w:rsid w:val="0D933D59"/>
    <w:rsid w:val="12F731AE"/>
    <w:rsid w:val="13765233"/>
    <w:rsid w:val="17551F9E"/>
    <w:rsid w:val="1FE66D9C"/>
    <w:rsid w:val="24AE0D27"/>
    <w:rsid w:val="2C55425C"/>
    <w:rsid w:val="319677F1"/>
    <w:rsid w:val="323A2FB9"/>
    <w:rsid w:val="36EC7A30"/>
    <w:rsid w:val="378A2E2C"/>
    <w:rsid w:val="3A900CF2"/>
    <w:rsid w:val="3D8A7CC2"/>
    <w:rsid w:val="3E630A5B"/>
    <w:rsid w:val="4952068F"/>
    <w:rsid w:val="4970227E"/>
    <w:rsid w:val="4C3D1DB0"/>
    <w:rsid w:val="4E134968"/>
    <w:rsid w:val="58F44C3B"/>
    <w:rsid w:val="5DDB6408"/>
    <w:rsid w:val="5E8D242E"/>
    <w:rsid w:val="62797F9D"/>
    <w:rsid w:val="631B5A25"/>
    <w:rsid w:val="640E2967"/>
    <w:rsid w:val="66014531"/>
    <w:rsid w:val="66C13CC1"/>
    <w:rsid w:val="687D22F9"/>
    <w:rsid w:val="6C8E2897"/>
    <w:rsid w:val="6C90660F"/>
    <w:rsid w:val="6DEC55B4"/>
    <w:rsid w:val="700C2451"/>
    <w:rsid w:val="747F58E7"/>
    <w:rsid w:val="7A0D5743"/>
    <w:rsid w:val="7C6668FD"/>
    <w:rsid w:val="7D5A61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微软雅黑" w:hAnsi="微软雅黑" w:eastAsia="微软雅黑" w:cs="微软雅黑"/>
      <w:sz w:val="27"/>
      <w:szCs w:val="27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2 Char"/>
    <w:link w:val="3"/>
    <w:uiPriority w:val="0"/>
    <w:rPr>
      <w:rFonts w:ascii="Arial" w:hAnsi="Arial" w:eastAsia="黑体"/>
      <w:b/>
      <w:sz w:val="32"/>
    </w:rPr>
  </w:style>
  <w:style w:type="paragraph" w:customStyle="1" w:styleId="14">
    <w:name w:val="Table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15">
    <w:name w:val="Table Normal"/>
    <w:unhideWhenUsed/>
    <w:qFormat/>
    <w:uiPriority w:val="0"/>
    <w:tblPr>
      <w:tblStyle w:val="9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3383</Words>
  <Characters>3562</Characters>
  <Lines>0</Lines>
  <Paragraphs>0</Paragraphs>
  <TotalTime>0</TotalTime>
  <ScaleCrop>false</ScaleCrop>
  <LinksUpToDate>false</LinksUpToDate>
  <CharactersWithSpaces>3861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2025-11-05T06:47:00Z</dcterms:created>
  <dc:creator>黄云研究院13924587868</dc:creator>
  <cp:lastModifiedBy>跳虫</cp:lastModifiedBy>
  <dcterms:modified xsi:type="dcterms:W3CDTF">2026-07-20T02:40:21Z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2082329991994D11A217B83AE0513775_13</vt:lpwstr>
  </property>
  <property fmtid="{D5CDD505-2E9C-101B-9397-08002B2CF9AE}" pid="4" name="KSOTemplateDocerSaveRecord">
    <vt:lpwstr>eyJoZGlkIjoiYTdkYTZlODA0YTU0NWU4YjkxNGEzM2FiMjc3M2E5MjEiLCJ1c2VySWQiOiIyMzUwNTM0MDEifQ==</vt:lpwstr>
  </property>
</Properties>
</file>