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openxmlformats.org/drawingml/2006/main" xmlns:ns6="http://schemas.openxmlformats.org/drawingml/2006/picture" xmlns:w="http://schemas.openxmlformats.org/wordprocessingml/2006/main" ns1:Ignorable="w14 w15 wp14">
  <w:body>
    <w:p ns2:paraId="34859D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auto"/>
          <w:w w:val="80"/>
          <w:sz w:val="72"/>
          <w:szCs w:val="72"/>
        </w:rPr>
      </w:pPr>
    </w:p>
    <w:p ns2:paraId="455B2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/>
          <w:color w:val="FF0000"/>
          <w:w w:val="80"/>
          <w:sz w:val="28"/>
          <w:szCs w:val="28"/>
          <w:lang w:eastAsia="zh-CN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</w:rPr>
        <w:t>202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5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年深圳市气象灾害</w:t>
      </w:r>
    </w:p>
    <w:p ns2:paraId="5FA01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color w:val="auto"/>
        </w:rPr>
      </w:pP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防御（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防雷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eastAsia="zh-CN"/>
        </w:rPr>
        <w:t>）重点</w:t>
      </w:r>
      <w:r>
        <w:rPr>
          <w:rFonts w:hint="eastAsia" w:ascii="黑体" w:hAnsi="黑体" w:eastAsia="黑体"/>
          <w:color w:val="auto"/>
          <w:w w:val="80"/>
          <w:sz w:val="72"/>
          <w:szCs w:val="72"/>
          <w:lang w:val="en-US" w:eastAsia="zh-CN"/>
        </w:rPr>
        <w:t>单位</w:t>
      </w:r>
      <w:r>
        <w:rPr>
          <w:rFonts w:hint="eastAsia" w:ascii="黑体" w:hAnsi="黑体" w:eastAsia="黑体"/>
          <w:color w:val="auto"/>
          <w:w w:val="80"/>
          <w:sz w:val="72"/>
          <w:szCs w:val="72"/>
        </w:rPr>
        <w:t>工作台账</w:t>
      </w:r>
      <w:r>
        <w:rPr>
          <w:rFonts w:hint="eastAsia"/>
          <w:color w:val="auto"/>
          <w:sz w:val="72"/>
          <w:szCs w:val="72"/>
        </w:rPr>
        <w:t xml:space="preserve"> </w:t>
      </w:r>
      <w:r>
        <w:rPr>
          <w:rFonts w:hint="eastAsia"/>
          <w:color w:val="auto"/>
        </w:rPr>
        <w:t xml:space="preserve">        </w:t>
      </w:r>
    </w:p>
    <w:p ns2:paraId="20CB42AF">
      <w:pPr>
        <w:rPr>
          <w:b/>
          <w:bCs/>
          <w:color w:val="auto"/>
          <w:sz w:val="48"/>
          <w:szCs w:val="48"/>
        </w:rPr>
      </w:pPr>
    </w:p>
    <w:p ns2:paraId="633C8C41">
      <w:pPr>
        <w:rPr>
          <w:rFonts w:ascii="仿宋" w:hAnsi="仿宋" w:eastAsia="仿宋" w:cs="Arial"/>
          <w:color w:val="auto"/>
          <w:sz w:val="32"/>
          <w:szCs w:val="32"/>
          <w:shd w:val="clear" w:color="auto" w:fill="FFFFFF"/>
        </w:rPr>
      </w:pPr>
    </w:p>
    <w:p ns2:paraId="2B3985E1">
      <w:pPr>
        <w:rPr>
          <w:b/>
          <w:bCs/>
          <w:color w:val="auto"/>
          <w:sz w:val="48"/>
          <w:szCs w:val="48"/>
        </w:rPr>
      </w:pPr>
    </w:p>
    <w:p ns2:paraId="0EC719B1">
      <w:pPr>
        <w:rPr>
          <w:b/>
          <w:bCs/>
          <w:color w:val="auto"/>
          <w:sz w:val="48"/>
          <w:szCs w:val="48"/>
        </w:rPr>
      </w:pPr>
    </w:p>
    <w:p ns2:paraId="053091A7">
      <w:pPr>
        <w:rPr>
          <w:b/>
          <w:bCs/>
          <w:color w:val="auto"/>
          <w:sz w:val="48"/>
          <w:szCs w:val="48"/>
        </w:rPr>
      </w:pPr>
    </w:p>
    <w:p ns2:paraId="4055EC39">
      <w:pPr>
        <w:rPr>
          <w:b/>
          <w:bCs/>
          <w:color w:val="auto"/>
          <w:sz w:val="48"/>
          <w:szCs w:val="48"/>
        </w:rPr>
      </w:pPr>
    </w:p>
    <w:p ns2:paraId="03EC4599">
      <w:pPr>
        <w:pStyle w:val="6"/>
        <w:tabs>
          <w:tab w:val="left" w:pos="562"/>
          <w:tab w:val="left" w:pos="3372"/>
          <w:tab w:val="left" w:pos="3653"/>
        </w:tabs>
      </w:pPr>
    </w:p>
    <w:p ns2:paraId="63706E6C">
      <w:pPr>
        <w:pStyle w:val="6"/>
        <w:tabs>
          <w:tab w:val="left" w:pos="562"/>
          <w:tab w:val="left" w:pos="3372"/>
          <w:tab w:val="left" w:pos="3653"/>
        </w:tabs>
      </w:pPr>
    </w:p>
    <w:p ns2:paraId="5FA2DF61">
      <w:pPr>
        <w:pStyle w:val="6"/>
        <w:tabs>
          <w:tab w:val="left" w:pos="562"/>
          <w:tab w:val="left" w:pos="3372"/>
          <w:tab w:val="left" w:pos="3653"/>
        </w:tabs>
      </w:pPr>
    </w:p>
    <w:p ns2:paraId="2F93F13A">
      <w:pPr>
        <w:pStyle w:val="6"/>
        <w:tabs>
          <w:tab w:val="left" w:pos="562"/>
          <w:tab w:val="left" w:pos="3372"/>
          <w:tab w:val="left" w:pos="3653"/>
        </w:tabs>
      </w:pPr>
    </w:p>
    <w:p ns2:paraId="5AAD1D3E">
      <w:pPr>
        <w:pStyle w:val="6"/>
        <w:tabs>
          <w:tab w:val="left" w:pos="562"/>
          <w:tab w:val="left" w:pos="3372"/>
          <w:tab w:val="left" w:pos="3653"/>
        </w:tabs>
      </w:pPr>
    </w:p>
    <w:p ns2:paraId="6850CF95">
      <w:pPr>
        <w:rPr>
          <w:b/>
          <w:bCs/>
          <w:color w:val="auto"/>
          <w:sz w:val="48"/>
          <w:szCs w:val="48"/>
        </w:rPr>
      </w:pPr>
    </w:p>
    <w:p ns2:paraId="6F94E0C8">
      <w:pPr>
        <w:jc w:val="center"/>
        <w:rPr>
          <w:b/>
          <w:bCs/>
          <w:color w:val="auto"/>
          <w:sz w:val="48"/>
          <w:szCs w:val="48"/>
        </w:rPr>
      </w:pPr>
    </w:p>
    <w:p ns2:paraId="0169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default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auto"/>
          <w:sz w:val="32"/>
          <w:szCs w:val="32"/>
        </w:rPr>
        <w:t>单位名称：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ns2:paraId="64D6D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</w:p>
    <w:p ns2:paraId="2E37C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所属街道：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/>
          <w:b w:val="0"/>
          <w:bCs w:val="0"/>
          <w:color w:val="000000"/>
          <w:sz w:val="32"/>
          <w:szCs w:val="32"/>
          <w:u w:val="single"/>
          <w:lang w:val="en-US" w:eastAsia="zh-CN"/>
        </w:rPr>
        <w:t xml:space="preserve">       </w:t>
      </w:r>
    </w:p>
    <w:p ns2:paraId="5D42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firstLine="1160" w:firstLineChars="361"/>
        <w:jc w:val="left"/>
        <w:textAlignment w:val="auto"/>
        <w:rPr>
          <w:rFonts w:ascii="仿宋" w:hAnsi="仿宋" w:eastAsia="仿宋"/>
          <w:b/>
          <w:bCs/>
          <w:color w:val="000000"/>
          <w:sz w:val="32"/>
          <w:szCs w:val="32"/>
        </w:rPr>
      </w:pPr>
    </w:p>
    <w:p ns2:paraId="759B4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160" w:firstLineChars="361"/>
        <w:jc w:val="left"/>
        <w:textAlignment w:val="auto"/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/>
          <w:b/>
          <w:bCs/>
          <w:color w:val="000000"/>
          <w:sz w:val="32"/>
          <w:szCs w:val="32"/>
        </w:rPr>
        <w:t>建档日期：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ascii="仿宋" w:hAnsi="仿宋" w:eastAsia="仿宋"/>
          <w:b/>
          <w:bCs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>202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>5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年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eastAsia="zh-CN"/>
        </w:rPr>
        <w:t>月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日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b/>
          <w:bCs/>
          <w:color w:val="000000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/>
          <w:b/>
          <w:bCs/>
          <w:color w:val="auto"/>
          <w:sz w:val="32"/>
          <w:szCs w:val="32"/>
          <w:u w:val="single"/>
          <w:lang w:val="en-US" w:eastAsia="zh-CN"/>
        </w:rPr>
        <w:t xml:space="preserve"> </w:t>
      </w:r>
    </w:p>
    <w:p ns2:paraId="235F8180">
      <w:p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</w:t>
      </w:r>
    </w:p>
    <w:p ns2:paraId="38B6CDDA">
      <w:pPr>
        <w:rPr>
          <w:color w:val="auto"/>
        </w:rPr>
      </w:pPr>
    </w:p>
    <w:p ns2:paraId="24679061">
      <w:pPr>
        <w:rPr>
          <w:color w:val="auto"/>
        </w:rPr>
      </w:pPr>
    </w:p>
    <w:p ns2:paraId="5F88F092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ns2:paraId="06842139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</w:p>
    <w:p ns2:paraId="19D6431C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</w:rPr>
        <w:t>气象灾害防御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（</w:t>
      </w: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防雷</w:t>
      </w:r>
      <w:r>
        <w:rPr>
          <w:rFonts w:hint="eastAsia" w:ascii="黑体" w:hAnsi="黑体" w:eastAsia="黑体" w:cs="宋体"/>
          <w:bCs/>
          <w:color w:val="auto"/>
          <w:sz w:val="44"/>
          <w:lang w:eastAsia="zh-CN"/>
        </w:rPr>
        <w:t>）</w:t>
      </w:r>
      <w:r>
        <w:rPr>
          <w:rFonts w:hint="eastAsia" w:ascii="黑体" w:hAnsi="黑体" w:eastAsia="黑体" w:cs="宋体"/>
          <w:bCs/>
          <w:color w:val="auto"/>
          <w:sz w:val="44"/>
        </w:rPr>
        <w:t>重点单位</w:t>
      </w:r>
    </w:p>
    <w:p ns2:paraId="5FB2E3B1">
      <w:pPr>
        <w:tabs>
          <w:tab w:val="left" w:pos="1470"/>
          <w:tab w:val="center" w:pos="4422"/>
        </w:tabs>
        <w:jc w:val="center"/>
        <w:rPr>
          <w:rFonts w:hint="eastAsia" w:ascii="黑体" w:hAnsi="黑体" w:eastAsia="黑体" w:cs="宋体"/>
          <w:bCs/>
          <w:color w:val="auto"/>
          <w:sz w:val="44"/>
        </w:rPr>
      </w:pPr>
      <w:r>
        <w:rPr>
          <w:rFonts w:hint="eastAsia" w:ascii="黑体" w:hAnsi="黑体" w:eastAsia="黑体" w:cs="宋体"/>
          <w:bCs/>
          <w:color w:val="auto"/>
          <w:sz w:val="44"/>
          <w:lang w:val="en-US" w:eastAsia="zh-CN"/>
        </w:rPr>
        <w:t>风险评估</w:t>
      </w:r>
      <w:r>
        <w:rPr>
          <w:rFonts w:hint="eastAsia" w:ascii="黑体" w:hAnsi="黑体" w:eastAsia="黑体" w:cs="宋体"/>
          <w:bCs/>
          <w:color w:val="auto"/>
          <w:sz w:val="44"/>
        </w:rPr>
        <w:t>资料目录</w:t>
      </w:r>
    </w:p>
    <w:p ns2:paraId="46A730A0">
      <w:pPr>
        <w:tabs>
          <w:tab w:val="left" w:pos="1470"/>
          <w:tab w:val="center" w:pos="4422"/>
        </w:tabs>
        <w:jc w:val="center"/>
        <w:rPr>
          <w:rFonts w:ascii="宋体" w:hAnsi="宋体"/>
          <w:color w:val="auto"/>
          <w:szCs w:val="21"/>
        </w:rPr>
      </w:pPr>
    </w:p>
    <w:tbl>
      <w:tblPr>
        <w:tblStyle w:val="9"/>
        <w:tblpPr w:leftFromText="180" w:rightFromText="180" w:vertAnchor="text" w:tblpXSpec="center" w:tblpY="1"/>
        <w:tblOverlap w:val="never"/>
        <w:tblW w:w="82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5366"/>
        <w:gridCol w:w="1967"/>
      </w:tblGrid>
      <w:tr ns2:paraId="6CD9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top"/>
          </w:tcPr>
          <w:p ns2:paraId="7EEAD155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5366" w:type="dxa"/>
            <w:noWrap w:val="0"/>
            <w:vAlign w:val="top"/>
          </w:tcPr>
          <w:p ns2:paraId="346E000E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资 料 名 称</w:t>
            </w:r>
          </w:p>
        </w:tc>
        <w:tc>
          <w:tcPr>
            <w:tcW w:w="1967" w:type="dxa"/>
            <w:noWrap w:val="0"/>
            <w:vAlign w:val="top"/>
          </w:tcPr>
          <w:p ns2:paraId="44B374AD">
            <w:pPr>
              <w:jc w:val="center"/>
              <w:rPr>
                <w:rFonts w:ascii="黑体" w:hAns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/>
                <w:color w:val="auto"/>
                <w:sz w:val="28"/>
                <w:szCs w:val="28"/>
              </w:rPr>
              <w:t>备注</w:t>
            </w:r>
          </w:p>
        </w:tc>
      </w:tr>
      <w:tr ns2:paraId="2F66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960" w:type="dxa"/>
            <w:noWrap w:val="0"/>
            <w:vAlign w:val="center"/>
          </w:tcPr>
          <w:p ns2:paraId="63E063A9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</w:t>
            </w:r>
          </w:p>
        </w:tc>
        <w:tc>
          <w:tcPr>
            <w:tcW w:w="5366" w:type="dxa"/>
            <w:noWrap w:val="0"/>
            <w:vAlign w:val="center"/>
          </w:tcPr>
          <w:p ns2:paraId="104D9904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气象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灾害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防御（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防雷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  <w:t>）重点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单位风险评估报告</w:t>
            </w:r>
          </w:p>
        </w:tc>
        <w:tc>
          <w:tcPr>
            <w:tcW w:w="1967" w:type="dxa"/>
            <w:noWrap w:val="0"/>
            <w:vAlign w:val="center"/>
          </w:tcPr>
          <w:p ns2:paraId="31DCE53D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7D11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960" w:type="dxa"/>
            <w:noWrap w:val="0"/>
            <w:vAlign w:val="center"/>
          </w:tcPr>
          <w:p ns2:paraId="6C25E61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2</w:t>
            </w:r>
          </w:p>
        </w:tc>
        <w:tc>
          <w:tcPr>
            <w:tcW w:w="5366" w:type="dxa"/>
            <w:noWrap w:val="0"/>
            <w:vAlign w:val="center"/>
          </w:tcPr>
          <w:p ns2:paraId="3841CE65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附件1：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企业基础信息收集表</w:t>
            </w:r>
          </w:p>
        </w:tc>
        <w:tc>
          <w:tcPr>
            <w:tcW w:w="1967" w:type="dxa"/>
            <w:noWrap w:val="0"/>
            <w:vAlign w:val="center"/>
          </w:tcPr>
          <w:p ns2:paraId="58BAB7B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E76B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60" w:type="dxa"/>
            <w:noWrap w:val="0"/>
            <w:vAlign w:val="center"/>
          </w:tcPr>
          <w:p ns2:paraId="0C1230F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3</w:t>
            </w:r>
          </w:p>
        </w:tc>
        <w:tc>
          <w:tcPr>
            <w:tcW w:w="5366" w:type="dxa"/>
            <w:noWrap w:val="0"/>
            <w:vAlign w:val="center"/>
          </w:tcPr>
          <w:p ns2:paraId="4C27C87B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附件2：气象灾害防御（防雷）重点单位风险评估法</w:t>
            </w:r>
          </w:p>
        </w:tc>
        <w:tc>
          <w:tcPr>
            <w:tcW w:w="1967" w:type="dxa"/>
            <w:noWrap w:val="0"/>
            <w:vAlign w:val="center"/>
          </w:tcPr>
          <w:p ns2:paraId="2DF1491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6D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0FCB391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4</w:t>
            </w:r>
          </w:p>
        </w:tc>
        <w:tc>
          <w:tcPr>
            <w:tcW w:w="5366" w:type="dxa"/>
            <w:noWrap w:val="0"/>
            <w:vAlign w:val="center"/>
          </w:tcPr>
          <w:p ns2:paraId="3C9AD90D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附件3：气象灾害防御（防雷）重点单位安全隐患排查表</w:t>
            </w:r>
          </w:p>
        </w:tc>
        <w:tc>
          <w:tcPr>
            <w:tcW w:w="1967" w:type="dxa"/>
            <w:noWrap w:val="0"/>
            <w:vAlign w:val="center"/>
          </w:tcPr>
          <w:p ns2:paraId="766FA3C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19A1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3D515A3A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5</w:t>
            </w:r>
          </w:p>
        </w:tc>
        <w:tc>
          <w:tcPr>
            <w:tcW w:w="5366" w:type="dxa"/>
            <w:noWrap w:val="0"/>
            <w:vAlign w:val="center"/>
          </w:tcPr>
          <w:p ns2:paraId="78DCB07E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附件4：现场检查与核对照片</w:t>
            </w:r>
          </w:p>
        </w:tc>
        <w:tc>
          <w:tcPr>
            <w:tcW w:w="1967" w:type="dxa"/>
            <w:noWrap w:val="0"/>
            <w:vAlign w:val="center"/>
          </w:tcPr>
          <w:p ns2:paraId="4FCA702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2E8C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5D60A4EC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6</w:t>
            </w:r>
          </w:p>
        </w:tc>
        <w:tc>
          <w:tcPr>
            <w:tcW w:w="5366" w:type="dxa"/>
            <w:noWrap w:val="0"/>
            <w:vAlign w:val="center"/>
          </w:tcPr>
          <w:p ns2:paraId="392DD04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附</w:t>
            </w: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件5：气象灾害防御（防雷）重点单位风险分类分级管控清单</w:t>
            </w:r>
          </w:p>
        </w:tc>
        <w:tc>
          <w:tcPr>
            <w:tcW w:w="1967" w:type="dxa"/>
            <w:noWrap w:val="0"/>
            <w:vAlign w:val="center"/>
          </w:tcPr>
          <w:p ns2:paraId="60AAEDE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F37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00BB71C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7</w:t>
            </w:r>
          </w:p>
        </w:tc>
        <w:tc>
          <w:tcPr>
            <w:tcW w:w="5366" w:type="dxa"/>
            <w:noWrap w:val="0"/>
            <w:vAlign w:val="center"/>
          </w:tcPr>
          <w:p ns2:paraId="77B5699C">
            <w:pPr>
              <w:spacing w:line="0" w:lineRule="atLeast"/>
              <w:jc w:val="both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附件6：风险四色图</w:t>
            </w:r>
          </w:p>
        </w:tc>
        <w:tc>
          <w:tcPr>
            <w:tcW w:w="1967" w:type="dxa"/>
            <w:noWrap w:val="0"/>
            <w:vAlign w:val="center"/>
          </w:tcPr>
          <w:p ns2:paraId="15767037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11A8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960" w:type="dxa"/>
            <w:noWrap w:val="0"/>
            <w:vAlign w:val="center"/>
          </w:tcPr>
          <w:p ns2:paraId="26A93B3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8</w:t>
            </w:r>
          </w:p>
        </w:tc>
        <w:tc>
          <w:tcPr>
            <w:tcW w:w="5366" w:type="dxa"/>
            <w:noWrap w:val="0"/>
            <w:vAlign w:val="center"/>
          </w:tcPr>
          <w:p ns2:paraId="5600592B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附件7：气象灾害防御（防雷）重点单位安全隐患排查及整改措施记录</w:t>
            </w:r>
          </w:p>
        </w:tc>
        <w:tc>
          <w:tcPr>
            <w:tcW w:w="1967" w:type="dxa"/>
            <w:noWrap w:val="0"/>
            <w:vAlign w:val="center"/>
          </w:tcPr>
          <w:p ns2:paraId="0E787694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5CE4D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noWrap w:val="0"/>
            <w:vAlign w:val="center"/>
          </w:tcPr>
          <w:p ns2:paraId="7BA67433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9</w:t>
            </w:r>
          </w:p>
        </w:tc>
        <w:tc>
          <w:tcPr>
            <w:tcW w:w="5366" w:type="dxa"/>
            <w:noWrap w:val="0"/>
            <w:vAlign w:val="center"/>
          </w:tcPr>
          <w:p ns2:paraId="089D0A2E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附件8：气象灾害防御（防雷）重点单位安全隐患复查记录</w:t>
            </w:r>
          </w:p>
        </w:tc>
        <w:tc>
          <w:tcPr>
            <w:tcW w:w="1967" w:type="dxa"/>
            <w:noWrap w:val="0"/>
            <w:vAlign w:val="center"/>
          </w:tcPr>
          <w:p ns2:paraId="1A40924C">
            <w:pPr>
              <w:spacing w:line="240" w:lineRule="auto"/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ns2:paraId="5EB21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6936047F">
            <w:pPr>
              <w:jc w:val="center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  <w:t>10</w:t>
            </w:r>
          </w:p>
        </w:tc>
        <w:tc>
          <w:tcPr>
            <w:tcW w:w="5366" w:type="dxa"/>
            <w:noWrap w:val="0"/>
            <w:vAlign w:val="center"/>
          </w:tcPr>
          <w:p ns2:paraId="074A9344">
            <w:pPr>
              <w:spacing w:line="0" w:lineRule="atLeast"/>
              <w:jc w:val="both"/>
              <w:rPr>
                <w:rFonts w:hint="eastAsia" w:ascii="仿宋" w:hAnsi="仿宋" w:eastAsia="仿宋" w:cs="仿宋"/>
                <w:b w:val="0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21CC8B7F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6E11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65247F54">
            <w:pPr>
              <w:jc w:val="center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11</w:t>
            </w:r>
          </w:p>
        </w:tc>
        <w:tc>
          <w:tcPr>
            <w:tcW w:w="5366" w:type="dxa"/>
            <w:noWrap w:val="0"/>
            <w:vAlign w:val="center"/>
          </w:tcPr>
          <w:p ns2:paraId="0EF7F707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7F20E371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3CBF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4A92B5A0">
            <w:pPr>
              <w:jc w:val="center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5366" w:type="dxa"/>
            <w:noWrap w:val="0"/>
            <w:vAlign w:val="center"/>
          </w:tcPr>
          <w:p ns2:paraId="2B62561B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13F8BB7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7220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31BE7FFF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5366" w:type="dxa"/>
            <w:noWrap w:val="0"/>
            <w:vAlign w:val="center"/>
          </w:tcPr>
          <w:p ns2:paraId="18B0FCAD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5584123A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  <w:tr ns2:paraId="49B3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noWrap w:val="0"/>
            <w:vAlign w:val="center"/>
          </w:tcPr>
          <w:p ns2:paraId="2B2FE8FB">
            <w:pPr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5366" w:type="dxa"/>
            <w:noWrap w:val="0"/>
            <w:vAlign w:val="center"/>
          </w:tcPr>
          <w:p ns2:paraId="6817B12A">
            <w:pPr>
              <w:spacing w:line="0" w:lineRule="atLeast"/>
              <w:jc w:val="both"/>
              <w:rPr>
                <w:rFonts w:hint="eastAsia" w:ascii="仿宋" w:hAnsi="仿宋" w:eastAsia="仿宋" w:cs="仿宋"/>
                <w:color w:val="FF0000"/>
                <w:sz w:val="28"/>
                <w:szCs w:val="28"/>
                <w:lang w:eastAsia="zh-CN"/>
              </w:rPr>
            </w:pPr>
          </w:p>
        </w:tc>
        <w:tc>
          <w:tcPr>
            <w:tcW w:w="1967" w:type="dxa"/>
            <w:noWrap w:val="0"/>
            <w:vAlign w:val="center"/>
          </w:tcPr>
          <w:p ns2:paraId="0B03A4D5">
            <w:pPr>
              <w:spacing w:line="600" w:lineRule="exact"/>
              <w:jc w:val="center"/>
              <w:rPr>
                <w:rFonts w:ascii="宋体" w:hAnsi="宋体"/>
                <w:color w:val="auto"/>
                <w:sz w:val="28"/>
                <w:szCs w:val="28"/>
              </w:rPr>
            </w:pPr>
          </w:p>
        </w:tc>
      </w:tr>
    </w:tbl>
    <w:p ns2:paraId="4DC1487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sectPr>
          <w:headerReference ns3:id="rId3" w:type="default"/>
          <w:footerReference ns3:id="rId4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ns2:paraId="2DA5B3E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jc w:val="center"/>
        <w:textAlignment w:val="auto"/>
      </w:pP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一、XXX公司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40"/>
          <w:szCs w:val="22"/>
        </w:rPr>
        <w:t>气象灾害防御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（</w:t>
      </w:r>
      <w:r>
        <w:rPr>
          <w:rFonts w:hint="eastAsia" w:ascii="微软雅黑" w:hAnsi="微软雅黑" w:eastAsia="微软雅黑" w:cs="微软雅黑"/>
          <w:sz w:val="40"/>
          <w:szCs w:val="22"/>
          <w:lang w:val="en-US" w:eastAsia="zh-CN"/>
        </w:rPr>
        <w:t>防雷</w:t>
      </w:r>
      <w:r>
        <w:rPr>
          <w:rFonts w:hint="eastAsia" w:ascii="微软雅黑" w:hAnsi="微软雅黑" w:eastAsia="微软雅黑" w:cs="微软雅黑"/>
          <w:sz w:val="40"/>
          <w:szCs w:val="22"/>
          <w:lang w:eastAsia="zh-CN"/>
        </w:rPr>
        <w:t>）</w:t>
      </w:r>
      <w:r>
        <w:rPr>
          <w:rFonts w:hint="eastAsia" w:ascii="微软雅黑" w:hAnsi="微软雅黑" w:eastAsia="微软雅黑" w:cs="微软雅黑"/>
          <w:sz w:val="40"/>
          <w:szCs w:val="22"/>
        </w:rPr>
        <w:t>重点单位风险评估报告</w:t>
      </w:r>
    </w:p>
    <w:p ns2:paraId="514BFABA">
      <w:pPr>
        <w:pStyle w:val="3"/>
        <w:bidi w:val="0"/>
        <w:jc w:val="center"/>
      </w:pPr>
      <w:r>
        <w:t>第一章：编制目的</w:t>
      </w:r>
    </w:p>
    <w:p ns2:paraId="1A8B4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为防止和减少因雷电灾害造成的损失，保障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企业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财产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与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员工生命安全，确保生产装置、储设施及建（构）筑物的安全运行，依据国家相关法律法规及技术标准，特开展本次雷电灾害风险评估。本次评估旨在：</w:t>
      </w:r>
    </w:p>
    <w:p ns2:paraId="1B40B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识别风险：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科学识别和评估厂区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及重点部分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因雷击可能引发的火灾、爆炸、人员伤亡、设备损坏及生产中断等潜在风险。</w:t>
      </w:r>
    </w:p>
    <w:p ns2:paraId="11FF23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确定等级：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确定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重点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区域的雷电灾害风险等级，为采取针对性的防护措施提供科学依据。</w:t>
      </w:r>
    </w:p>
    <w:p ns2:paraId="6861F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指导防护：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提出经济、合理、有效的雷电防护措施和风险管理建议，完善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气象（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安全管理制度。</w:t>
      </w:r>
    </w:p>
    <w:p ns2:paraId="210FD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落实责任：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强化企业安全生产主体责任，提升对自然灾害的预防和应对能力。</w:t>
      </w:r>
    </w:p>
    <w:p ns2:paraId="2F96FEA5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第二章：编制依据</w:t>
      </w:r>
    </w:p>
    <w:p ns2:paraId="661F3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本报告的编制主要依据以下法律法规和技术标准：</w:t>
      </w:r>
    </w:p>
    <w:p ns2:paraId="2C70F3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《中华人民共和国安全生产法》​​</w:t>
      </w:r>
    </w:p>
    <w:p ns2:paraId="412F35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《中华人民共和国气象法》​​</w:t>
      </w:r>
    </w:p>
    <w:p ns2:paraId="439949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《防雷减灾管理办法》（中国气象局令第24号）</w:t>
      </w:r>
    </w:p>
    <w:p ns2:paraId="5E7471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《危险化学品安全管理条例》</w:t>
      </w:r>
    </w:p>
    <w:p ns2:paraId="443F01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5、《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危险化学品重大危险源辨识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18218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2868C3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6、《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建筑设计防火规范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50016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ns2:paraId="17231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《建筑物防雷设计规范》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50057-20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​​</w:t>
      </w:r>
    </w:p>
    <w:p ns2:paraId="1EDE6D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8、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《建筑物电子信息系统防雷技术规范》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50343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663ED5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9、《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建筑物雷电防护装置检测技术规范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21431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-2023)</w:t>
      </w:r>
    </w:p>
    <w:p ns2:paraId="010404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10、《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雷电灾害应急处置规范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(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GB/T 34312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-2022)</w:t>
      </w:r>
    </w:p>
    <w:p ns2:paraId="2FA827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11、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《石油与石油设施雷电安全规范》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GB 15599-2009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62FD9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12、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《雷电灾害风险评估技术规范》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QX/T 85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2018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2B192E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13、《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防雷安全风险分级管控要求  油库、气库建设工程和场所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738</w:t>
      </w:r>
      <w:r>
        <w:rPr>
          <w:rFonts w:hint="eastAsia" w:ascii="仿宋" w:hAnsi="仿宋" w:eastAsia="仿宋" w:cs="仿宋"/>
          <w:sz w:val="32"/>
          <w:szCs w:val="32"/>
        </w:rPr>
        <w:t>—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2024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</w:p>
    <w:p ns2:paraId="4E8C650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14、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《</w:t>
      </w:r>
      <w:r>
        <w:rPr>
          <w:rFonts w:hint="eastAsia" w:ascii="仿宋" w:hAnsi="仿宋" w:eastAsia="仿宋" w:cs="仿宋"/>
          <w:sz w:val="32"/>
          <w:szCs w:val="32"/>
        </w:rPr>
        <w:t>防雷安全风险分级管控要求   雷电易发区内旅游景点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》（</w:t>
      </w:r>
      <w:r>
        <w:rPr>
          <w:rFonts w:hint="eastAsia" w:ascii="仿宋" w:hAnsi="仿宋" w:eastAsia="仿宋" w:cs="仿宋"/>
          <w:sz w:val="32"/>
          <w:szCs w:val="32"/>
        </w:rPr>
        <w:t>Q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X</w:t>
      </w:r>
      <w:r>
        <w:rPr>
          <w:rFonts w:hint="eastAsia" w:ascii="仿宋" w:hAnsi="仿宋" w:eastAsia="仿宋" w:cs="仿宋"/>
          <w:sz w:val="32"/>
          <w:szCs w:val="32"/>
        </w:rPr>
        <w:t>/T 742—2024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）</w:t>
      </w:r>
    </w:p>
    <w:p ns2:paraId="118498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15、《防雷安全重点单位雷电灾害防御工作指南》（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Q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X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/T 694—2023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）</w:t>
      </w:r>
    </w:p>
    <w:p ns2:paraId="3684D8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jc w:val="left"/>
        <w:textAlignment w:val="baseline"/>
        <w:rPr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16、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其他相关的地方性法规及行业标准。​</w:t>
      </w:r>
      <w:r>
        <w:rPr>
          <w:rFonts w:hint="default" w:ascii="Segoe UI" w:hAnsi="Segoe UI" w:eastAsia="Segoe UI" w:cs="Segoe UI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54DC5086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第三章：评估方法</w:t>
      </w:r>
    </w:p>
    <w:p ns2:paraId="0F78C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0" w:firstLineChars="200"/>
        <w:textAlignment w:val="baseline"/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</w:rPr>
      </w:pP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本次评估采用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与</w:t>
      </w:r>
      <w:r>
        <w:rPr>
          <w:rStyle w:val="12"/>
          <w:rFonts w:hint="eastAsia" w:ascii="仿宋" w:hAnsi="仿宋" w:eastAsia="仿宋" w:cs="仿宋"/>
          <w:b/>
          <w:bCs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现场勘查法</w:t>
      </w:r>
      <w:r>
        <w:rPr>
          <w:rFonts w:hint="eastAsia" w:ascii="仿宋" w:hAnsi="仿宋" w:eastAsia="仿宋" w:cs="仿宋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相结合的综合评估方法。</w:t>
      </w:r>
    </w:p>
    <w:p ns2:paraId="41C124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（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风险矩阵法：​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7EF200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风险（R）计算：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 xml:space="preserve">R = L × 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</w:p>
    <w:p ns2:paraId="231A0E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L（雷击可能性）：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根据当地气象部门提供的年平均雷暴日数、厂区地理位置、周边环境及建（构）筑物特性，评估雷击事件发生的可能性等级（可分为：极少、可能、较大可能、频繁）。</w:t>
      </w:r>
    </w:p>
    <w:p ns2:paraId="6DF2D0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S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（后果严重性）：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分析一旦发生雷击，可能造成的人员伤亡、财产损失、环境影响和生产中断的严重程度等级（可分为：轻微、一般、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、重大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特大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）。</w:t>
      </w:r>
    </w:p>
    <w:p ns2:paraId="2C1AC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将可能性和严重性等级代入风险矩阵，确定风险等级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（低风险、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较低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中等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较高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eastAsia="zh-CN"/>
        </w:rPr>
        <w:t>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高风险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vertAlign w:val="baseline"/>
        </w:rPr>
        <w:t>）。</w:t>
      </w:r>
    </w:p>
    <w:p ns2:paraId="6F2140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（二）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检查表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法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eastAsia="zh-CN"/>
        </w:rPr>
        <w:t>：</w:t>
      </w:r>
    </w:p>
    <w:p ns2:paraId="3BB228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通过对该企业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进行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核对与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重点检查：</w:t>
      </w:r>
    </w:p>
    <w:p ns2:paraId="6F4A23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现有防雷装置（接闪器、引下线、接地装置）的完好性和有效性。</w:t>
      </w:r>
    </w:p>
    <w:p ns2:paraId="6F5DFC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易燃易爆场所（储罐区、生产装置区）的防静电、等电位连接情况。</w:t>
      </w:r>
    </w:p>
    <w:p ns2:paraId="7B1143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3、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电气、仪表及信息系统的电涌保护器（SPD）配置情况。</w:t>
      </w:r>
    </w:p>
    <w:p ns2:paraId="0D224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安全管理制度的建立与执行情况。</w:t>
      </w:r>
    </w:p>
    <w:p ns2:paraId="24134B69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4、核对防雷装置（设施）检测情况、防雷安全管理制度建立及执行情况等。</w:t>
      </w:r>
    </w:p>
    <w:p ns2:paraId="58731A4D">
      <w:pPr>
        <w:numPr>
          <w:ilvl w:val="0"/>
          <w:numId w:val="0"/>
        </w:numPr>
        <w:spacing w:line="360" w:lineRule="auto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 xml:space="preserve">    5、现场检查核对防雷安全管理制度、应急管理体系等建立及执行情况等。</w:t>
      </w:r>
    </w:p>
    <w:p ns2:paraId="2361E33D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第四章：企业概况与现场勘查情况</w:t>
      </w:r>
    </w:p>
    <w:p ns2:paraId="160DD0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1、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企业概况：​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067E11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公司名称：XX化工有限公司</w:t>
      </w:r>
    </w:p>
    <w:p ns2:paraId="382AC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主要危险化学品：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苯、丙烯、液化石油气等。</w:t>
      </w:r>
    </w:p>
    <w:p ns2:paraId="25E28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主要设施：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原料储罐区、生产装置区、成品仓库、中央控制室、配电房等。</w:t>
      </w:r>
    </w:p>
    <w:p ns2:paraId="23F67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地理位置：位于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深圳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地区，属多雷暴区域，年平均雷暴日为</w:t>
      </w:r>
      <w:r>
        <w:rPr>
          <w:rFonts w:hint="eastAsia" w:ascii="仿宋" w:hAnsi="仿宋" w:eastAsia="仿宋" w:cs="仿宋"/>
          <w:i w:val="0"/>
          <w:iCs w:val="0"/>
          <w:caps w:val="0"/>
          <w:color w:val="C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70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天。</w:t>
      </w:r>
    </w:p>
    <w:p ns2:paraId="63C169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2、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现场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  <w:lang w:val="en-US" w:eastAsia="zh-CN"/>
        </w:rPr>
        <w:t>检</w:t>
      </w: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查情况：​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vertAlign w:val="baseline"/>
        </w:rPr>
        <w:t>​</w:t>
      </w:r>
    </w:p>
    <w:p ns2:paraId="443814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储罐区：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设有独立避雷针，接地电阻经检测为8Ω（略高于规范要求的≤10Ω）。呼吸阀、量油孔等金属部件未全部进行等电位连接。</w:t>
      </w:r>
    </w:p>
    <w:p ns2:paraId="0DE90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生产装置区：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框架结构利用自身金属体作为接闪器，但部分引下线有锈蚀现象。部分仪表线缆屏蔽层接地不完善。</w:t>
      </w:r>
    </w:p>
    <w:p ns2:paraId="363390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sz w:val="32"/>
          <w:szCs w:val="32"/>
          <w:highlight w:val="yellow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中央控制室（DCS系统）：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电源进线端已安装第一级SPD，但大部分重要控制柜未安装第二级SPD。机房接地与建筑主接地连接良好。</w:t>
      </w:r>
    </w:p>
    <w:p ns2:paraId="22B64B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</w:pPr>
      <w:r>
        <w:rPr>
          <w:rStyle w:val="12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配电房：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highlight w:val="yellow"/>
          <w:shd w:val="clear" w:color="auto" w:fill="FFFFFF"/>
          <w:vertAlign w:val="baseline"/>
        </w:rPr>
        <w:t>高压进线有阀式避雷器，低压总配电柜安装了SPD，但部分分配电箱未设置SPD。</w:t>
      </w:r>
    </w:p>
    <w:p ns2:paraId="01D22A79">
      <w:pPr>
        <w:pStyle w:val="3"/>
        <w:bidi w:val="0"/>
        <w:jc w:val="center"/>
        <w:rPr>
          <w:rFonts w:hint="default"/>
        </w:rPr>
      </w:pPr>
      <w:r>
        <w:rPr>
          <w:rFonts w:hint="default"/>
        </w:rPr>
        <w:t>第五章：雷电灾害风险识别与评估</w:t>
      </w:r>
    </w:p>
    <w:p ns2:paraId="00652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ind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根据评估方法，对该公司重点区域的风险评估结果如下：</w:t>
      </w:r>
    </w:p>
    <w:tbl>
      <w:tblPr>
        <w:tblStyle w:val="10"/>
        <w:tblW w:w="96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6"/>
        <w:gridCol w:w="1303"/>
        <w:gridCol w:w="1367"/>
        <w:gridCol w:w="1203"/>
        <w:gridCol w:w="4429"/>
      </w:tblGrid>
      <w:tr ns2:paraId="3278C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4" w:hRule="atLeast"/>
          <w:jc w:val="center"/>
        </w:trPr>
        <w:tc>
          <w:tcPr>
            <w:tcW w:w="1356" w:type="dxa"/>
            <w:noWrap w:val="0"/>
            <w:vAlign w:val="center"/>
          </w:tcPr>
          <w:p ns2:paraId="25076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评估单元</w:t>
            </w:r>
          </w:p>
        </w:tc>
        <w:tc>
          <w:tcPr>
            <w:tcW w:w="1303" w:type="dxa"/>
            <w:noWrap w:val="0"/>
            <w:vAlign w:val="center"/>
          </w:tcPr>
          <w:p ns2:paraId="42B8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雷击可能性（L）</w:t>
            </w:r>
          </w:p>
        </w:tc>
        <w:tc>
          <w:tcPr>
            <w:tcW w:w="1367" w:type="dxa"/>
            <w:noWrap w:val="0"/>
            <w:vAlign w:val="center"/>
          </w:tcPr>
          <w:p ns2:paraId="42B0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后果严重性（S）</w:t>
            </w:r>
          </w:p>
        </w:tc>
        <w:tc>
          <w:tcPr>
            <w:tcW w:w="1203" w:type="dxa"/>
            <w:noWrap w:val="0"/>
            <w:vAlign w:val="center"/>
          </w:tcPr>
          <w:p ns2:paraId="3F40F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风险等级（R）</w:t>
            </w:r>
          </w:p>
        </w:tc>
        <w:tc>
          <w:tcPr>
            <w:tcW w:w="4429" w:type="dxa"/>
            <w:noWrap w:val="0"/>
            <w:vAlign w:val="center"/>
          </w:tcPr>
          <w:p ns2:paraId="36DD22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color="auto" w:fill="FFFFFF"/>
                <w:vertAlign w:val="baseline"/>
                <w:lang w:val="en-US" w:eastAsia="zh-CN" w:bidi="ar"/>
              </w:rPr>
              <w:t>主要风险分析</w:t>
            </w:r>
          </w:p>
        </w:tc>
      </w:tr>
      <w:tr ns2:paraId="73BBD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1356" w:type="dxa"/>
            <w:noWrap w:val="0"/>
            <w:vAlign w:val="center"/>
          </w:tcPr>
          <w:p ns2:paraId="42D0F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储罐区</w:t>
            </w:r>
          </w:p>
        </w:tc>
        <w:tc>
          <w:tcPr>
            <w:tcW w:w="1303" w:type="dxa"/>
            <w:noWrap w:val="0"/>
            <w:vAlign w:val="center"/>
          </w:tcPr>
          <w:p ns2:paraId="663F8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65047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特大</w:t>
            </w:r>
          </w:p>
        </w:tc>
        <w:tc>
          <w:tcPr>
            <w:tcW w:w="1203" w:type="dxa"/>
            <w:noWrap w:val="0"/>
            <w:vAlign w:val="center"/>
          </w:tcPr>
          <w:p ns2:paraId="154A4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高风险</w:t>
            </w:r>
          </w:p>
        </w:tc>
        <w:tc>
          <w:tcPr>
            <w:tcW w:w="4429" w:type="dxa"/>
            <w:noWrap w:val="0"/>
            <w:vAlign w:val="center"/>
          </w:tcPr>
          <w:p ns2:paraId="18725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雷击可能直接击中储罐或呼吸阀，产生火花，引燃挥发的可燃气体，导致灾难性火灾爆炸。接地电阻偏高、等电位连接不完善加剧了风险。</w:t>
            </w:r>
          </w:p>
        </w:tc>
      </w:tr>
      <w:tr ns2:paraId="5D9B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1A422E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生产装置区</w:t>
            </w:r>
          </w:p>
        </w:tc>
        <w:tc>
          <w:tcPr>
            <w:tcW w:w="1303" w:type="dxa"/>
            <w:noWrap w:val="0"/>
            <w:vAlign w:val="center"/>
          </w:tcPr>
          <w:p ns2:paraId="321FFB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36273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ns2:paraId="3DB9B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ns2:paraId="06AF2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雷击可能损坏生产设备，导致有毒有害物质泄漏或非计划停产。雷击电磁脉冲可能干扰或损坏控制系统，引发误动作。</w:t>
            </w:r>
          </w:p>
        </w:tc>
      </w:tr>
      <w:tr ns2:paraId="1E0B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6D4B0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中央控制室</w:t>
            </w:r>
          </w:p>
        </w:tc>
        <w:tc>
          <w:tcPr>
            <w:tcW w:w="1303" w:type="dxa"/>
            <w:noWrap w:val="0"/>
            <w:vAlign w:val="center"/>
          </w:tcPr>
          <w:p ns2:paraId="58551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3C8E4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重大</w:t>
            </w:r>
          </w:p>
        </w:tc>
        <w:tc>
          <w:tcPr>
            <w:tcW w:w="1203" w:type="dxa"/>
            <w:noWrap w:val="0"/>
            <w:vAlign w:val="center"/>
          </w:tcPr>
          <w:p ns2:paraId="083FC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较高风险</w:t>
            </w:r>
          </w:p>
        </w:tc>
        <w:tc>
          <w:tcPr>
            <w:tcW w:w="4429" w:type="dxa"/>
            <w:noWrap w:val="0"/>
            <w:vAlign w:val="center"/>
          </w:tcPr>
          <w:p ns2:paraId="3B11C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雷击电磁脉冲可能通过电源线、信号线侵入，损坏精密的DCS、SIS系统，导致全厂生产瘫痪，甚至引发安全事故。</w:t>
            </w:r>
          </w:p>
        </w:tc>
      </w:tr>
      <w:tr ns2:paraId="49FE4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356" w:type="dxa"/>
            <w:noWrap w:val="0"/>
            <w:vAlign w:val="center"/>
          </w:tcPr>
          <w:p ns2:paraId="5A9D7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成品（中间）仓</w:t>
            </w:r>
          </w:p>
        </w:tc>
        <w:tc>
          <w:tcPr>
            <w:tcW w:w="1303" w:type="dxa"/>
            <w:noWrap w:val="0"/>
            <w:vAlign w:val="center"/>
          </w:tcPr>
          <w:p ns2:paraId="76E3D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可能</w:t>
            </w:r>
          </w:p>
        </w:tc>
        <w:tc>
          <w:tcPr>
            <w:tcW w:w="1367" w:type="dxa"/>
            <w:noWrap w:val="0"/>
            <w:vAlign w:val="center"/>
          </w:tcPr>
          <w:p ns2:paraId="26843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严重</w:t>
            </w:r>
          </w:p>
        </w:tc>
        <w:tc>
          <w:tcPr>
            <w:tcW w:w="1203" w:type="dxa"/>
            <w:noWrap w:val="0"/>
            <w:vAlign w:val="center"/>
          </w:tcPr>
          <w:p ns2:paraId="7C78F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中等风险</w:t>
            </w:r>
          </w:p>
        </w:tc>
        <w:tc>
          <w:tcPr>
            <w:tcW w:w="4429" w:type="dxa"/>
            <w:noWrap w:val="0"/>
            <w:vAlign w:val="center"/>
          </w:tcPr>
          <w:p ns2:paraId="144FE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存放的为包装成品，风险相对较低，但雷击引发的火灾仍可能造成较大财产损失。</w:t>
            </w:r>
          </w:p>
        </w:tc>
      </w:tr>
      <w:tr ns2:paraId="5B5B4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1356" w:type="dxa"/>
            <w:noWrap w:val="0"/>
            <w:vAlign w:val="center"/>
          </w:tcPr>
          <w:p ns2:paraId="01D20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一般办公区</w:t>
            </w:r>
          </w:p>
        </w:tc>
        <w:tc>
          <w:tcPr>
            <w:tcW w:w="1303" w:type="dxa"/>
            <w:noWrap w:val="0"/>
            <w:vAlign w:val="center"/>
          </w:tcPr>
          <w:p ns2:paraId="5688C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极少</w:t>
            </w:r>
          </w:p>
        </w:tc>
        <w:tc>
          <w:tcPr>
            <w:tcW w:w="1367" w:type="dxa"/>
            <w:noWrap w:val="0"/>
            <w:vAlign w:val="center"/>
          </w:tcPr>
          <w:p ns2:paraId="42E65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轻微</w:t>
            </w:r>
          </w:p>
        </w:tc>
        <w:tc>
          <w:tcPr>
            <w:tcW w:w="1203" w:type="dxa"/>
            <w:noWrap w:val="0"/>
            <w:vAlign w:val="center"/>
          </w:tcPr>
          <w:p ns2:paraId="4523DE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低风险</w:t>
            </w:r>
          </w:p>
        </w:tc>
        <w:tc>
          <w:tcPr>
            <w:tcW w:w="4429" w:type="dxa"/>
            <w:noWrap w:val="0"/>
            <w:vAlign w:val="center"/>
          </w:tcPr>
          <w:p ns2:paraId="0A7DA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"/>
              </w:rPr>
              <w:t>风险可接受。</w:t>
            </w:r>
          </w:p>
        </w:tc>
      </w:tr>
    </w:tbl>
    <w:p ns2:paraId="17B746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360" w:lineRule="auto"/>
        <w:ind w:lef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综合评估结论：该公司雷电灾害总体风险水平为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较高风险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，其中原料储罐区为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高风险区域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，是安全管理的重中之重。</w:t>
      </w:r>
    </w:p>
    <w:p ns2:paraId="52EE0204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第六章：风险管理与控制措施​</w:t>
      </w:r>
    </w:p>
    <w:p ns2:paraId="78FD43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line="24" w:lineRule="atLeast"/>
        <w:ind w:left="0" w:firstLine="640" w:firstLineChars="200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针对上述风险评估结果，提出以下风险管理措施：</w:t>
      </w:r>
    </w:p>
    <w:p ns2:paraId="599BB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0"/>
        <w:jc w:val="both"/>
        <w:textAlignment w:val="baseline"/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（一） 技术措施（工程控制）</w:t>
      </w:r>
    </w:p>
    <w:p ns2:paraId="68A23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1、完善直击雷防护：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4EDF02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（1）立即对储罐区接地网进行改造，确保接地电阻值≤10Ω。</w:t>
      </w:r>
    </w:p>
    <w:p ns2:paraId="0C470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（2）对储罐的所有金属附件（呼吸阀、量油孔、护栏）进行可靠的等电位连接。</w:t>
      </w:r>
    </w:p>
    <w:p ns2:paraId="0B9DDA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（3）对生产装置区锈蚀的引下线进行更换或防腐处理。</w:t>
      </w:r>
    </w:p>
    <w:p ns2:paraId="56D960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2、强化雷电电磁脉冲防护：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0705CF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（1）在中央控制室的重要机柜、配电房的分配电箱补充安装第二级、第三级电涌保护器（SPD），形成分级防护。</w:t>
      </w:r>
    </w:p>
    <w:p ns2:paraId="4BD37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（2）对所有进入控制室的信号线、通信线加装专用的信号SPD。</w:t>
      </w:r>
    </w:p>
    <w:p ns2:paraId="045332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（3）检查并完善仪表线缆的屏蔽接地。</w:t>
      </w:r>
    </w:p>
    <w:p ns2:paraId="5C7EBF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3、规范防静电措施：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71DBB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定期检测储罐、管道、设备的静电接地，确保电阻值符合规范。</w:t>
      </w:r>
    </w:p>
    <w:p ns2:paraId="743FD5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/>
        <w:spacing w:before="0" w:beforeAutospacing="0" w:after="0" w:afterAutospacing="0" w:line="360" w:lineRule="auto"/>
        <w:ind w:left="0"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（二） 管理措施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</w:t>
      </w:r>
    </w:p>
    <w:p ns2:paraId="4A6C56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1、健全制度：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修订《防雷防静电安全管理制度》，明确各部门职责、日常巡查、定期检测、维护保养要求。</w:t>
      </w:r>
    </w:p>
    <w:p ns2:paraId="5C08F6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2、应急响应：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完善《气象（雷电）灾害专项应急预案》，并定期组织演练。确保在雷暴预警时，能迅速启动应急程序，必要时停止高危作业。</w:t>
      </w:r>
    </w:p>
    <w:p ns2:paraId="087109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3、检测与档案：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委托具备资质的防雷检测机构，每年雷雨季节前对全厂防雷装置进行一次全面检测，并建立完整的技术档案。</w:t>
      </w:r>
    </w:p>
    <w:p ns2:paraId="3BDC3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4、培训教育：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定期对员工，特别是重点岗位员工进行防雷防静电安全知识培训，提高风险意识。</w:t>
      </w:r>
    </w:p>
    <w:p ns2:paraId="1CFC572C">
      <w:pPr>
        <w:pStyle w:val="3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第七章：结论与建议</w:t>
      </w:r>
    </w:p>
    <w:p ns2:paraId="06EBA7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1、结论：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该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公司面临的雷电灾害风险不容忽视，尤其是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highlight w:val="yellow"/>
          <w:shd w:val="clear" w:color="auto" w:fill="FFFFFF"/>
          <w:vertAlign w:val="baseline"/>
          <w:lang w:val="en-US" w:eastAsia="zh-CN" w:bidi="ar"/>
        </w:rPr>
        <w:t>原料储罐区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存在发生重大事故的潜在风险，必须立即采取有效措施进行整改。</w:t>
      </w:r>
    </w:p>
    <w:p ns2:paraId="625FD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2、建议：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​​</w:t>
      </w:r>
    </w:p>
    <w:p ns2:paraId="73CBB9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（1）立即整改：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优先处理储罐区的接地和等电位连接问题，限期完成。</w:t>
      </w:r>
    </w:p>
    <w:p ns2:paraId="38FA8E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（2）分批实施：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制定整改计划，分批对生产装置区、控制室的雷电电磁脉冲防护进行完善。</w:t>
      </w:r>
    </w:p>
    <w:p ns2:paraId="328AB0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（3）投入保障：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确保防雷设施改造和维护的专项资金投入。</w:t>
      </w:r>
    </w:p>
    <w:p ns2:paraId="5591C9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3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（4）持续改进：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将雷电风险管理纳入企业HSE管理体系，实现动态化、常态化管理。</w:t>
      </w:r>
    </w:p>
    <w:p ns2:paraId="634CBC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附件1：企业基础信息收集表</w:t>
      </w:r>
    </w:p>
    <w:p ns2:paraId="1A5167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附件2：气象灾害（防雷）重点单位风险评估法</w:t>
      </w:r>
    </w:p>
    <w:p ns2:paraId="64E8C3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附件3：气象灾害（防雷）重点单位隐患排查表</w:t>
      </w:r>
    </w:p>
    <w:p ns2:paraId="4A8E3D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附件4：现场检查与核对照片</w:t>
      </w:r>
    </w:p>
    <w:p ns2:paraId="6237A2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附件5：气象灾害防御（防雷）重点单位风险分类分级管控清单</w:t>
      </w:r>
    </w:p>
    <w:p ns2:paraId="1880D6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附件6：风险四色图</w:t>
      </w:r>
    </w:p>
    <w:p ns2:paraId="1E3619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附件7：气象灾害防御（防雷）重点单位安全隐患排查及整改措施记录</w:t>
      </w:r>
    </w:p>
    <w:p ns2:paraId="2E0B42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640" w:firstLineChars="20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附件8：气象灾害防御（防雷）重点单位安全隐患复查记录</w:t>
      </w:r>
    </w:p>
    <w:p ns2:paraId="149C05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/>
        <w:jc w:val="both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CF26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360" w:lineRule="auto"/>
        <w:ind w:right="0" w:firstLine="4800" w:firstLineChars="1500"/>
        <w:jc w:val="both"/>
        <w:textAlignment w:val="baseline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深圳市全民安全生产研究院</w:t>
      </w:r>
    </w:p>
    <w:p ns2:paraId="235A3D4D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                                   2026年10月</w:t>
      </w:r>
    </w:p>
    <w:p ns2:paraId="65C344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4D7018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B3F488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EC0C0D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5FB565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B4404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A95791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54E2748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80C9CD4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E5A339B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F6056B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53C37F2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897422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265415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ACAC25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BC5F33E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5D44877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23D5384F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91F793A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F5EB851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365DE2C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5C04403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2092706">
      <w:pPr>
        <w:pStyle w:val="6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D39FB7">
      <w:pPr>
        <w:pStyle w:val="6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35F2B152">
      <w:pPr>
        <w:bidi w:val="0"/>
        <w:rPr>
          <w:rFonts w:hint="eastAsia"/>
          <w:lang w:val="en-US" w:eastAsia="zh-CN"/>
        </w:rPr>
      </w:pPr>
    </w:p>
    <w:p ns2:paraId="074280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textAlignment w:val="auto"/>
        <w:rPr>
          <w:rFonts w:hint="eastAsia"/>
        </w:rPr>
      </w:pPr>
      <w:r>
        <w:rPr>
          <w:rFonts w:hint="eastAsia"/>
          <w:sz w:val="32"/>
          <w:szCs w:val="20"/>
          <w:lang w:val="en-US" w:eastAsia="zh-CN"/>
        </w:rPr>
        <w:t>附件1：</w:t>
      </w:r>
      <w:r>
        <w:rPr>
          <w:rFonts w:hint="eastAsia"/>
          <w:sz w:val="32"/>
          <w:szCs w:val="20"/>
        </w:rPr>
        <w:t>企业基础信息收集表</w:t>
      </w:r>
    </w:p>
    <w:p ns2:paraId="64594651">
      <w:pPr>
        <w:bidi w:val="0"/>
        <w:spacing w:line="360" w:lineRule="auto"/>
        <w:jc w:val="center"/>
        <w:rPr>
          <w:rFonts w:hint="eastAsia"/>
          <w:b/>
          <w:bCs/>
          <w:sz w:val="36"/>
          <w:szCs w:val="44"/>
        </w:rPr>
      </w:pPr>
      <w:r>
        <w:rPr>
          <w:rFonts w:hint="eastAsia" w:ascii="黑体" w:hAnsi="黑体" w:eastAsia="黑体" w:cs="黑体"/>
          <w:b/>
          <w:bCs/>
          <w:sz w:val="40"/>
          <w:szCs w:val="48"/>
        </w:rPr>
        <w:t>企业基础信息收集表</w:t>
      </w:r>
    </w:p>
    <w:p ns2:paraId="79F23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仿宋_GB2312" w:hAnsi="黑体" w:eastAsia="仿宋_GB2312"/>
          <w:color w:val="auto"/>
          <w:sz w:val="28"/>
          <w:szCs w:val="28"/>
          <w:u w:val="single"/>
          <w:lang w:val="en-US"/>
        </w:rPr>
      </w:pPr>
      <w:r>
        <w:rPr>
          <w:rFonts w:hint="eastAsia" w:ascii="仿宋_GB2312" w:hAnsi="黑体" w:eastAsia="仿宋_GB2312"/>
          <w:color w:val="auto"/>
          <w:sz w:val="28"/>
          <w:szCs w:val="28"/>
        </w:rPr>
        <w:t>检查日期：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>2026.06.09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 xml:space="preserve">      </w:t>
      </w:r>
      <w:r>
        <w:rPr>
          <w:rFonts w:hint="eastAsia" w:ascii="仿宋_GB2312" w:hAnsi="黑体" w:eastAsia="仿宋_GB2312"/>
          <w:color w:val="auto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黑体" w:eastAsia="仿宋_GB2312"/>
          <w:color w:val="auto"/>
          <w:sz w:val="28"/>
          <w:szCs w:val="28"/>
        </w:rPr>
        <w:t>检查人：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</w:rPr>
        <w:t xml:space="preserve"> </w:t>
      </w:r>
      <w:r>
        <w:rPr>
          <w:rFonts w:hint="eastAsia" w:ascii="仿宋_GB2312" w:hAnsi="黑体" w:eastAsia="仿宋_GB2312"/>
          <w:color w:val="auto"/>
          <w:sz w:val="28"/>
          <w:szCs w:val="28"/>
          <w:u w:val="single"/>
          <w:lang w:val="en-US" w:eastAsia="zh-CN"/>
        </w:rPr>
        <w:t xml:space="preserve">  陈正龙、陈春兰           </w:t>
      </w:r>
    </w:p>
    <w:tbl>
      <w:tblPr>
        <w:tblStyle w:val="9"/>
        <w:tblW w:w="538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184"/>
        <w:gridCol w:w="1337"/>
        <w:gridCol w:w="1641"/>
        <w:gridCol w:w="1684"/>
        <w:gridCol w:w="1568"/>
        <w:gridCol w:w="1466"/>
        <w:gridCol w:w="1686"/>
      </w:tblGrid>
      <w:tr ns2:paraId="0BE3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313" w:type="pct"/>
            <w:vMerge w:val="restart"/>
            <w:noWrap w:val="0"/>
            <w:vAlign w:val="center"/>
          </w:tcPr>
          <w:p ns2:paraId="3DB89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基本</w:t>
            </w:r>
          </w:p>
          <w:p ns2:paraId="4DD98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情况</w:t>
            </w:r>
          </w:p>
        </w:tc>
        <w:tc>
          <w:tcPr>
            <w:tcW w:w="1549" w:type="pct"/>
            <w:gridSpan w:val="3"/>
            <w:noWrap w:val="0"/>
            <w:vAlign w:val="center"/>
          </w:tcPr>
          <w:p ns2:paraId="51D4F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单位名称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696C5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  <w:t>深圳市欣峰热处理有限公司</w:t>
            </w:r>
          </w:p>
        </w:tc>
      </w:tr>
      <w:tr ns2:paraId="2CAF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3F18B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1549" w:type="pct"/>
            <w:gridSpan w:val="3"/>
            <w:noWrap w:val="0"/>
            <w:vAlign w:val="center"/>
          </w:tcPr>
          <w:p ns2:paraId="7A672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单位地址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7CD3A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深圳市宝安区燕罗街道塘下涌社区水泉路38号嘉业合成科创园c区一楼中间</w:t>
            </w:r>
          </w:p>
        </w:tc>
      </w:tr>
      <w:tr ns2:paraId="510F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1D7DF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01464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法定代表人</w:t>
            </w:r>
          </w:p>
          <w:p ns2:paraId="2D89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(负责人)</w:t>
            </w:r>
          </w:p>
        </w:tc>
        <w:tc>
          <w:tcPr>
            <w:tcW w:w="804" w:type="pct"/>
            <w:noWrap w:val="0"/>
            <w:vAlign w:val="center"/>
          </w:tcPr>
          <w:p ns2:paraId="0EA09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曾啸</w:t>
            </w:r>
          </w:p>
        </w:tc>
        <w:tc>
          <w:tcPr>
            <w:tcW w:w="824" w:type="pct"/>
            <w:noWrap w:val="0"/>
            <w:vAlign w:val="center"/>
          </w:tcPr>
          <w:p ns2:paraId="283EA4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应急联系人</w:t>
            </w:r>
          </w:p>
        </w:tc>
        <w:tc>
          <w:tcPr>
            <w:tcW w:w="768" w:type="pct"/>
            <w:noWrap w:val="0"/>
            <w:vAlign w:val="center"/>
          </w:tcPr>
          <w:p ns2:paraId="0ABA1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ns2:paraId="0AD72E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安全员</w:t>
            </w:r>
          </w:p>
        </w:tc>
        <w:tc>
          <w:tcPr>
            <w:tcW w:w="825" w:type="pct"/>
            <w:noWrap w:val="0"/>
            <w:vAlign w:val="center"/>
          </w:tcPr>
          <w:p ns2:paraId="34CC8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黄金生</w:t>
            </w:r>
          </w:p>
        </w:tc>
      </w:tr>
      <w:tr ns2:paraId="3761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162B5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distribute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34F84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04" w:type="pct"/>
            <w:noWrap w:val="0"/>
            <w:vAlign w:val="center"/>
          </w:tcPr>
          <w:p ns2:paraId="66AE6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13824311607</w:t>
            </w:r>
          </w:p>
        </w:tc>
        <w:tc>
          <w:tcPr>
            <w:tcW w:w="824" w:type="pct"/>
            <w:noWrap w:val="0"/>
            <w:vAlign w:val="center"/>
          </w:tcPr>
          <w:p ns2:paraId="1BBAF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768" w:type="pct"/>
            <w:noWrap w:val="0"/>
            <w:vAlign w:val="center"/>
          </w:tcPr>
          <w:p ns2:paraId="541B4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  <w:tc>
          <w:tcPr>
            <w:tcW w:w="718" w:type="pct"/>
            <w:noWrap w:val="0"/>
            <w:vAlign w:val="center"/>
          </w:tcPr>
          <w:p ns2:paraId="5C84C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ns2:paraId="59E200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13530567761</w:t>
            </w:r>
          </w:p>
        </w:tc>
      </w:tr>
      <w:tr ns2:paraId="70C0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313" w:type="pct"/>
            <w:vMerge w:val="continue"/>
            <w:noWrap w:val="0"/>
            <w:vAlign w:val="center"/>
          </w:tcPr>
          <w:p ns2:paraId="0B46F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  <w:tc>
          <w:tcPr>
            <w:tcW w:w="745" w:type="pct"/>
            <w:gridSpan w:val="2"/>
            <w:noWrap w:val="0"/>
            <w:vAlign w:val="center"/>
          </w:tcPr>
          <w:p ns2:paraId="620F0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经营状态</w:t>
            </w:r>
          </w:p>
        </w:tc>
        <w:tc>
          <w:tcPr>
            <w:tcW w:w="804" w:type="pct"/>
            <w:noWrap w:val="0"/>
            <w:vAlign w:val="center"/>
          </w:tcPr>
          <w:p ns2:paraId="0DCCF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正常</w:t>
            </w:r>
          </w:p>
        </w:tc>
        <w:tc>
          <w:tcPr>
            <w:tcW w:w="824" w:type="pct"/>
            <w:noWrap w:val="0"/>
            <w:vAlign w:val="center"/>
          </w:tcPr>
          <w:p ns2:paraId="40A86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自查自报工作人员</w:t>
            </w:r>
          </w:p>
        </w:tc>
        <w:tc>
          <w:tcPr>
            <w:tcW w:w="768" w:type="pct"/>
            <w:noWrap w:val="0"/>
            <w:vAlign w:val="center"/>
          </w:tcPr>
          <w:p ns2:paraId="4736F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谢志强</w:t>
            </w:r>
          </w:p>
        </w:tc>
        <w:tc>
          <w:tcPr>
            <w:tcW w:w="718" w:type="pct"/>
            <w:noWrap w:val="0"/>
            <w:vAlign w:val="center"/>
          </w:tcPr>
          <w:p ns2:paraId="03EBD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825" w:type="pct"/>
            <w:noWrap w:val="0"/>
            <w:vAlign w:val="center"/>
          </w:tcPr>
          <w:p ns2:paraId="18E1D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13424377203</w:t>
            </w:r>
          </w:p>
        </w:tc>
      </w:tr>
      <w:tr ns2:paraId="5EE35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ns2:paraId="421AA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社会统一信用代码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42BC5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91440300MA5G8CKE9L</w:t>
            </w:r>
          </w:p>
        </w:tc>
      </w:tr>
      <w:tr ns2:paraId="3AB42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01003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经纬度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77AAC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东经：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113°50′47″</w:t>
            </w:r>
          </w:p>
        </w:tc>
        <w:tc>
          <w:tcPr>
            <w:tcW w:w="2312" w:type="pct"/>
            <w:gridSpan w:val="3"/>
            <w:noWrap w:val="0"/>
            <w:vAlign w:val="center"/>
          </w:tcPr>
          <w:p ns2:paraId="3E668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北纬：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22°48′19″</w:t>
            </w:r>
          </w:p>
        </w:tc>
      </w:tr>
      <w:tr ns2:paraId="3626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732BA9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雷电监测设备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25E68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有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无</w:t>
            </w:r>
          </w:p>
        </w:tc>
        <w:tc>
          <w:tcPr>
            <w:tcW w:w="768" w:type="pct"/>
            <w:noWrap w:val="0"/>
            <w:vAlign w:val="center"/>
          </w:tcPr>
          <w:p ns2:paraId="6BDDC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是否</w:t>
            </w:r>
          </w:p>
          <w:p ns2:paraId="35E4C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黑体" w:eastAsia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</w:rPr>
              <w:t>正常运行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536AB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ascii="黑体" w:hAnsi="黑体" w:eastAsia="黑体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正常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>非正常</w:t>
            </w:r>
          </w:p>
        </w:tc>
      </w:tr>
      <w:tr ns2:paraId="439B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03" w:type="pct"/>
            <w:gridSpan w:val="2"/>
            <w:vMerge w:val="restart"/>
            <w:noWrap w:val="0"/>
            <w:vAlign w:val="center"/>
          </w:tcPr>
          <w:p ns2:paraId="3C883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存放危险化学品</w:t>
            </w:r>
          </w:p>
        </w:tc>
        <w:tc>
          <w:tcPr>
            <w:tcW w:w="2284" w:type="pct"/>
            <w:gridSpan w:val="3"/>
            <w:noWrap w:val="0"/>
            <w:vAlign w:val="center"/>
          </w:tcPr>
          <w:p ns2:paraId="030AE23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是 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</w:p>
        </w:tc>
        <w:tc>
          <w:tcPr>
            <w:tcW w:w="768" w:type="pct"/>
            <w:noWrap w:val="0"/>
            <w:vAlign w:val="center"/>
          </w:tcPr>
          <w:p ns2:paraId="29250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危险化学品存放区域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2D940C2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露天储罐/构筑物 </w:t>
            </w:r>
          </w:p>
          <w:p ns2:paraId="1FE6832B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中间仓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埋地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中转仓</w:t>
            </w:r>
          </w:p>
        </w:tc>
      </w:tr>
      <w:tr ns2:paraId="5AC4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ns2:paraId="14D94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ns2:paraId="2B564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危险性类别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0C210AB9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黑体" w:hAnsi="黑体" w:eastAsia="黑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甲类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乙、丙类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丁 、戊类及其他</w:t>
            </w:r>
          </w:p>
        </w:tc>
        <w:tc>
          <w:tcPr>
            <w:tcW w:w="768" w:type="pct"/>
            <w:noWrap w:val="0"/>
            <w:vAlign w:val="center"/>
          </w:tcPr>
          <w:p ns2:paraId="24774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防雷装置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03C13A1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接闪针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接闪带</w:t>
            </w:r>
          </w:p>
          <w:p ns2:paraId="2A95F00C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暗敷</w:t>
            </w:r>
          </w:p>
        </w:tc>
      </w:tr>
      <w:tr ns2:paraId="013E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403" w:type="pct"/>
            <w:gridSpan w:val="2"/>
            <w:vMerge w:val="continue"/>
            <w:noWrap w:val="0"/>
            <w:vAlign w:val="center"/>
          </w:tcPr>
          <w:p ns2:paraId="01DAD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</w:p>
        </w:tc>
        <w:tc>
          <w:tcPr>
            <w:tcW w:w="655" w:type="pct"/>
            <w:noWrap w:val="0"/>
            <w:vAlign w:val="center"/>
          </w:tcPr>
          <w:p ns2:paraId="1E3EE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毒性危害类别</w:t>
            </w:r>
          </w:p>
        </w:tc>
        <w:tc>
          <w:tcPr>
            <w:tcW w:w="1629" w:type="pct"/>
            <w:gridSpan w:val="2"/>
            <w:noWrap w:val="0"/>
            <w:vAlign w:val="center"/>
          </w:tcPr>
          <w:p ns2:paraId="370C79FF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类别1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2 </w:t>
            </w:r>
          </w:p>
          <w:p ns2:paraId="0E50C8E2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类别3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类别 4</w:t>
            </w:r>
          </w:p>
          <w:p ns2:paraId="204C2937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仿宋_GB2312" w:hAnsi="等线" w:eastAsia="仿宋_GB2312" w:cs="等线"/>
                <w:color w:val="C0000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类别5 及其他</w:t>
            </w:r>
          </w:p>
        </w:tc>
        <w:tc>
          <w:tcPr>
            <w:tcW w:w="768" w:type="pct"/>
            <w:noWrap w:val="0"/>
            <w:vAlign w:val="center"/>
          </w:tcPr>
          <w:p ns2:paraId="5130A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仿宋_GB2312" w:hAnsi="黑体" w:eastAsia="仿宋_GB2312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黑体" w:eastAsia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危险工艺</w:t>
            </w:r>
          </w:p>
        </w:tc>
        <w:tc>
          <w:tcPr>
            <w:tcW w:w="1544" w:type="pct"/>
            <w:gridSpan w:val="2"/>
            <w:noWrap w:val="0"/>
            <w:vAlign w:val="center"/>
          </w:tcPr>
          <w:p ns2:paraId="4D955F05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不涉及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连续操作</w:t>
            </w:r>
          </w:p>
          <w:p ns2:paraId="5078D3DD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color w:val="C0000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间歇操作</w:t>
            </w:r>
          </w:p>
        </w:tc>
      </w:tr>
      <w:tr ns2:paraId="57CF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2BED0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重大危险源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75A5EF84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80" w:firstLineChars="100"/>
              <w:textAlignment w:val="auto"/>
              <w:rPr>
                <w:rFonts w:hint="default" w:eastAsia="仿宋_GB2312"/>
                <w:color w:val="auto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一级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二级 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三级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 xml:space="preserve">四级   </w:t>
            </w:r>
            <w:r>
              <w:rPr>
                <w:rFonts w:hint="eastAsia" w:ascii="黑体" w:hAnsi="黑体" w:eastAsia="黑体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  <w:t>不涉及</w:t>
            </w:r>
          </w:p>
        </w:tc>
      </w:tr>
      <w:tr ns2:paraId="3AF3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  <w:jc w:val="center"/>
        </w:trPr>
        <w:tc>
          <w:tcPr>
            <w:tcW w:w="1862" w:type="pct"/>
            <w:gridSpan w:val="4"/>
            <w:noWrap w:val="0"/>
            <w:vAlign w:val="center"/>
          </w:tcPr>
          <w:p ns2:paraId="04D697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val="en-US" w:eastAsia="zh-CN"/>
              </w:rPr>
              <w:t>风险单元现场最大人</w:t>
            </w:r>
          </w:p>
        </w:tc>
        <w:tc>
          <w:tcPr>
            <w:tcW w:w="3137" w:type="pct"/>
            <w:gridSpan w:val="4"/>
            <w:noWrap w:val="0"/>
            <w:vAlign w:val="center"/>
          </w:tcPr>
          <w:p ns2:paraId="6E911788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（0-10）人；  </w:t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（10-30）人；</w:t>
            </w:r>
          </w:p>
          <w:p ns2:paraId="10210EC0">
            <w:pPr>
              <w:pStyle w:val="6"/>
              <w:keepNext w:val="0"/>
              <w:keepLines w:val="0"/>
              <w:pageBreakBefore w:val="0"/>
              <w:widowControl w:val="0"/>
              <w:tabs>
                <w:tab w:val="left" w:pos="562"/>
                <w:tab w:val="left" w:pos="3372"/>
                <w:tab w:val="left" w:pos="3653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30人及以上</w:t>
            </w:r>
          </w:p>
        </w:tc>
      </w:tr>
      <w:tr ns2:paraId="2926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4F58E9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u w:val="none"/>
                <w:lang w:val="en-US" w:eastAsia="zh-CN"/>
              </w:rPr>
              <w:t>区域建筑物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020D6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区域建筑物面积：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600㎡  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；2、建筑高度：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4m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</w:t>
            </w:r>
          </w:p>
          <w:p ns2:paraId="3D4B1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3、等效高度：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13m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； 4、相对高度：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  <w:t xml:space="preserve">  0m    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>。</w:t>
            </w:r>
          </w:p>
        </w:tc>
      </w:tr>
      <w:tr ns2:paraId="77AA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295F8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周边地理情况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3C905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地势情况：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  </w:t>
            </w:r>
          </w:p>
          <w:p ns2:paraId="1F121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周边高层建筑物；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临海；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山坡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孤立空旷；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高大树木遮挡；</w:t>
            </w:r>
          </w:p>
          <w:p ns2:paraId="74C40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最近直线距离的公共区域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：</w:t>
            </w:r>
          </w:p>
          <w:p ns2:paraId="2603E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仿宋_GB2312" w:hAnsi="仿宋_GB2312" w:eastAsia="黑体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学校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机场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小区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；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加（充）油（气）站；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其它 </w:t>
            </w:r>
          </w:p>
        </w:tc>
      </w:tr>
      <w:tr ns2:paraId="7905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  <w:jc w:val="center"/>
        </w:trPr>
        <w:tc>
          <w:tcPr>
            <w:tcW w:w="1058" w:type="pct"/>
            <w:gridSpan w:val="3"/>
            <w:noWrap w:val="0"/>
            <w:vAlign w:val="center"/>
          </w:tcPr>
          <w:p ns2:paraId="38829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是否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  <w:lang w:eastAsia="zh-CN"/>
              </w:rPr>
              <w:t>有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4"/>
                <w:szCs w:val="24"/>
              </w:rPr>
              <w:t>历史灾情</w:t>
            </w:r>
          </w:p>
        </w:tc>
        <w:tc>
          <w:tcPr>
            <w:tcW w:w="3941" w:type="pct"/>
            <w:gridSpan w:val="5"/>
            <w:noWrap w:val="0"/>
            <w:vAlign w:val="center"/>
          </w:tcPr>
          <w:p ns2:paraId="7953A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 xml:space="preserve">有    </w:t>
            </w: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黑体" w:hAnsi="黑体" w:eastAsia="黑体"/>
                <w:b w:val="0"/>
                <w:bCs w:val="0"/>
                <w:color w:val="auto"/>
                <w:sz w:val="24"/>
                <w:szCs w:val="24"/>
              </w:rPr>
              <w:t>无</w:t>
            </w:r>
          </w:p>
          <w:p ns2:paraId="07A88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描述内容：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u w:val="none"/>
                <w:lang w:val="en-US" w:eastAsia="zh-CN"/>
              </w:rPr>
              <w:t xml:space="preserve">无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</w:t>
            </w:r>
          </w:p>
        </w:tc>
      </w:tr>
    </w:tbl>
    <w:p ns2:paraId="14A612C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附件2：气象灾害防御（防雷）重点单位风险评估法</w:t>
      </w:r>
    </w:p>
    <w:p ns2:paraId="3E02070A">
      <w:pPr>
        <w:bidi w:val="0"/>
        <w:spacing w:line="360" w:lineRule="auto"/>
        <w:jc w:val="center"/>
        <w:rPr>
          <w:rFonts w:hint="default" w:cs="Times New Roman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气象灾害防御（防雷）重点单位风险评估法</w:t>
      </w:r>
    </w:p>
    <w:p ns2:paraId="6CB1AB67">
      <w:pPr>
        <w:pStyle w:val="3"/>
        <w:bidi w:val="0"/>
        <w:ind w:firstLine="643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1、雷电灾害事故发生可能性评估（L）</w:t>
      </w:r>
    </w:p>
    <w:p ns2:paraId="24EA407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3" w:firstLine="64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雷电灾害事故发生可能性（L），主要考察雷击发生可能性等级（L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）、雷电防护装置现状(L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)、防雷安全管理制度建立及执行情况（L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）三个部分，最后按公式（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）。赋值与计算方法如下：</w:t>
      </w:r>
    </w:p>
    <w:p ns2:paraId="633DE047">
      <w:pPr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 A.1 雷电灾害事故发生可能性评价因子赋值</w:t>
      </w:r>
    </w:p>
    <w:tbl>
      <w:tblPr>
        <w:tblStyle w:val="15"/>
        <w:tblW w:w="995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5"/>
        <w:gridCol w:w="1570"/>
        <w:gridCol w:w="1609"/>
        <w:gridCol w:w="1705"/>
        <w:gridCol w:w="682"/>
        <w:gridCol w:w="654"/>
        <w:gridCol w:w="682"/>
        <w:gridCol w:w="764"/>
      </w:tblGrid>
      <w:tr ns2:paraId="256ED1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  <w:jc w:val="center"/>
        </w:trPr>
        <w:tc>
          <w:tcPr>
            <w:tcW w:w="2285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413EB8A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评价因子</w:t>
            </w:r>
          </w:p>
        </w:tc>
        <w:tc>
          <w:tcPr>
            <w:tcW w:w="4884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ns2:paraId="4DBBCA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赋值</w:t>
            </w:r>
          </w:p>
        </w:tc>
        <w:tc>
          <w:tcPr>
            <w:tcW w:w="682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ns2:paraId="228F407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Ln</w:t>
            </w:r>
          </w:p>
        </w:tc>
        <w:tc>
          <w:tcPr>
            <w:tcW w:w="1336" w:type="dxa"/>
            <w:gridSpan w:val="2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AD1853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权重</w:t>
            </w:r>
          </w:p>
          <w:p ns2:paraId="78D5D0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赋值（W）</w:t>
            </w:r>
          </w:p>
        </w:tc>
        <w:tc>
          <w:tcPr>
            <w:tcW w:w="764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657E688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  <w:lang w:val="en-US" w:eastAsia="zh-CN"/>
              </w:rPr>
              <w:t>分值</w:t>
            </w:r>
          </w:p>
        </w:tc>
      </w:tr>
      <w:tr ns2:paraId="4F1C2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2285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30F2E2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ns2:paraId="1078B16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1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ns2:paraId="4476A54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ns2:paraId="37D32A0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682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459B0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336" w:type="dxa"/>
            <w:gridSpan w:val="2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7AE57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764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785D3A5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ns2:paraId="20A051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2285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5E3B3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雷击发生可能性等级</w:t>
            </w:r>
          </w:p>
        </w:tc>
        <w:tc>
          <w:tcPr>
            <w:tcW w:w="1570" w:type="dxa"/>
            <w:tcBorders>
              <w:top w:val="single" w:color="000000" w:sz="6" w:space="0"/>
            </w:tcBorders>
            <w:noWrap w:val="0"/>
            <w:vAlign w:val="center"/>
          </w:tcPr>
          <w:p ns2:paraId="162F1EB8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Ⅲ</w:t>
            </w:r>
          </w:p>
        </w:tc>
        <w:tc>
          <w:tcPr>
            <w:tcW w:w="1609" w:type="dxa"/>
            <w:tcBorders>
              <w:top w:val="single" w:color="000000" w:sz="6" w:space="0"/>
            </w:tcBorders>
            <w:noWrap w:val="0"/>
            <w:vAlign w:val="center"/>
          </w:tcPr>
          <w:p ns2:paraId="3F8F6F6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Ⅱ</w:t>
            </w:r>
          </w:p>
        </w:tc>
        <w:tc>
          <w:tcPr>
            <w:tcW w:w="1705" w:type="dxa"/>
            <w:tcBorders>
              <w:top w:val="single" w:color="000000" w:sz="6" w:space="0"/>
            </w:tcBorders>
            <w:noWrap w:val="0"/>
            <w:vAlign w:val="center"/>
          </w:tcPr>
          <w:p ns2:paraId="7C04CB77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I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1147E5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56B308DC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2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54B12BA9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0.2</w:t>
            </w:r>
          </w:p>
        </w:tc>
        <w:tc>
          <w:tcPr>
            <w:tcW w:w="764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E9FEE4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t>0.2</w:t>
            </w:r>
          </w:p>
        </w:tc>
      </w:tr>
      <w:tr ns2:paraId="673C89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  <w:jc w:val="center"/>
        </w:trPr>
        <w:tc>
          <w:tcPr>
            <w:tcW w:w="2285" w:type="dxa"/>
            <w:tcBorders>
              <w:left w:val="single" w:color="000000" w:sz="6" w:space="0"/>
            </w:tcBorders>
            <w:noWrap w:val="0"/>
            <w:vAlign w:val="center"/>
          </w:tcPr>
          <w:p ns2:paraId="65D6688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雷电防护装置现状</w:t>
            </w:r>
          </w:p>
        </w:tc>
        <w:tc>
          <w:tcPr>
            <w:tcW w:w="1570" w:type="dxa"/>
            <w:noWrap w:val="0"/>
            <w:vAlign w:val="center"/>
          </w:tcPr>
          <w:p ns2:paraId="678B7EF0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雷电防护装置正常运行</w:t>
            </w:r>
          </w:p>
        </w:tc>
        <w:tc>
          <w:tcPr>
            <w:tcW w:w="1609" w:type="dxa"/>
            <w:noWrap w:val="0"/>
            <w:vAlign w:val="center"/>
          </w:tcPr>
          <w:p ns2:paraId="768DDC85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雷电防护装置存在隐患</w:t>
            </w:r>
          </w:p>
        </w:tc>
        <w:tc>
          <w:tcPr>
            <w:tcW w:w="1705" w:type="dxa"/>
            <w:noWrap w:val="0"/>
            <w:vAlign w:val="center"/>
          </w:tcPr>
          <w:p ns2:paraId="67F4C703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雷电防护装置缺失或失效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ns2:paraId="7D5CB8A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2</w:t>
            </w:r>
          </w:p>
        </w:tc>
        <w:tc>
          <w:tcPr>
            <w:tcW w:w="654" w:type="dxa"/>
            <w:tcBorders>
              <w:right w:val="single" w:color="000000" w:sz="6" w:space="0"/>
            </w:tcBorders>
            <w:noWrap w:val="0"/>
            <w:vAlign w:val="center"/>
          </w:tcPr>
          <w:p ns2:paraId="17BF5F6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2" w:type="dxa"/>
            <w:tcBorders>
              <w:right w:val="single" w:color="000000" w:sz="6" w:space="0"/>
            </w:tcBorders>
            <w:noWrap w:val="0"/>
            <w:vAlign w:val="center"/>
          </w:tcPr>
          <w:p ns2:paraId="49E3EFC5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right w:val="single" w:color="000000" w:sz="6" w:space="0"/>
            </w:tcBorders>
            <w:noWrap w:val="0"/>
            <w:vAlign w:val="center"/>
          </w:tcPr>
          <w:p ns2:paraId="5328D41C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t>0.4</w:t>
            </w:r>
          </w:p>
        </w:tc>
      </w:tr>
      <w:tr ns2:paraId="5EB7F9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  <w:jc w:val="center"/>
        </w:trPr>
        <w:tc>
          <w:tcPr>
            <w:tcW w:w="2285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0F4A895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防雷安全管理制度建立及执行情况</w:t>
            </w:r>
          </w:p>
        </w:tc>
        <w:tc>
          <w:tcPr>
            <w:tcW w:w="1570" w:type="dxa"/>
            <w:tcBorders>
              <w:bottom w:val="single" w:color="000000" w:sz="6" w:space="0"/>
            </w:tcBorders>
            <w:noWrap w:val="0"/>
            <w:vAlign w:val="center"/>
          </w:tcPr>
          <w:p ns2:paraId="5DCF2ADC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防雷安全管理制度完善且执行到位</w:t>
            </w:r>
          </w:p>
        </w:tc>
        <w:tc>
          <w:tcPr>
            <w:tcW w:w="1609" w:type="dxa"/>
            <w:tcBorders>
              <w:bottom w:val="single" w:color="000000" w:sz="6" w:space="0"/>
            </w:tcBorders>
            <w:noWrap w:val="0"/>
            <w:vAlign w:val="center"/>
          </w:tcPr>
          <w:p ns2:paraId="62234D81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防雷安全管理制度不完善或执行不到位</w:t>
            </w:r>
          </w:p>
        </w:tc>
        <w:tc>
          <w:tcPr>
            <w:tcW w:w="1705" w:type="dxa"/>
            <w:tcBorders>
              <w:bottom w:val="single" w:color="000000" w:sz="6" w:space="0"/>
            </w:tcBorders>
            <w:noWrap w:val="0"/>
            <w:vAlign w:val="center"/>
          </w:tcPr>
          <w:p ns2:paraId="2CF632B2">
            <w:pPr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FE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无防雷安全管理制度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9111EF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</w:rPr>
              <w:t>3</w:t>
            </w:r>
          </w:p>
        </w:tc>
        <w:tc>
          <w:tcPr>
            <w:tcW w:w="65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FF015FF">
            <w:pPr>
              <w:jc w:val="center"/>
              <w:rPr>
                <w:rFonts w:hint="default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  <w:szCs w:val="32"/>
                <w:lang w:val="en-US" w:eastAsia="zh-CN"/>
              </w:rPr>
              <w:t>W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2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3FA5B7F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0.4</w:t>
            </w:r>
          </w:p>
        </w:tc>
        <w:tc>
          <w:tcPr>
            <w:tcW w:w="764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BA31C87">
            <w:pPr>
              <w:jc w:val="center"/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t>0.4</w:t>
            </w:r>
          </w:p>
        </w:tc>
      </w:tr>
    </w:tbl>
    <w:p ns2:paraId="2F72A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36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L = 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十W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×L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ascii="Arial" w:hAnsi="Arial" w:eastAsia="Arial" w:cs="Arial"/>
          <w:position w:val="-2"/>
          <w:sz w:val="10"/>
          <w:szCs w:val="10"/>
        </w:rPr>
        <w:t xml:space="preserve"> 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 xml:space="preserve"> </w:t>
      </w:r>
      <w:r>
        <w:rPr>
          <w:rFonts w:hint="eastAsia" w:ascii="Arial" w:hAnsi="Arial" w:cs="Arial"/>
          <w:position w:val="-2"/>
          <w:sz w:val="32"/>
          <w:szCs w:val="32"/>
          <w:vertAlign w:val="baseline"/>
          <w:lang w:val="en-US" w:eastAsia="zh-CN"/>
        </w:rPr>
        <w:t>=？</w:t>
      </w:r>
      <w:r>
        <w:rPr>
          <w:rFonts w:ascii="Arial" w:hAnsi="Arial" w:eastAsia="Arial" w:cs="Arial"/>
          <w:position w:val="-2"/>
          <w:sz w:val="32"/>
          <w:szCs w:val="32"/>
          <w:vertAlign w:val="baseline"/>
        </w:rPr>
        <w:t xml:space="preserve"> </w:t>
      </w:r>
      <w:r>
        <w:rPr>
          <w:spacing w:val="13"/>
          <w:position w:val="1"/>
          <w:sz w:val="28"/>
          <w:szCs w:val="28"/>
        </w:rPr>
        <w:t>………………(</w:t>
      </w:r>
      <w:r>
        <w:rPr>
          <w:rFonts w:ascii="Arial" w:hAnsi="Arial" w:eastAsia="Arial" w:cs="Arial"/>
          <w:spacing w:val="13"/>
          <w:position w:val="1"/>
          <w:sz w:val="28"/>
          <w:szCs w:val="28"/>
        </w:rPr>
        <w:t>A</w:t>
      </w:r>
      <w:r>
        <w:rPr>
          <w:rFonts w:ascii="Arial" w:hAnsi="Arial" w:eastAsia="Arial" w:cs="Arial"/>
          <w:spacing w:val="13"/>
          <w:sz w:val="28"/>
          <w:szCs w:val="28"/>
        </w:rPr>
        <w:t>.</w:t>
      </w:r>
      <w:r>
        <w:rPr>
          <w:rFonts w:ascii="Arial" w:hAnsi="Arial" w:eastAsia="Arial" w:cs="Arial"/>
          <w:spacing w:val="40"/>
          <w:w w:val="101"/>
          <w:sz w:val="28"/>
          <w:szCs w:val="28"/>
        </w:rPr>
        <w:t xml:space="preserve"> </w:t>
      </w:r>
      <w:r>
        <w:rPr>
          <w:rFonts w:ascii="Arial" w:hAnsi="Arial" w:eastAsia="Arial" w:cs="Arial"/>
          <w:spacing w:val="13"/>
          <w:sz w:val="28"/>
          <w:szCs w:val="28"/>
        </w:rPr>
        <w:t>1</w:t>
      </w:r>
      <w:r>
        <w:rPr>
          <w:spacing w:val="13"/>
          <w:sz w:val="28"/>
          <w:szCs w:val="28"/>
        </w:rPr>
        <w:t>)</w:t>
      </w:r>
    </w:p>
    <w:p ns2:paraId="7A224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36" w:lineRule="auto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0AAAB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—雷电灾害事故发生可能性, L级差为1 , 当 L大于 1 且小于等于2时 , L取2 , 依此类推;</w:t>
      </w:r>
    </w:p>
    <w:p ns2:paraId="44D48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雷击发生可能性等级分值 , 雷击发生可能性等级按照 A. 1 . 2 确定;</w:t>
      </w:r>
    </w:p>
    <w:p ns2:paraId="5AD6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雷电防护装置现状分值;</w:t>
      </w:r>
    </w:p>
    <w:p ns2:paraId="2E763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L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防雷安全管理制度建立及执行情况分值;</w:t>
      </w:r>
    </w:p>
    <w:p ns2:paraId="5C71F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雷击发生可能性等级权重值;</w:t>
      </w:r>
    </w:p>
    <w:p ns2:paraId="124BF7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雷电防护装置现状权重值;</w:t>
      </w:r>
    </w:p>
    <w:p ns2:paraId="1B968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W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—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防雷安全管理制度建立及执行情况权重值。</w:t>
      </w:r>
    </w:p>
    <w:p ns2:paraId="458131CE">
      <w:pPr>
        <w:pStyle w:val="6"/>
        <w:spacing w:before="226" w:line="360" w:lineRule="auto"/>
        <w:ind w:left="21" w:right="15" w:firstLine="419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1、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en-US" w:bidi="ar"/>
        </w:rPr>
        <w:t>1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—雷击发生可能性等级分值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确定：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按表 A.2进行雷击发生可能性评价因子赋值, 再按公式(A.2)计算雷击发生可能性分值, 最后按表 A.3划分为 I、Ⅱ、Ⅲ三个等级。</w:t>
      </w:r>
    </w:p>
    <w:p ns2:paraId="31476759">
      <w:pPr>
        <w:pStyle w:val="6"/>
        <w:spacing w:before="111" w:line="178" w:lineRule="auto"/>
        <w:jc w:val="center"/>
        <w:rPr>
          <w:rFonts w:hint="eastAsia" w:ascii="仿宋" w:hAnsi="仿宋" w:eastAsia="仿宋" w:cs="仿宋"/>
          <w:sz w:val="24"/>
          <w:szCs w:val="32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2  雷击发生可能性评价因子赋值</w:t>
      </w:r>
    </w:p>
    <w:p ns2:paraId="4ACDD4D9">
      <w:pPr>
        <w:jc w:val="center"/>
        <w:rPr>
          <w:rFonts w:hint="eastAsia" w:ascii="仿宋" w:hAnsi="仿宋" w:eastAsia="仿宋" w:cs="仿宋"/>
          <w:sz w:val="24"/>
          <w:szCs w:val="32"/>
        </w:rPr>
      </w:pPr>
    </w:p>
    <w:tbl>
      <w:tblPr>
        <w:tblStyle w:val="15"/>
        <w:tblW w:w="981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1"/>
        <w:gridCol w:w="1380"/>
        <w:gridCol w:w="1400"/>
        <w:gridCol w:w="1413"/>
        <w:gridCol w:w="1512"/>
        <w:gridCol w:w="1404"/>
        <w:gridCol w:w="681"/>
        <w:gridCol w:w="655"/>
      </w:tblGrid>
      <w:tr ns2:paraId="6C6B38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  <w:jc w:val="center"/>
        </w:trPr>
        <w:tc>
          <w:tcPr>
            <w:tcW w:w="13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center"/>
          </w:tcPr>
          <w:p ns2:paraId="629407F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评价因子</w:t>
            </w:r>
          </w:p>
        </w:tc>
        <w:tc>
          <w:tcPr>
            <w:tcW w:w="710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D377C8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赋值</w:t>
            </w: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796BCD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Pn</w:t>
            </w:r>
          </w:p>
        </w:tc>
        <w:tc>
          <w:tcPr>
            <w:tcW w:w="65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243D9E2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65992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  <w:jc w:val="center"/>
        </w:trPr>
        <w:tc>
          <w:tcPr>
            <w:tcW w:w="13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0C1EBBA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5DF48AF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3CD763E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48E4103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78DC273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top"/>
          </w:tcPr>
          <w:p ns2:paraId="15E305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</w:t>
            </w: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460CA7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5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DD0A7D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ns2:paraId="457B6B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43905C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雷击密度次/(Km2 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13"/>
                <w:szCs w:val="16"/>
              </w:rPr>
              <w:t>●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 xml:space="preserve"> a)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C9044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[0 , 1)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2B6EE2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 , 2)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2FA54A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[2 , 3)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D2CBB3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 , 4)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B544E7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[4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A8420AA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</w:rPr>
              <w:t>1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F7395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t>5</w:t>
            </w:r>
          </w:p>
        </w:tc>
      </w:tr>
      <w:tr ns2:paraId="585343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CBF902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地形地貌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84F6232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周边高层建筑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09E274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丘陵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A83FA3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山地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DCCF11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河流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湖泊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低洼潮湿地 区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山间风口等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00F114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旷野孤立或突 出区域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2A019D8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97DA2F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t>5</w:t>
            </w:r>
          </w:p>
        </w:tc>
      </w:tr>
      <w:tr ns2:paraId="246EB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8584CB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相对高度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9A6978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风险单元被比风险单元内高的外部建(构)筑物或其他雷击可接闪物所环绕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8C7FBA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风险单元外局部方向有高于风险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单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元内的建(构)筑物或其他雷击可接闪物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18586D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或其他雷击可接闪物与风险单元内高度基本持平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EFDF502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 建(构)筑物 或其他雷击可接闪物低于风险单元内高度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8BF871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风险单元外无建(构)筑 物或其他雷击可接闪物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BA9DFB0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BF5769A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t>3</w:t>
            </w:r>
          </w:p>
        </w:tc>
      </w:tr>
      <w:tr ns2:paraId="1739AD2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00B3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占地面积m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2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76CC99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2500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74D8E5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250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1B483E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5000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7500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E4A2C7F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750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78E5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10000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  <w:szCs w:val="32"/>
              </w:rPr>
              <w:t>－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∞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647D5A1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65605D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t>1</w:t>
            </w:r>
          </w:p>
        </w:tc>
      </w:tr>
      <w:tr ns2:paraId="7C827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AFCE78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等效高度m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6C420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0 , 30)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347DB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45)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0AA62E6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45 , 60)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F7BF71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60 , 100)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F5584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100 , ∞)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EB83BB9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trike/>
                <w:dstrike w:val="0"/>
                <w:color w:val="000000"/>
                <w:sz w:val="24"/>
                <w:szCs w:val="32"/>
                <w:vertAlign w:val="subscript"/>
                <w:lang w:val="en-US" w:eastAsia="zh-CN"/>
              </w:rPr>
              <w:t>5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B5DDC1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t>1</w:t>
            </w:r>
          </w:p>
        </w:tc>
      </w:tr>
      <w:tr ns2:paraId="3A4C65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6" w:hRule="atLeast"/>
          <w:jc w:val="center"/>
        </w:trPr>
        <w:tc>
          <w:tcPr>
            <w:tcW w:w="13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FB688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风险单元内建(构)筑物防雷分类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</w:rPr>
              <w:t>a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73214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第三类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2A2AA80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6AE4868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第二类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3BF6214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—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457155E6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第一类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141371A2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</w:rPr>
              <w:t>P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6</w:t>
            </w:r>
          </w:p>
        </w:tc>
        <w:tc>
          <w:tcPr>
            <w:tcW w:w="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ns2:paraId="57DD178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t>3</w:t>
            </w:r>
          </w:p>
        </w:tc>
      </w:tr>
    </w:tbl>
    <w:p ns2:paraId="5148D63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240" w:lineRule="auto"/>
        <w:ind w:right="40"/>
        <w:jc w:val="center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ascii="Arial" w:hAnsi="Arial" w:eastAsia="Arial" w:cs="Arial"/>
          <w:i/>
          <w:iCs/>
          <w:spacing w:val="5"/>
          <w:sz w:val="28"/>
          <w:szCs w:val="28"/>
        </w:rPr>
        <w:t xml:space="preserve">P </w:t>
      </w:r>
      <w:r>
        <w:rPr>
          <w:spacing w:val="5"/>
          <w:position w:val="-1"/>
          <w:sz w:val="28"/>
          <w:szCs w:val="28"/>
        </w:rPr>
        <w:t>=</w:t>
      </w:r>
      <w:r>
        <w:rPr>
          <w:spacing w:val="49"/>
          <w:w w:val="101"/>
          <w:position w:val="-1"/>
          <w:sz w:val="28"/>
          <w:szCs w:val="28"/>
        </w:rPr>
        <w:t xml:space="preserve">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1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</w:rPr>
        <w:t>2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3</w:t>
      </w:r>
      <w:r>
        <w:rPr>
          <w:rFonts w:ascii="Arial" w:hAnsi="Arial" w:eastAsia="Arial" w:cs="Arial"/>
          <w:spacing w:val="1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4</w:t>
      </w:r>
      <w:r>
        <w:rPr>
          <w:rFonts w:ascii="Arial" w:hAnsi="Arial" w:eastAsia="Arial" w:cs="Arial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5</w:t>
      </w:r>
      <w:r>
        <w:rPr>
          <w:rFonts w:ascii="Arial" w:hAnsi="Arial" w:eastAsia="Arial" w:cs="Arial"/>
          <w:spacing w:val="2"/>
          <w:position w:val="-2"/>
          <w:sz w:val="28"/>
          <w:szCs w:val="28"/>
        </w:rPr>
        <w:t xml:space="preserve"> </w:t>
      </w:r>
      <w:r>
        <w:rPr>
          <w:spacing w:val="5"/>
          <w:position w:val="-1"/>
          <w:sz w:val="28"/>
          <w:szCs w:val="28"/>
        </w:rPr>
        <w:t xml:space="preserve">十 </w:t>
      </w:r>
      <w:r>
        <w:rPr>
          <w:rFonts w:ascii="Arial" w:hAnsi="Arial" w:eastAsia="Arial" w:cs="Arial"/>
          <w:i/>
          <w:iCs/>
          <w:spacing w:val="5"/>
          <w:sz w:val="28"/>
          <w:szCs w:val="28"/>
        </w:rPr>
        <w:t>P</w:t>
      </w:r>
      <w:r>
        <w:rPr>
          <w:rFonts w:ascii="Arial" w:hAnsi="Arial" w:eastAsia="Arial" w:cs="Arial"/>
          <w:spacing w:val="5"/>
          <w:position w:val="-2"/>
          <w:sz w:val="28"/>
          <w:szCs w:val="28"/>
          <w:vertAlign w:val="subscript"/>
        </w:rPr>
        <w:t>6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subscript"/>
          <w:lang w:val="en-US" w:eastAsia="zh-CN"/>
        </w:rPr>
        <w:t xml:space="preserve"> </w:t>
      </w:r>
      <w:r>
        <w:rPr>
          <w:rFonts w:hint="eastAsia" w:ascii="Arial" w:hAnsi="Arial" w:eastAsia="宋体" w:cs="Arial"/>
          <w:spacing w:val="5"/>
          <w:position w:val="-2"/>
          <w:sz w:val="28"/>
          <w:szCs w:val="28"/>
          <w:vertAlign w:val="baseline"/>
          <w:lang w:val="en-US" w:eastAsia="zh-CN"/>
        </w:rPr>
        <w:t xml:space="preserve">= </w:t>
      </w:r>
      <w:r>
        <w:rPr>
          <w:rFonts w:hint="eastAsia" w:ascii="Arial" w:hAnsi="Arial" w:eastAsia="宋体" w:cs="Arial"/>
          <w:spacing w:val="5"/>
          <w:position w:val="-2"/>
          <w:sz w:val="36"/>
          <w:szCs w:val="36"/>
          <w:vertAlign w:val="baseline"/>
          <w:lang w:val="en-US" w:eastAsia="zh-CN"/>
        </w:rPr>
        <w:t>？</w:t>
      </w:r>
    </w:p>
    <w:p ns2:paraId="2A6D96E5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38"/>
        <w:textAlignment w:val="auto"/>
        <w:rPr>
          <w:sz w:val="24"/>
          <w:szCs w:val="24"/>
        </w:rPr>
      </w:pPr>
      <w:r>
        <w:rPr>
          <w:spacing w:val="16"/>
          <w:sz w:val="24"/>
          <w:szCs w:val="24"/>
        </w:rPr>
        <w:t>式中:</w:t>
      </w:r>
    </w:p>
    <w:p ns2:paraId="40AFFD37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3"/>
          <w:position w:val="-1"/>
          <w:sz w:val="24"/>
          <w:szCs w:val="24"/>
        </w:rPr>
        <w:t>P</w:t>
      </w:r>
      <w:r>
        <w:rPr>
          <w:rFonts w:ascii="Arial" w:hAnsi="Arial" w:eastAsia="Arial" w:cs="Arial"/>
          <w:i/>
          <w:iCs/>
          <w:spacing w:val="-3"/>
          <w:position w:val="-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3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雷击发生可能性分值;</w:t>
      </w:r>
    </w:p>
    <w:p ns2:paraId="6A89F4D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1</w:t>
      </w:r>
      <w:r>
        <w:rPr>
          <w:rFonts w:ascii="Arial" w:hAnsi="Arial" w:eastAsia="Arial" w:cs="Arial"/>
          <w:spacing w:val="17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9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雷击密度分值;</w:t>
      </w:r>
    </w:p>
    <w:p ns2:paraId="67E73DEA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8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8"/>
          <w:position w:val="-3"/>
          <w:sz w:val="24"/>
          <w:szCs w:val="24"/>
          <w:vertAlign w:val="subscript"/>
        </w:rPr>
        <w:t>2</w:t>
      </w:r>
      <w:r>
        <w:rPr>
          <w:rFonts w:ascii="Arial" w:hAnsi="Arial" w:eastAsia="Arial" w:cs="Arial"/>
          <w:spacing w:val="2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9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地形地貌分值;</w:t>
      </w:r>
    </w:p>
    <w:p ns2:paraId="03A9B68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3</w:t>
      </w:r>
      <w:r>
        <w:rPr>
          <w:rFonts w:ascii="Arial" w:hAnsi="Arial" w:eastAsia="Arial" w:cs="Arial"/>
          <w:spacing w:val="19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30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31"/>
          <w:position w:val="1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相对高度分值;</w:t>
      </w:r>
    </w:p>
    <w:p ns2:paraId="5F9C7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29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9"/>
          <w:position w:val="-3"/>
          <w:sz w:val="24"/>
          <w:szCs w:val="24"/>
          <w:vertAlign w:val="subscript"/>
        </w:rPr>
        <w:t>4</w:t>
      </w:r>
      <w:r>
        <w:rPr>
          <w:rFonts w:ascii="Arial" w:hAnsi="Arial" w:eastAsia="Arial" w:cs="Arial"/>
          <w:spacing w:val="22"/>
          <w:w w:val="102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7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4"/>
          <w:position w:val="1"/>
          <w:sz w:val="24"/>
          <w:szCs w:val="24"/>
        </w:rPr>
        <w:t xml:space="preserve"> </w:t>
      </w:r>
      <w:r>
        <w:rPr>
          <w:spacing w:val="27"/>
          <w:sz w:val="24"/>
          <w:szCs w:val="24"/>
        </w:rPr>
        <w:t>占地面积分值</w:t>
      </w:r>
      <w:r>
        <w:rPr>
          <w:spacing w:val="27"/>
          <w:position w:val="1"/>
          <w:sz w:val="24"/>
          <w:szCs w:val="24"/>
        </w:rPr>
        <w:t>;</w:t>
      </w:r>
    </w:p>
    <w:p ns2:paraId="5FE9889F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24"/>
          <w:szCs w:val="24"/>
        </w:rPr>
      </w:pPr>
      <w:r>
        <w:rPr>
          <w:rFonts w:ascii="Arial" w:hAnsi="Arial" w:eastAsia="Arial" w:cs="Arial"/>
          <w:i/>
          <w:iCs/>
          <w:spacing w:val="30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30"/>
          <w:position w:val="-3"/>
          <w:sz w:val="24"/>
          <w:szCs w:val="24"/>
          <w:vertAlign w:val="subscript"/>
        </w:rPr>
        <w:t>5</w:t>
      </w:r>
      <w:r>
        <w:rPr>
          <w:rFonts w:ascii="Arial" w:hAnsi="Arial" w:eastAsia="Arial" w:cs="Arial"/>
          <w:spacing w:val="28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8"/>
          <w:position w:val="1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0"/>
          <w:position w:val="1"/>
          <w:sz w:val="24"/>
          <w:szCs w:val="24"/>
        </w:rPr>
        <w:t xml:space="preserve"> </w:t>
      </w:r>
      <w:r>
        <w:rPr>
          <w:spacing w:val="28"/>
          <w:sz w:val="24"/>
          <w:szCs w:val="24"/>
        </w:rPr>
        <w:t>等效高度分值</w:t>
      </w:r>
      <w:r>
        <w:rPr>
          <w:spacing w:val="28"/>
          <w:position w:val="1"/>
          <w:sz w:val="24"/>
          <w:szCs w:val="24"/>
        </w:rPr>
        <w:t>;</w:t>
      </w:r>
    </w:p>
    <w:p ns2:paraId="4DB629E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447"/>
        <w:textAlignment w:val="auto"/>
        <w:rPr>
          <w:sz w:val="19"/>
          <w:szCs w:val="19"/>
        </w:rPr>
      </w:pPr>
      <w:r>
        <w:rPr>
          <w:rFonts w:ascii="Arial" w:hAnsi="Arial" w:eastAsia="Arial" w:cs="Arial"/>
          <w:i/>
          <w:iCs/>
          <w:spacing w:val="27"/>
          <w:position w:val="-1"/>
          <w:sz w:val="24"/>
          <w:szCs w:val="24"/>
        </w:rPr>
        <w:t>P</w:t>
      </w:r>
      <w:r>
        <w:rPr>
          <w:rFonts w:ascii="Arial" w:hAnsi="Arial" w:eastAsia="Arial" w:cs="Arial"/>
          <w:spacing w:val="27"/>
          <w:position w:val="-3"/>
          <w:sz w:val="24"/>
          <w:szCs w:val="24"/>
          <w:vertAlign w:val="subscript"/>
        </w:rPr>
        <w:t>6</w:t>
      </w:r>
      <w:r>
        <w:rPr>
          <w:rFonts w:ascii="Arial" w:hAnsi="Arial" w:eastAsia="Arial" w:cs="Arial"/>
          <w:spacing w:val="26"/>
          <w:position w:val="-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pacing w:val="26"/>
          <w:sz w:val="24"/>
          <w:szCs w:val="24"/>
        </w:rPr>
        <w:t>—</w:t>
      </w:r>
      <w:r>
        <w:rPr>
          <w:rFonts w:ascii="Arial" w:hAnsi="Arial" w:eastAsia="Arial" w:cs="Arial"/>
          <w:b/>
          <w:bCs/>
          <w:spacing w:val="-25"/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>风险单元内建(构)筑物防雷分类分值。</w:t>
      </w:r>
    </w:p>
    <w:p ns2:paraId="0464F34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31" w:line="178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3 雷击发生可能性分级</w:t>
      </w:r>
    </w:p>
    <w:p ns2:paraId="4F7B92C8">
      <w:pPr>
        <w:spacing w:line="214" w:lineRule="exact"/>
      </w:pPr>
    </w:p>
    <w:tbl>
      <w:tblPr>
        <w:tblStyle w:val="15"/>
        <w:tblW w:w="9317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67"/>
        <w:gridCol w:w="3362"/>
        <w:gridCol w:w="2188"/>
      </w:tblGrid>
      <w:tr ns2:paraId="14D29B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3767" w:type="dxa"/>
            <w:tcBorders>
              <w:right w:val="single" w:color="000000" w:sz="2" w:space="0"/>
            </w:tcBorders>
            <w:noWrap w:val="0"/>
            <w:vAlign w:val="top"/>
          </w:tcPr>
          <w:p ns2:paraId="3FF5B2C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雷击发生可能性分值</w:t>
            </w:r>
          </w:p>
        </w:tc>
        <w:tc>
          <w:tcPr>
            <w:tcW w:w="3362" w:type="dxa"/>
            <w:tcBorders>
              <w:left w:val="single" w:color="000000" w:sz="2" w:space="0"/>
            </w:tcBorders>
            <w:noWrap w:val="0"/>
            <w:vAlign w:val="top"/>
          </w:tcPr>
          <w:p ns2:paraId="1322E23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雷击发生可能性等级</w:t>
            </w:r>
          </w:p>
        </w:tc>
        <w:tc>
          <w:tcPr>
            <w:tcW w:w="2188" w:type="dxa"/>
            <w:tcBorders>
              <w:left w:val="single" w:color="000000" w:sz="2" w:space="0"/>
            </w:tcBorders>
            <w:noWrap w:val="0"/>
            <w:vAlign w:val="top"/>
          </w:tcPr>
          <w:p ns2:paraId="2E2883E5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L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6E4A85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3767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ns2:paraId="4999B45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[8 , 18]</w:t>
            </w:r>
          </w:p>
        </w:tc>
        <w:tc>
          <w:tcPr>
            <w:tcW w:w="3362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2A6815D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Ⅲ</w:t>
            </w:r>
          </w:p>
        </w:tc>
        <w:tc>
          <w:tcPr>
            <w:tcW w:w="2188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348B6A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t>18</w:t>
            </w:r>
          </w:p>
        </w:tc>
      </w:tr>
      <w:tr ns2:paraId="694315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3767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 ns2:paraId="73D1DCB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[19 , 29]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2539072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Ⅱ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 ns2:paraId="4E4C56D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  <w:tr ns2:paraId="66747F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3767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top"/>
          </w:tcPr>
          <w:p ns2:paraId="2591AC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[30 , 40]</w:t>
            </w:r>
          </w:p>
        </w:tc>
        <w:tc>
          <w:tcPr>
            <w:tcW w:w="3362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ns2:paraId="52E2486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I</w:t>
            </w:r>
          </w:p>
        </w:tc>
        <w:tc>
          <w:tcPr>
            <w:tcW w:w="2188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top"/>
          </w:tcPr>
          <w:p ns2:paraId="795717F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</w:tr>
    </w:tbl>
    <w:p ns2:paraId="00E21E00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63" w:line="360" w:lineRule="auto"/>
        <w:ind w:leftChars="0" w:firstLine="643" w:firstLineChars="200"/>
        <w:textAlignment w:val="auto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注2、 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2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、L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—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雷电防护装置现状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en-US" w:bidi="ar"/>
        </w:rPr>
        <w:t>防雷安全管理制度建立及执行情况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等分值确定：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如出现表A.4 中所列情况中的任一条 , 雷电灾害事故发生可能性直接赋值“3”。</w:t>
      </w:r>
    </w:p>
    <w:p ns2:paraId="38C91D16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4雷电灾害事故发生可能性直接赋值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“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的情况列表</w:t>
      </w:r>
    </w:p>
    <w:p ns2:paraId="5E33B8BB">
      <w:pPr>
        <w:spacing w:line="236" w:lineRule="exact"/>
      </w:pPr>
    </w:p>
    <w:tbl>
      <w:tblPr>
        <w:tblStyle w:val="15"/>
        <w:tblW w:w="947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5"/>
        <w:gridCol w:w="6884"/>
      </w:tblGrid>
      <w:tr ns2:paraId="5F390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ns2:paraId="4810F77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项 目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04C2CE18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存在情况</w:t>
            </w:r>
          </w:p>
        </w:tc>
      </w:tr>
      <w:tr ns2:paraId="10E7A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286B4E3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防雷安全管理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6CECDDF7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预警信息接收和响应机制</w:t>
            </w:r>
          </w:p>
        </w:tc>
      </w:tr>
      <w:tr ns2:paraId="36A023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1CE6352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0E02A4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安全管理工作机构和管理人员</w:t>
            </w:r>
          </w:p>
        </w:tc>
      </w:tr>
      <w:tr ns2:paraId="3AB573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0E92A5C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4C2450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安全规章制度</w:t>
            </w:r>
          </w:p>
        </w:tc>
      </w:tr>
      <w:tr ns2:paraId="7D79A1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3B6BFA9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6927215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雷电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灾害应急预案,且未组织演练</w:t>
            </w:r>
          </w:p>
        </w:tc>
      </w:tr>
      <w:tr ns2:paraId="5663F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27BDA97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030A72B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独立接闪杆、架空接闪线或网的支柱及其接地装置至被保护建(构)筑物及与其有联系的管道、电缆等金属物之间的间隔距离不满足 GB50057 中的间隔距离要求</w:t>
            </w:r>
          </w:p>
        </w:tc>
      </w:tr>
      <w:tr ns2:paraId="0E9770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455F7FA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D7716A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</w:tr>
      <w:tr ns2:paraId="02D2F6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1" w:hRule="atLeast"/>
          <w:jc w:val="center"/>
        </w:trPr>
        <w:tc>
          <w:tcPr>
            <w:tcW w:w="2595" w:type="dxa"/>
            <w:vMerge w:val="continue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ns2:paraId="13DA91E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 ns2:paraId="2C344FE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建(构)筑物、户外生产设施等未按照 GB50057 中的要求设置防跨步电压和接触电压措施</w:t>
            </w:r>
          </w:p>
        </w:tc>
      </w:tr>
      <w:tr ns2:paraId="7D3173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00873F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雷电防护装置定期检测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FAAA97D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建(构)筑物雷电防护装置未按照 GB/T 21431 中的周期要求进行检测工作</w:t>
            </w:r>
          </w:p>
        </w:tc>
      </w:tr>
      <w:tr ns2:paraId="3FCB87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73B22E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526DD1C3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根据年度安全检测工作的合同和协议,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由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检测机构资质等级不符合《雷电防护资质检测资质管理办法》要求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的机构提供检测服务</w:t>
            </w:r>
          </w:p>
        </w:tc>
      </w:tr>
      <w:tr ns2:paraId="454F3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282F75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535BFE1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不符合国家标准中强制性条文内容且未做整改的</w:t>
            </w:r>
          </w:p>
        </w:tc>
      </w:tr>
      <w:tr ns2:paraId="34A753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10E0156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F93C5E4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根据检测报告结论, 建(构)筑物、户外生产设施、电子电气系统的雷电防护装置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不符合国家标准中非强制性条文内容且未做整改超过 3 项(含 3 项)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ns2:paraId="382F87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1E685EF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3831C01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部分需进行年度安全检测工作的雷电防护装置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无检测报告的</w:t>
            </w:r>
          </w:p>
        </w:tc>
      </w:tr>
      <w:tr ns2:paraId="1C4BA9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6B39C96E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新、改、扩建项目雷电防护装置审查和竣工验收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A868A5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bookmarkStart w:id="2" w:name="_GoBack"/>
            <w:bookmarkEnd w:id="2"/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新、改、扩(建)项目无防雷设计审查意见或防雷施工图审查意见</w:t>
            </w:r>
          </w:p>
        </w:tc>
      </w:tr>
      <w:tr ns2:paraId="7189B3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4326A3E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4A33D5B3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其雷电防护装置未取得竣工验收合格报告</w:t>
            </w:r>
          </w:p>
        </w:tc>
      </w:tr>
      <w:tr ns2:paraId="68AFC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  <w:jc w:val="center"/>
        </w:trPr>
        <w:tc>
          <w:tcPr>
            <w:tcW w:w="2595" w:type="dxa"/>
            <w:tcBorders>
              <w:tl2br w:val="nil"/>
              <w:tr2bl w:val="nil"/>
            </w:tcBorders>
            <w:noWrap w:val="0"/>
            <w:vAlign w:val="center"/>
          </w:tcPr>
          <w:p ns2:paraId="184104D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1C159245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对于人员密集场所且具有雷击风险的户外区域、具有爆炸和火灾危险环境的露天生产设备未设置护栏、警告牌等防雷安全标志</w:t>
            </w:r>
          </w:p>
        </w:tc>
      </w:tr>
      <w:tr ns2:paraId="10404B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2595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ns2:paraId="39438FD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238CA9F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的</w:t>
            </w:r>
          </w:p>
        </w:tc>
      </w:tr>
      <w:tr ns2:paraId="7D0586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  <w:jc w:val="center"/>
        </w:trPr>
        <w:tc>
          <w:tcPr>
            <w:tcW w:w="2595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ns2:paraId="6524F53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</w:p>
        </w:tc>
        <w:tc>
          <w:tcPr>
            <w:tcW w:w="6884" w:type="dxa"/>
            <w:tcBorders>
              <w:tl2br w:val="nil"/>
              <w:tr2bl w:val="nil"/>
            </w:tcBorders>
            <w:noWrap w:val="0"/>
            <w:vAlign w:val="center"/>
          </w:tcPr>
          <w:p ns2:paraId="1A38048F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年来遭受过雷电灾害, 未向气象主管机构上报灾害情况的</w:t>
            </w:r>
          </w:p>
        </w:tc>
      </w:tr>
    </w:tbl>
    <w:p ns2:paraId="6A46001D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line="413" w:lineRule="auto"/>
        <w:ind w:firstLine="643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2、雷电灾害事故后果严重性评估（S）</w:t>
      </w:r>
    </w:p>
    <w:p ns2:paraId="4797726B">
      <w:pPr>
        <w:pStyle w:val="6"/>
        <w:spacing w:before="226" w:line="360" w:lineRule="auto"/>
        <w:ind w:right="15"/>
        <w:rPr>
          <w:rFonts w:hint="default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雷电灾害事故后果严重性评价应先按表A. 5进行雷电灾害事故后果严重性评价因子赋值 , 再按公式(A. 3)计算。</w:t>
      </w:r>
    </w:p>
    <w:p ns2:paraId="3EAB994C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5 雷电灾害事故后果严重性评价因子赋值</w:t>
      </w:r>
    </w:p>
    <w:p ns2:paraId="47B7CEBF">
      <w:pPr>
        <w:spacing w:line="201" w:lineRule="exact"/>
      </w:pPr>
    </w:p>
    <w:tbl>
      <w:tblPr>
        <w:tblStyle w:val="15"/>
        <w:tblW w:w="96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8"/>
        <w:gridCol w:w="1997"/>
        <w:gridCol w:w="2338"/>
        <w:gridCol w:w="1808"/>
        <w:gridCol w:w="667"/>
        <w:gridCol w:w="689"/>
      </w:tblGrid>
      <w:tr ns2:paraId="23B382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2138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439A1E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评价因子</w:t>
            </w:r>
          </w:p>
        </w:tc>
        <w:tc>
          <w:tcPr>
            <w:tcW w:w="6143" w:type="dxa"/>
            <w:gridSpan w:val="3"/>
            <w:tcBorders>
              <w:top w:val="single" w:color="000000" w:sz="6" w:space="0"/>
            </w:tcBorders>
            <w:noWrap w:val="0"/>
            <w:vAlign w:val="center"/>
          </w:tcPr>
          <w:p ns2:paraId="7F3FB96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赋值</w:t>
            </w:r>
          </w:p>
        </w:tc>
        <w:tc>
          <w:tcPr>
            <w:tcW w:w="6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center"/>
          </w:tcPr>
          <w:p ns2:paraId="1741C19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Sn</w:t>
            </w:r>
          </w:p>
        </w:tc>
        <w:tc>
          <w:tcPr>
            <w:tcW w:w="689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20DD35E">
            <w:pPr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分值</w:t>
            </w:r>
          </w:p>
        </w:tc>
      </w:tr>
      <w:tr ns2:paraId="481683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138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5EA90C0D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12825D1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ns2:paraId="23997F7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ns2:paraId="4E285A3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6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FECB2F2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689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B20321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</w:tr>
      <w:tr ns2:paraId="2E7974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  <w:jc w:val="center"/>
        </w:trPr>
        <w:tc>
          <w:tcPr>
            <w:tcW w:w="2138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4506557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风险单元现场人数最大值a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ns2:paraId="3C4291E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0 , 10)</w:t>
            </w:r>
          </w:p>
        </w:tc>
        <w:tc>
          <w:tcPr>
            <w:tcW w:w="2338" w:type="dxa"/>
            <w:tcBorders>
              <w:top w:val="single" w:color="000000" w:sz="6" w:space="0"/>
            </w:tcBorders>
            <w:noWrap w:val="0"/>
            <w:vAlign w:val="center"/>
          </w:tcPr>
          <w:p ns2:paraId="2BA41BB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10 , 30)</w:t>
            </w:r>
          </w:p>
        </w:tc>
        <w:tc>
          <w:tcPr>
            <w:tcW w:w="1808" w:type="dxa"/>
            <w:tcBorders>
              <w:top w:val="single" w:color="000000" w:sz="6" w:space="0"/>
            </w:tcBorders>
            <w:noWrap w:val="0"/>
            <w:vAlign w:val="center"/>
          </w:tcPr>
          <w:p ns2:paraId="09C3C2C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30 , ∞)</w:t>
            </w:r>
          </w:p>
        </w:tc>
        <w:tc>
          <w:tcPr>
            <w:tcW w:w="6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7457C6AC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689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4B63F8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1</w:t>
            </w:r>
          </w:p>
        </w:tc>
      </w:tr>
      <w:tr ns2:paraId="7A105E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0" w:hRule="atLeast"/>
          <w:jc w:val="center"/>
        </w:trPr>
        <w:tc>
          <w:tcPr>
            <w:tcW w:w="2138" w:type="dxa"/>
            <w:tcBorders>
              <w:left w:val="single" w:color="000000" w:sz="6" w:space="0"/>
            </w:tcBorders>
            <w:noWrap w:val="0"/>
            <w:vAlign w:val="center"/>
          </w:tcPr>
          <w:p ns2:paraId="256239D5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风险单元边界外 500 m范围内防护目标情况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1997" w:type="dxa"/>
            <w:noWrap w:val="0"/>
            <w:vAlign w:val="center"/>
          </w:tcPr>
          <w:p ns2:paraId="54515E9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无防护目标</w:t>
            </w:r>
          </w:p>
        </w:tc>
        <w:tc>
          <w:tcPr>
            <w:tcW w:w="2338" w:type="dxa"/>
            <w:noWrap w:val="0"/>
            <w:vAlign w:val="center"/>
          </w:tcPr>
          <w:p ns2:paraId="7842B27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仅涉及 1~2 个一般防护目标中的三类防护目标</w:t>
            </w:r>
          </w:p>
        </w:tc>
        <w:tc>
          <w:tcPr>
            <w:tcW w:w="1808" w:type="dxa"/>
            <w:noWrap w:val="0"/>
            <w:vAlign w:val="center"/>
          </w:tcPr>
          <w:p ns2:paraId="5FA8E13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涉及防护目标的其他情况</w:t>
            </w:r>
          </w:p>
        </w:tc>
        <w:tc>
          <w:tcPr>
            <w:tcW w:w="667" w:type="dxa"/>
            <w:tcBorders>
              <w:right w:val="single" w:color="000000" w:sz="6" w:space="0"/>
            </w:tcBorders>
            <w:noWrap w:val="0"/>
            <w:vAlign w:val="center"/>
          </w:tcPr>
          <w:p ns2:paraId="5BA50997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689" w:type="dxa"/>
            <w:tcBorders>
              <w:right w:val="single" w:color="000000" w:sz="6" w:space="0"/>
            </w:tcBorders>
            <w:noWrap w:val="0"/>
            <w:vAlign w:val="center"/>
          </w:tcPr>
          <w:p ns2:paraId="3293AD8A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1</w:t>
            </w:r>
          </w:p>
        </w:tc>
      </w:tr>
      <w:tr ns2:paraId="6AADBE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2138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3EE60486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风险单元化学品固有危险性等级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62BC33EB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  <w:tc>
          <w:tcPr>
            <w:tcW w:w="2338" w:type="dxa"/>
            <w:tcBorders>
              <w:bottom w:val="single" w:color="000000" w:sz="6" w:space="0"/>
            </w:tcBorders>
            <w:noWrap w:val="0"/>
            <w:vAlign w:val="center"/>
          </w:tcPr>
          <w:p ns2:paraId="014ECA6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  <w:tc>
          <w:tcPr>
            <w:tcW w:w="1808" w:type="dxa"/>
            <w:tcBorders>
              <w:bottom w:val="single" w:color="000000" w:sz="6" w:space="0"/>
            </w:tcBorders>
            <w:noWrap w:val="0"/>
            <w:vAlign w:val="center"/>
          </w:tcPr>
          <w:p ns2:paraId="0939A5B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ascii="仿宋_GB2312" w:hAnsi="等线" w:eastAsia="仿宋_GB2312" w:cs="等线"/>
                <w:color w:val="auto"/>
                <w:kern w:val="0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等线" w:eastAsia="仿宋_GB2312" w:cs="等线"/>
                <w:color w:val="auto"/>
                <w:kern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I</w:t>
            </w:r>
          </w:p>
        </w:tc>
        <w:tc>
          <w:tcPr>
            <w:tcW w:w="6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67BC82F">
            <w:pPr>
              <w:jc w:val="center"/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S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689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4F706611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3</w:t>
            </w:r>
          </w:p>
        </w:tc>
      </w:tr>
    </w:tbl>
    <w:p ns2:paraId="7EDDC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line="420" w:lineRule="exact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    ………………(A. 3)</w:t>
      </w:r>
    </w:p>
    <w:p ns2:paraId="3FC4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41032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雷电灾害事故后果严重性;</w:t>
      </w:r>
    </w:p>
    <w:p ns2:paraId="1659A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风险单元现场人数最大值分值;</w:t>
      </w:r>
    </w:p>
    <w:p ns2:paraId="3B918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风险单元边界外 500 m范围内防护目标情况分值;</w:t>
      </w:r>
    </w:p>
    <w:p ns2:paraId="3A860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S</w:t>
      </w:r>
      <w:r>
        <w:rPr>
          <w:rFonts w:hint="eastAsia" w:ascii="微软雅黑" w:hAnsi="微软雅黑" w:eastAsia="微软雅黑" w:cs="微软雅黑"/>
          <w:i w:val="0"/>
          <w:iCs w:val="0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风险单元化学品固有危险性等级分值。</w:t>
      </w:r>
    </w:p>
    <w:p ns2:paraId="0A93EE06">
      <w:pPr>
        <w:pStyle w:val="6"/>
        <w:spacing w:before="226" w:line="360" w:lineRule="auto"/>
        <w:ind w:right="15" w:firstLine="643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注：</w:t>
      </w:r>
      <w:r>
        <w:rPr>
          <w:rFonts w:hint="eastAsia" w:ascii="仿宋" w:hAnsi="仿宋" w:eastAsia="仿宋" w:cs="仿宋"/>
          <w:b/>
          <w:bCs/>
          <w:i/>
          <w:iCs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S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subscript"/>
          <w:lang w:val="en-US" w:eastAsia="zh-CN" w:bidi="ar"/>
        </w:rPr>
        <w:t>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 xml:space="preserve"> — 风险单元化学品固有危险性等级赋值：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化学品固有危险性等级确定按表 A. 6 进行化学品固有危险性等级评价因子赋值, 再按公式(A. 4)计算化学品固有危险性分值, 最后按表 A. 7 划分为 I 、Ⅱ 、Ⅲ三个等级 。</w:t>
      </w:r>
    </w:p>
    <w:p ns2:paraId="5D68C442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表 A. 6 化学品固有危险性评价因子赋值</w:t>
      </w:r>
    </w:p>
    <w:p ns2:paraId="4389C176">
      <w:pPr>
        <w:spacing w:line="201" w:lineRule="exact"/>
      </w:pPr>
    </w:p>
    <w:tbl>
      <w:tblPr>
        <w:tblStyle w:val="15"/>
        <w:tblW w:w="988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7"/>
        <w:gridCol w:w="2175"/>
        <w:gridCol w:w="1994"/>
        <w:gridCol w:w="1997"/>
        <w:gridCol w:w="767"/>
        <w:gridCol w:w="767"/>
      </w:tblGrid>
      <w:tr ns2:paraId="6FEAE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2187" w:type="dxa"/>
            <w:vMerge w:val="restart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center"/>
          </w:tcPr>
          <w:p ns2:paraId="502E3261">
            <w:pPr>
              <w:pStyle w:val="14"/>
              <w:spacing w:before="272" w:line="480" w:lineRule="auto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评价因子</w:t>
            </w:r>
          </w:p>
        </w:tc>
        <w:tc>
          <w:tcPr>
            <w:tcW w:w="6166" w:type="dxa"/>
            <w:gridSpan w:val="3"/>
            <w:tcBorders>
              <w:top w:val="single" w:color="000000" w:sz="6" w:space="0"/>
            </w:tcBorders>
            <w:noWrap w:val="0"/>
            <w:vAlign w:val="top"/>
          </w:tcPr>
          <w:p ns2:paraId="2919EE7F">
            <w:pPr>
              <w:pStyle w:val="14"/>
              <w:spacing w:before="93" w:line="184" w:lineRule="auto"/>
              <w:ind w:left="2893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赋值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bottom w:val="nil"/>
              <w:right w:val="single" w:color="000000" w:sz="6" w:space="0"/>
            </w:tcBorders>
            <w:noWrap w:val="0"/>
            <w:vAlign w:val="top"/>
          </w:tcPr>
          <w:p ns2:paraId="7D6521D6">
            <w:pPr>
              <w:spacing w:before="278" w:line="238" w:lineRule="auto"/>
              <w:ind w:left="277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Mn</w:t>
            </w:r>
          </w:p>
        </w:tc>
        <w:tc>
          <w:tcPr>
            <w:tcW w:w="767" w:type="dxa"/>
            <w:vMerge w:val="restart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ns2:paraId="08E467D4">
            <w:pPr>
              <w:spacing w:before="278" w:line="238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分值</w:t>
            </w:r>
          </w:p>
        </w:tc>
      </w:tr>
      <w:tr ns2:paraId="1CC152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  <w:jc w:val="center"/>
        </w:trPr>
        <w:tc>
          <w:tcPr>
            <w:tcW w:w="2187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6CFC34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top"/>
          </w:tcPr>
          <w:p ns2:paraId="43F67129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1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top"/>
          </w:tcPr>
          <w:p ns2:paraId="69B601B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2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top"/>
          </w:tcPr>
          <w:p ns2:paraId="63AB9F74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2"/>
                <w:sz w:val="24"/>
                <w:szCs w:val="32"/>
                <w:lang w:val="en-US" w:eastAsia="zh-CN" w:bidi="ar-SA"/>
              </w:rPr>
              <w:t>3</w:t>
            </w:r>
          </w:p>
        </w:tc>
        <w:tc>
          <w:tcPr>
            <w:tcW w:w="767" w:type="dxa"/>
            <w:vMerge w:val="continue"/>
            <w:tcBorders>
              <w:top w:val="nil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0D60467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  <w:tc>
          <w:tcPr>
            <w:tcW w:w="767" w:type="dxa"/>
            <w:vMerge w:val="continue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0F91FDF4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kern w:val="2"/>
                <w:sz w:val="24"/>
                <w:szCs w:val="32"/>
                <w:lang w:val="en-US" w:eastAsia="zh-CN" w:bidi="ar-SA"/>
              </w:rPr>
            </w:pPr>
          </w:p>
        </w:tc>
      </w:tr>
      <w:tr ns2:paraId="76B50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  <w:jc w:val="center"/>
        </w:trPr>
        <w:tc>
          <w:tcPr>
            <w:tcW w:w="2187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center"/>
          </w:tcPr>
          <w:p ns2:paraId="5271758C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火灾危险性类别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a</w:t>
            </w:r>
          </w:p>
        </w:tc>
        <w:tc>
          <w:tcPr>
            <w:tcW w:w="2175" w:type="dxa"/>
            <w:tcBorders>
              <w:top w:val="single" w:color="000000" w:sz="6" w:space="0"/>
            </w:tcBorders>
            <w:noWrap w:val="0"/>
            <w:vAlign w:val="center"/>
          </w:tcPr>
          <w:p ns2:paraId="742D79C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丁、戊类及其他</w:t>
            </w:r>
          </w:p>
        </w:tc>
        <w:tc>
          <w:tcPr>
            <w:tcW w:w="1994" w:type="dxa"/>
            <w:tcBorders>
              <w:top w:val="single" w:color="000000" w:sz="6" w:space="0"/>
            </w:tcBorders>
            <w:noWrap w:val="0"/>
            <w:vAlign w:val="center"/>
          </w:tcPr>
          <w:p ns2:paraId="020454A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52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乙、丙类</w:t>
            </w:r>
          </w:p>
        </w:tc>
        <w:tc>
          <w:tcPr>
            <w:tcW w:w="1997" w:type="dxa"/>
            <w:tcBorders>
              <w:top w:val="single" w:color="000000" w:sz="6" w:space="0"/>
            </w:tcBorders>
            <w:noWrap w:val="0"/>
            <w:vAlign w:val="center"/>
          </w:tcPr>
          <w:p ns2:paraId="6F7DC58E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甲类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0291C32C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1</w:t>
            </w:r>
          </w:p>
        </w:tc>
        <w:tc>
          <w:tcPr>
            <w:tcW w:w="767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00AE8494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3</w:t>
            </w:r>
          </w:p>
        </w:tc>
      </w:tr>
      <w:tr ns2:paraId="0944EA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ns2:paraId="2F45090A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化学品急性毒性危害类别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b</w:t>
            </w:r>
          </w:p>
        </w:tc>
        <w:tc>
          <w:tcPr>
            <w:tcW w:w="2175" w:type="dxa"/>
            <w:noWrap w:val="0"/>
            <w:vAlign w:val="center"/>
          </w:tcPr>
          <w:p ns2:paraId="6BF6FF49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类别4、类别5及其他</w:t>
            </w:r>
          </w:p>
        </w:tc>
        <w:tc>
          <w:tcPr>
            <w:tcW w:w="1994" w:type="dxa"/>
            <w:noWrap w:val="0"/>
            <w:vAlign w:val="center"/>
          </w:tcPr>
          <w:p ns2:paraId="2023B81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类别2、类别3</w:t>
            </w:r>
          </w:p>
        </w:tc>
        <w:tc>
          <w:tcPr>
            <w:tcW w:w="1997" w:type="dxa"/>
            <w:noWrap w:val="0"/>
            <w:vAlign w:val="center"/>
          </w:tcPr>
          <w:p ns2:paraId="1C097C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类别1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03B8C1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2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59C63262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2</w:t>
            </w:r>
          </w:p>
        </w:tc>
      </w:tr>
      <w:tr ns2:paraId="0A01A2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1" w:hRule="atLeast"/>
          <w:jc w:val="center"/>
        </w:trPr>
        <w:tc>
          <w:tcPr>
            <w:tcW w:w="2187" w:type="dxa"/>
            <w:tcBorders>
              <w:left w:val="single" w:color="000000" w:sz="6" w:space="0"/>
            </w:tcBorders>
            <w:noWrap w:val="0"/>
            <w:vAlign w:val="center"/>
          </w:tcPr>
          <w:p ns2:paraId="05436753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危险工艺和操作</w:t>
            </w:r>
          </w:p>
        </w:tc>
        <w:tc>
          <w:tcPr>
            <w:tcW w:w="2175" w:type="dxa"/>
            <w:noWrap w:val="0"/>
            <w:vAlign w:val="center"/>
          </w:tcPr>
          <w:p ns2:paraId="43AB835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不涉及危险化工 工艺和金属有机物合成反应(包括格氏反应), 且采用连续、间歇或半连续操作</w:t>
            </w:r>
          </w:p>
        </w:tc>
        <w:tc>
          <w:tcPr>
            <w:tcW w:w="1994" w:type="dxa"/>
            <w:noWrap w:val="0"/>
            <w:vAlign w:val="center"/>
          </w:tcPr>
          <w:p ns2:paraId="74D8DA1E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涉及危险工艺和金属有机物合成反应(包括格氏反 应), 且采用连续操作</w:t>
            </w:r>
          </w:p>
        </w:tc>
        <w:tc>
          <w:tcPr>
            <w:tcW w:w="1997" w:type="dxa"/>
            <w:noWrap w:val="0"/>
            <w:vAlign w:val="center"/>
          </w:tcPr>
          <w:p ns2:paraId="1DCF1D4C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涉及危险工艺或金属有机物合成反应(包括格氏反 应),且采用间歇或半连续操作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18C78C7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3</w:t>
            </w:r>
          </w:p>
        </w:tc>
        <w:tc>
          <w:tcPr>
            <w:tcW w:w="767" w:type="dxa"/>
            <w:tcBorders>
              <w:right w:val="single" w:color="000000" w:sz="6" w:space="0"/>
            </w:tcBorders>
            <w:noWrap w:val="0"/>
            <w:vAlign w:val="center"/>
          </w:tcPr>
          <w:p ns2:paraId="473B0BC3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1</w:t>
            </w:r>
          </w:p>
        </w:tc>
      </w:tr>
      <w:tr ns2:paraId="4CD2C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  <w:jc w:val="center"/>
        </w:trPr>
        <w:tc>
          <w:tcPr>
            <w:tcW w:w="2187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center"/>
          </w:tcPr>
          <w:p ns2:paraId="41880A81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重大危险源等级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perscript"/>
                <w:lang w:val="en-US" w:eastAsia="zh-CN"/>
              </w:rPr>
              <w:t>c</w:t>
            </w:r>
          </w:p>
        </w:tc>
        <w:tc>
          <w:tcPr>
            <w:tcW w:w="2175" w:type="dxa"/>
            <w:tcBorders>
              <w:bottom w:val="single" w:color="000000" w:sz="6" w:space="0"/>
            </w:tcBorders>
            <w:noWrap w:val="0"/>
            <w:vAlign w:val="center"/>
          </w:tcPr>
          <w:p ns2:paraId="68319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非危险化学品重大危险源</w:t>
            </w:r>
          </w:p>
        </w:tc>
        <w:tc>
          <w:tcPr>
            <w:tcW w:w="1994" w:type="dxa"/>
            <w:tcBorders>
              <w:bottom w:val="single" w:color="000000" w:sz="6" w:space="0"/>
            </w:tcBorders>
            <w:noWrap w:val="0"/>
            <w:vAlign w:val="center"/>
          </w:tcPr>
          <w:p ns2:paraId="223A1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三级 、四级</w:t>
            </w:r>
          </w:p>
        </w:tc>
        <w:tc>
          <w:tcPr>
            <w:tcW w:w="1997" w:type="dxa"/>
            <w:tcBorders>
              <w:bottom w:val="single" w:color="000000" w:sz="6" w:space="0"/>
            </w:tcBorders>
            <w:noWrap w:val="0"/>
            <w:vAlign w:val="center"/>
          </w:tcPr>
          <w:p ns2:paraId="2B2808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/>
              <w:jc w:val="center"/>
              <w:textAlignment w:val="auto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二级 、一级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3627CB9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/>
                <w:iCs/>
                <w:color w:val="000000"/>
                <w:sz w:val="24"/>
                <w:szCs w:val="32"/>
                <w:lang w:val="en-US" w:eastAsia="zh-CN"/>
              </w:rPr>
              <w:t>M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vertAlign w:val="subscript"/>
                <w:lang w:val="en-US" w:eastAsia="zh-CN"/>
              </w:rPr>
              <w:t>4</w:t>
            </w:r>
          </w:p>
        </w:tc>
        <w:tc>
          <w:tcPr>
            <w:tcW w:w="767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ns2:paraId="1AD6D7F0">
            <w:pPr>
              <w:jc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32"/>
                <w:lang w:val="en-US" w:eastAsia="zh-CN"/>
              </w:rPr>
            </w:pPr>
            <w:r>
              <w:t>1</w:t>
            </w:r>
          </w:p>
        </w:tc>
      </w:tr>
    </w:tbl>
    <w:p ns2:paraId="6A334B1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5" w:line="176" w:lineRule="auto"/>
        <w:jc w:val="center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M=MAX(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1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2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zh-CN" w:bidi="ar-SA"/>
        </w:rPr>
        <w:t>3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，</w:t>
      </w: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) 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=？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   ………………(A. 4)</w:t>
      </w:r>
    </w:p>
    <w:p ns2:paraId="4A37D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式中:</w:t>
      </w:r>
    </w:p>
    <w:p ns2:paraId="6343A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化学品固有危险性分值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570A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火灾危险性类别分值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244CD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化学品急性毒性危害类别分值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7840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3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危险工艺和操作分值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；</w:t>
      </w:r>
    </w:p>
    <w:p ns2:paraId="6F327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24" w:firstLineChars="200"/>
        <w:textAlignment w:val="auto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i/>
          <w:iCs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>M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vertAlign w:val="subscript"/>
          <w:lang w:val="en-US" w:eastAsia="en-US" w:bidi="ar-SA"/>
        </w:rPr>
        <w:t>4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en-US" w:bidi="ar-SA"/>
        </w:rPr>
        <w:t xml:space="preserve"> — 重大危险源等级分值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4"/>
          <w:szCs w:val="24"/>
          <w:lang w:val="en-US" w:eastAsia="zh-CN" w:bidi="ar-SA"/>
        </w:rPr>
        <w:t>。</w:t>
      </w:r>
    </w:p>
    <w:p ns2:paraId="5C46E0D7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 xml:space="preserve">表A. 7 </w:t>
      </w: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化学品固有危险性分级</w:t>
      </w:r>
    </w:p>
    <w:p ns2:paraId="11F3A21A">
      <w:pPr>
        <w:spacing w:line="211" w:lineRule="exact"/>
      </w:pPr>
    </w:p>
    <w:tbl>
      <w:tblPr>
        <w:tblStyle w:val="15"/>
        <w:tblW w:w="9039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5"/>
        <w:gridCol w:w="4524"/>
      </w:tblGrid>
      <w:tr ns2:paraId="15E78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  <w:jc w:val="center"/>
        </w:trPr>
        <w:tc>
          <w:tcPr>
            <w:tcW w:w="4515" w:type="dxa"/>
            <w:tcBorders>
              <w:right w:val="single" w:color="000000" w:sz="2" w:space="0"/>
            </w:tcBorders>
            <w:noWrap w:val="0"/>
            <w:vAlign w:val="center"/>
          </w:tcPr>
          <w:p ns2:paraId="3EF517C0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化学品固有危险性分值</w:t>
            </w:r>
          </w:p>
        </w:tc>
        <w:tc>
          <w:tcPr>
            <w:tcW w:w="4524" w:type="dxa"/>
            <w:tcBorders>
              <w:left w:val="single" w:color="000000" w:sz="2" w:space="0"/>
            </w:tcBorders>
            <w:noWrap w:val="0"/>
            <w:vAlign w:val="center"/>
          </w:tcPr>
          <w:p ns2:paraId="0053F20B">
            <w:p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化学品固有危险性等级</w:t>
            </w:r>
          </w:p>
        </w:tc>
      </w:tr>
      <w:tr ns2:paraId="04768D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4515" w:type="dxa"/>
            <w:tcBorders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69A4CBA3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</w:t>
            </w:r>
          </w:p>
        </w:tc>
        <w:tc>
          <w:tcPr>
            <w:tcW w:w="4524" w:type="dxa"/>
            <w:tcBorders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ns2:paraId="5439B1B0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Ⅲ</w:t>
            </w:r>
          </w:p>
        </w:tc>
      </w:tr>
      <w:tr ns2:paraId="7654EE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  <w:jc w:val="center"/>
        </w:trPr>
        <w:tc>
          <w:tcPr>
            <w:tcW w:w="4515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5744E1B5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center"/>
          </w:tcPr>
          <w:p ns2:paraId="16EED2C7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Ⅱ</w:t>
            </w:r>
          </w:p>
        </w:tc>
      </w:tr>
      <w:tr ns2:paraId="1D7703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4515" w:type="dxa"/>
            <w:tcBorders>
              <w:top w:val="single" w:color="000000" w:sz="2" w:space="0"/>
              <w:right w:val="single" w:color="000000" w:sz="2" w:space="0"/>
            </w:tcBorders>
            <w:noWrap w:val="0"/>
            <w:vAlign w:val="center"/>
          </w:tcPr>
          <w:p ns2:paraId="760F93F8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</w:t>
            </w:r>
          </w:p>
        </w:tc>
        <w:tc>
          <w:tcPr>
            <w:tcW w:w="4524" w:type="dxa"/>
            <w:tcBorders>
              <w:top w:val="single" w:color="000000" w:sz="2" w:space="0"/>
              <w:left w:val="single" w:color="000000" w:sz="2" w:space="0"/>
            </w:tcBorders>
            <w:noWrap w:val="0"/>
            <w:vAlign w:val="center"/>
          </w:tcPr>
          <w:p ns2:paraId="6CD1DFED">
            <w:pPr>
              <w:jc w:val="center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 I</w:t>
            </w:r>
          </w:p>
        </w:tc>
      </w:tr>
    </w:tbl>
    <w:p ns2:paraId="5CCBA3C5">
      <w:pPr>
        <w:rPr>
          <w:rFonts w:ascii="Arial"/>
          <w:sz w:val="21"/>
        </w:rPr>
      </w:pPr>
    </w:p>
    <w:p ns2:paraId="5567705F">
      <w:pPr>
        <w:pStyle w:val="3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413" w:lineRule="auto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3、气象灾害（防雷）防御重点单位防雷安全风险等级（R）</w:t>
      </w:r>
    </w:p>
    <w:p ns2:paraId="23B71D17">
      <w:pPr>
        <w:rPr>
          <w:rFonts w:ascii="Arial" w:hAnsi="Arial" w:eastAsia="Arial" w:cs="Arial"/>
          <w:sz w:val="21"/>
          <w:szCs w:val="21"/>
        </w:rPr>
      </w:pPr>
    </w:p>
    <w:p ns2:paraId="31228EBB">
      <w:pPr>
        <w:spacing w:line="360" w:lineRule="auto"/>
        <w:ind w:firstLine="640" w:firstLineChars="200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根据雷电灾害事故发生可能性(L)和雷电灾害事故后果严重性(S),按照下列公式计算出该公司防雷安全风险值(R)。</w:t>
      </w:r>
    </w:p>
    <w:p ns2:paraId="722F8D32">
      <w:pPr>
        <w:spacing w:line="360" w:lineRule="auto"/>
        <w:jc w:val="center"/>
        <w:rPr>
          <w:rFonts w:hint="default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</w:pPr>
      <w:r>
        <w:rPr>
          <w:rFonts w:hint="eastAsia" w:ascii="Arial" w:hAnsi="Arial" w:eastAsia="Arial" w:cs="Arial"/>
          <w:i/>
          <w:iCs/>
          <w:snapToGrid w:val="0"/>
          <w:color w:val="000000"/>
          <w:spacing w:val="22"/>
          <w:w w:val="113"/>
          <w:kern w:val="0"/>
          <w:position w:val="-1"/>
          <w:sz w:val="32"/>
          <w:szCs w:val="32"/>
          <w:lang w:val="en-US" w:eastAsia="zh-CN" w:bidi="ar-SA"/>
        </w:rPr>
        <w:t>R=L×S=</w:t>
      </w:r>
    </w:p>
    <w:p ns2:paraId="4743742F">
      <w:pPr>
        <w:bidi w:val="0"/>
        <w:spacing w:line="360" w:lineRule="auto"/>
        <w:ind w:firstLine="640" w:firstLineChars="200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经综合评定，对照下列“风险评估指标危险等级表”，判定该公司存在：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t>较高气象（雷电）灾害风险。</w:t>
      </w:r>
    </w:p>
    <w:p ns2:paraId="7920C6B3">
      <w:pPr>
        <w:pStyle w:val="6"/>
        <w:spacing w:before="111" w:line="178" w:lineRule="auto"/>
        <w:jc w:val="center"/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</w:pPr>
      <w:r>
        <w:rPr>
          <w:rFonts w:hint="eastAsia" w:cs="微软雅黑"/>
          <w:snapToGrid w:val="0"/>
          <w:color w:val="000000"/>
          <w:spacing w:val="11"/>
          <w:kern w:val="0"/>
          <w:sz w:val="28"/>
          <w:szCs w:val="28"/>
          <w:lang w:val="en-US" w:eastAsia="zh-CN" w:bidi="ar-SA"/>
        </w:rPr>
        <w:t>表A. 8  风险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1"/>
          <w:kern w:val="0"/>
          <w:sz w:val="28"/>
          <w:szCs w:val="28"/>
          <w:lang w:val="en-US" w:eastAsia="en-US" w:bidi="ar-SA"/>
        </w:rPr>
        <w:t>评估指标危险等级</w:t>
      </w:r>
    </w:p>
    <w:p ns2:paraId="41E7FA52">
      <w:pPr>
        <w:spacing w:line="208" w:lineRule="exact"/>
      </w:pPr>
    </w:p>
    <w:tbl>
      <w:tblPr>
        <w:tblStyle w:val="15"/>
        <w:tblW w:w="9239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1"/>
        <w:gridCol w:w="3062"/>
        <w:gridCol w:w="3106"/>
      </w:tblGrid>
      <w:tr ns2:paraId="6CA11B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6B41DA8F">
            <w:pPr>
              <w:spacing w:before="92" w:line="183" w:lineRule="auto"/>
              <w:ind w:left="117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危险等级</w:t>
            </w:r>
          </w:p>
        </w:tc>
        <w:tc>
          <w:tcPr>
            <w:tcW w:w="3062" w:type="dxa"/>
            <w:tcBorders>
              <w:top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DA44955">
            <w:pPr>
              <w:pStyle w:val="14"/>
              <w:spacing w:before="155" w:line="102" w:lineRule="exact"/>
              <w:ind w:left="1489"/>
              <w:rPr>
                <w:rFonts w:hint="eastAsia" w:eastAsia="微软雅黑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iCs/>
                <w:position w:val="1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310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5F87881D">
            <w:pPr>
              <w:spacing w:before="92" w:line="182" w:lineRule="auto"/>
              <w:ind w:left="138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说明</w:t>
            </w:r>
          </w:p>
        </w:tc>
      </w:tr>
      <w:tr ns2:paraId="1D5B58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3071" w:type="dxa"/>
            <w:tcBorders>
              <w:top w:val="single" w:color="000000" w:sz="6" w:space="0"/>
              <w:left w:val="single" w:color="000000" w:sz="6" w:space="0"/>
            </w:tcBorders>
            <w:noWrap w:val="0"/>
            <w:vAlign w:val="top"/>
          </w:tcPr>
          <w:p ns2:paraId="7C9966F9">
            <w:pPr>
              <w:spacing w:before="86" w:line="183" w:lineRule="auto"/>
              <w:ind w:left="139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position w:val="-1"/>
                <w:sz w:val="21"/>
                <w:szCs w:val="21"/>
              </w:rPr>
              <w:t>I</w:t>
            </w:r>
            <w:r>
              <w:rPr>
                <w:rFonts w:ascii="微软雅黑" w:hAnsi="微软雅黑" w:eastAsia="微软雅黑" w:cs="微软雅黑"/>
                <w:spacing w:val="21"/>
                <w:w w:val="101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1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tcBorders>
              <w:top w:val="single" w:color="000000" w:sz="6" w:space="0"/>
            </w:tcBorders>
            <w:noWrap w:val="0"/>
            <w:vAlign w:val="top"/>
          </w:tcPr>
          <w:p ns2:paraId="6583ABBC">
            <w:pPr>
              <w:pStyle w:val="14"/>
              <w:spacing w:before="75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0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top w:val="single" w:color="000000" w:sz="6" w:space="0"/>
              <w:right w:val="single" w:color="000000" w:sz="6" w:space="0"/>
            </w:tcBorders>
            <w:noWrap w:val="0"/>
            <w:vAlign w:val="top"/>
          </w:tcPr>
          <w:p ns2:paraId="3BBF5B72">
            <w:pPr>
              <w:spacing w:before="86" w:line="184" w:lineRule="auto"/>
              <w:ind w:left="1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4"/>
                <w:sz w:val="21"/>
                <w:szCs w:val="21"/>
              </w:rPr>
              <w:t>低风险</w:t>
            </w:r>
          </w:p>
        </w:tc>
      </w:tr>
      <w:tr ns2:paraId="2226A6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5E3DBDDD">
            <w:pPr>
              <w:spacing w:before="97" w:line="183" w:lineRule="auto"/>
              <w:ind w:left="139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7"/>
                <w:position w:val="-1"/>
                <w:sz w:val="21"/>
                <w:szCs w:val="21"/>
              </w:rPr>
              <w:t>Ⅱ</w:t>
            </w:r>
            <w:r>
              <w:rPr>
                <w:rFonts w:ascii="微软雅黑" w:hAnsi="微软雅黑" w:eastAsia="微软雅黑" w:cs="微软雅黑"/>
                <w:spacing w:val="-27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7"/>
                <w:position w:val="1"/>
                <w:sz w:val="21"/>
                <w:szCs w:val="21"/>
              </w:rPr>
              <w:t>级</w:t>
            </w:r>
          </w:p>
        </w:tc>
        <w:tc>
          <w:tcPr>
            <w:tcW w:w="3062" w:type="dxa"/>
            <w:noWrap w:val="0"/>
            <w:vAlign w:val="top"/>
          </w:tcPr>
          <w:p ns2:paraId="549C19B1">
            <w:pPr>
              <w:pStyle w:val="14"/>
              <w:spacing w:before="86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>2</w:t>
            </w:r>
            <w:r>
              <w:rPr>
                <w:spacing w:val="4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9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4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7A1FAFAD">
            <w:pPr>
              <w:spacing w:before="97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较低风险</w:t>
            </w:r>
          </w:p>
        </w:tc>
      </w:tr>
      <w:tr ns2:paraId="25B5FC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6A28CEFF">
            <w:pPr>
              <w:spacing w:before="98" w:line="183" w:lineRule="auto"/>
              <w:ind w:left="138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Ⅲ级</w:t>
            </w:r>
          </w:p>
        </w:tc>
        <w:tc>
          <w:tcPr>
            <w:tcW w:w="3062" w:type="dxa"/>
            <w:noWrap w:val="0"/>
            <w:vAlign w:val="top"/>
          </w:tcPr>
          <w:p ns2:paraId="1A755A6F">
            <w:pPr>
              <w:pStyle w:val="14"/>
              <w:spacing w:before="87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[</w:t>
            </w:r>
            <w:r>
              <w:rPr>
                <w:spacing w:val="-2"/>
                <w:sz w:val="21"/>
                <w:szCs w:val="21"/>
              </w:rPr>
              <w:t xml:space="preserve">4 </w:t>
            </w:r>
            <w:r>
              <w:rPr>
                <w:rFonts w:ascii="微软雅黑" w:hAnsi="微软雅黑" w:eastAsia="微软雅黑" w:cs="微软雅黑"/>
                <w:spacing w:val="-2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2"/>
                <w:sz w:val="21"/>
                <w:szCs w:val="21"/>
              </w:rPr>
              <w:t>6</w:t>
            </w: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4A960D35">
            <w:pPr>
              <w:spacing w:before="99" w:line="183" w:lineRule="auto"/>
              <w:ind w:left="121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1"/>
                <w:sz w:val="21"/>
                <w:szCs w:val="21"/>
              </w:rPr>
              <w:t>中等风险</w:t>
            </w:r>
          </w:p>
        </w:tc>
      </w:tr>
      <w:tr ns2:paraId="49C8BC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</w:tcBorders>
            <w:noWrap w:val="0"/>
            <w:vAlign w:val="top"/>
          </w:tcPr>
          <w:p ns2:paraId="79FE2815">
            <w:pPr>
              <w:spacing w:before="100" w:line="183" w:lineRule="auto"/>
              <w:ind w:left="137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4"/>
                <w:sz w:val="21"/>
                <w:szCs w:val="21"/>
              </w:rPr>
              <w:t>Ⅳ级</w:t>
            </w:r>
          </w:p>
        </w:tc>
        <w:tc>
          <w:tcPr>
            <w:tcW w:w="3062" w:type="dxa"/>
            <w:noWrap w:val="0"/>
            <w:vAlign w:val="top"/>
          </w:tcPr>
          <w:p ns2:paraId="28D79409">
            <w:pPr>
              <w:pStyle w:val="14"/>
              <w:spacing w:before="89" w:line="178" w:lineRule="auto"/>
              <w:ind w:left="132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[</w:t>
            </w:r>
            <w:r>
              <w:rPr>
                <w:spacing w:val="-3"/>
                <w:sz w:val="21"/>
                <w:szCs w:val="21"/>
              </w:rPr>
              <w:t>6</w:t>
            </w:r>
            <w:r>
              <w:rPr>
                <w:spacing w:val="7"/>
                <w:sz w:val="21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position w:val="1"/>
                <w:sz w:val="21"/>
                <w:szCs w:val="21"/>
              </w:rPr>
              <w:t>,</w:t>
            </w:r>
            <w:r>
              <w:rPr>
                <w:rFonts w:ascii="微软雅黑" w:hAnsi="微软雅黑" w:eastAsia="微软雅黑" w:cs="微软雅黑"/>
                <w:spacing w:val="-7"/>
                <w:position w:val="1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8</w:t>
            </w: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)</w:t>
            </w:r>
          </w:p>
        </w:tc>
        <w:tc>
          <w:tcPr>
            <w:tcW w:w="3106" w:type="dxa"/>
            <w:tcBorders>
              <w:right w:val="single" w:color="000000" w:sz="6" w:space="0"/>
            </w:tcBorders>
            <w:noWrap w:val="0"/>
            <w:vAlign w:val="top"/>
          </w:tcPr>
          <w:p ns2:paraId="0A49D81B">
            <w:pPr>
              <w:spacing w:before="100" w:line="184" w:lineRule="auto"/>
              <w:ind w:left="120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5"/>
                <w:sz w:val="21"/>
                <w:szCs w:val="21"/>
              </w:rPr>
              <w:t>较高风险</w:t>
            </w:r>
          </w:p>
        </w:tc>
      </w:tr>
      <w:tr ns2:paraId="6B2BB0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3071" w:type="dxa"/>
            <w:tcBorders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5D3F00DB">
            <w:pPr>
              <w:spacing w:before="101" w:line="183" w:lineRule="auto"/>
              <w:ind w:left="137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26"/>
                <w:sz w:val="21"/>
                <w:szCs w:val="21"/>
              </w:rPr>
              <w:t>V级</w:t>
            </w:r>
          </w:p>
        </w:tc>
        <w:tc>
          <w:tcPr>
            <w:tcW w:w="3062" w:type="dxa"/>
            <w:tcBorders>
              <w:bottom w:val="single" w:color="000000" w:sz="6" w:space="0"/>
            </w:tcBorders>
            <w:noWrap w:val="0"/>
            <w:vAlign w:val="top"/>
          </w:tcPr>
          <w:p ns2:paraId="2A5A0C96">
            <w:pPr>
              <w:pStyle w:val="14"/>
              <w:spacing w:before="90" w:line="178" w:lineRule="auto"/>
              <w:ind w:left="127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[</w:t>
            </w:r>
            <w:r>
              <w:rPr>
                <w:spacing w:val="-1"/>
                <w:sz w:val="21"/>
                <w:szCs w:val="21"/>
              </w:rPr>
              <w:t xml:space="preserve">8 </w:t>
            </w:r>
            <w:r>
              <w:rPr>
                <w:rFonts w:ascii="微软雅黑" w:hAnsi="微软雅黑" w:eastAsia="微软雅黑" w:cs="微软雅黑"/>
                <w:spacing w:val="-1"/>
                <w:position w:val="1"/>
                <w:sz w:val="21"/>
                <w:szCs w:val="21"/>
              </w:rPr>
              <w:t xml:space="preserve">, </w:t>
            </w:r>
            <w:r>
              <w:rPr>
                <w:spacing w:val="-1"/>
                <w:sz w:val="21"/>
                <w:szCs w:val="21"/>
              </w:rPr>
              <w:t>10</w:t>
            </w:r>
            <w:r>
              <w:rPr>
                <w:rFonts w:ascii="微软雅黑" w:hAnsi="微软雅黑" w:eastAsia="微软雅黑" w:cs="微软雅黑"/>
                <w:spacing w:val="-1"/>
                <w:sz w:val="21"/>
                <w:szCs w:val="21"/>
              </w:rPr>
              <w:t>]</w:t>
            </w:r>
          </w:p>
        </w:tc>
        <w:tc>
          <w:tcPr>
            <w:tcW w:w="3106" w:type="dxa"/>
            <w:tcBorders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ns2:paraId="32918D3F">
            <w:pPr>
              <w:spacing w:before="101" w:line="184" w:lineRule="auto"/>
              <w:ind w:left="129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13"/>
                <w:sz w:val="21"/>
                <w:szCs w:val="21"/>
              </w:rPr>
              <w:t>高风险</w:t>
            </w:r>
          </w:p>
        </w:tc>
      </w:tr>
      <w:tr ns2:paraId="42D325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9239" w:type="dxa"/>
            <w:gridSpan w:val="3"/>
            <w:tcBorders>
              <w:top w:val="single" w:color="000000" w:sz="6" w:space="0"/>
              <w:left w:val="single" w:color="000000" w:sz="6" w:space="0"/>
              <w:bottom w:val="nil"/>
            </w:tcBorders>
            <w:noWrap w:val="0"/>
            <w:vAlign w:val="top"/>
          </w:tcPr>
          <w:p ns2:paraId="7BB3EB8F">
            <w:pPr>
              <w:pStyle w:val="14"/>
              <w:spacing w:before="146" w:line="161" w:lineRule="auto"/>
              <w:ind w:left="47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/>
                <w:i/>
                <w:iCs/>
                <w:spacing w:val="20"/>
                <w:position w:val="-2"/>
                <w:sz w:val="21"/>
                <w:szCs w:val="21"/>
                <w:lang w:val="en-US" w:eastAsia="zh-CN"/>
              </w:rPr>
              <w:t>R</w:t>
            </w:r>
            <w:r>
              <w:rPr>
                <w:rFonts w:ascii="微软雅黑" w:hAnsi="微软雅黑" w:eastAsia="微软雅黑" w:cs="微软雅黑"/>
                <w:spacing w:val="20"/>
                <w:sz w:val="21"/>
                <w:szCs w:val="21"/>
              </w:rPr>
              <w:t>值与对应风险(用色标表示)的关系如下:</w:t>
            </w:r>
          </w:p>
        </w:tc>
      </w:tr>
      <w:tr ns2:paraId="1E3451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923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</w:tcBorders>
            <w:noWrap w:val="0"/>
            <w:vAlign w:val="top"/>
          </w:tcPr>
          <w:p ns2:paraId="17FE3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综合评估（R）及对应风险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：R = 9，高风险</w:t>
            </w:r>
          </w:p>
          <w:p ns2:paraId="79E67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drawing>
                <ns4:inline distT="0" distB="0" distL="114300" distR="114300">
                  <ns4:extent cx="2562225" cy="861060"/>
                  <ns4:effectExtent l="0" t="0" r="3175" b="2540"/>
                  <ns4:docPr id="1" name="图片 20"/>
                  <ns4:cNvGraphicFramePr>
                    <ns5:graphicFrameLocks noChangeAspect="1"/>
                  </ns4:cNvGraphicFramePr>
                  <ns5:graphic>
                    <ns5:graphicData uri="http://schemas.openxmlformats.org/drawingml/2006/picture">
                      <ns6:pic>
                        <ns6:nvPicPr>
                          <ns6:cNvPr id="1" name="图片 20"/>
                          <ns6:cNvPicPr>
                            <ns5:picLocks noChangeAspect="1"/>
                          </ns6:cNvPicPr>
                        </ns6:nvPicPr>
                        <ns6:blipFill>
                          <ns5:blip ns3:embed="rId10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562225" cy="861060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</ns5:graphicData>
                  </ns5:graphic>
                </ns4:inline>
              </w:drawing>
            </w:r>
          </w:p>
        </w:tc>
      </w:tr>
    </w:tbl>
    <w:p ns2:paraId="55990535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69D9C3C7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7E4CDAE8">
      <w:pPr>
        <w:bidi w:val="0"/>
        <w:spacing w:line="360" w:lineRule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C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  <w:sectPr>
          <w:footerReference ns3:id="rId5" w:type="default"/>
          <w:pgSz w:w="11905" w:h="16836"/>
          <w:pgMar w:top="1655" w:right="1327" w:bottom="1400" w:left="1327" w:header="1356" w:footer="1225" w:gutter="0"/>
          <w:paperSrc/>
          <w:pgNumType w:fmt="decimal" w:start="1"/>
          <w:cols w:space="720" w:num="1"/>
          <w:rtlGutter w:val="0"/>
          <w:docGrid w:linePitch="0" w:charSpace="0"/>
        </w:sectPr>
      </w:pPr>
    </w:p>
    <w:p ns2:paraId="0033718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附件3: 气象灾害防御（防雷）重点单位隐患排查表</w:t>
      </w:r>
    </w:p>
    <w:p ns2:paraId="0EC144D9"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气象灾害防御（防雷）重点单位隐患排查表</w:t>
      </w:r>
    </w:p>
    <w:tbl>
      <w:tblPr>
        <w:tblStyle w:val="10"/>
        <w:tblW w:w="103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524"/>
        <w:gridCol w:w="3152"/>
        <w:gridCol w:w="1212"/>
        <w:gridCol w:w="1325"/>
        <w:gridCol w:w="2801"/>
      </w:tblGrid>
      <w:tr ns2:paraId="04F5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0" w:hRule="atLeast"/>
          <w:jc w:val="center"/>
        </w:trPr>
        <w:tc>
          <w:tcPr>
            <w:tcW w:w="1301" w:type="dxa"/>
            <w:noWrap w:val="0"/>
            <w:vAlign w:val="center"/>
          </w:tcPr>
          <w:p ns2:paraId="4A2349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分类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0E65F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项目内容</w:t>
            </w:r>
          </w:p>
        </w:tc>
        <w:tc>
          <w:tcPr>
            <w:tcW w:w="1212" w:type="dxa"/>
            <w:noWrap w:val="0"/>
            <w:vAlign w:val="center"/>
          </w:tcPr>
          <w:p ns2:paraId="6B13BC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标准依据</w:t>
            </w:r>
          </w:p>
        </w:tc>
        <w:tc>
          <w:tcPr>
            <w:tcW w:w="1325" w:type="dxa"/>
            <w:noWrap w:val="0"/>
            <w:vAlign w:val="center"/>
          </w:tcPr>
          <w:p ns2:paraId="5D734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判定结果</w:t>
            </w:r>
          </w:p>
        </w:tc>
        <w:tc>
          <w:tcPr>
            <w:tcW w:w="2801" w:type="dxa"/>
            <w:noWrap w:val="0"/>
            <w:vAlign w:val="center"/>
          </w:tcPr>
          <w:p ns2:paraId="290A6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隐患具体描述</w:t>
            </w:r>
          </w:p>
        </w:tc>
      </w:tr>
      <w:tr ns2:paraId="5A0E8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41E7F3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气象灾害防御（防雷）安全管理情况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3FE7E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1、是否建立气象（雷电）灾害预警信息接收和响应机制，并正常运行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65ADE7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《防雷安全重点单位雷电灾害防御工作指南</w:t>
            </w:r>
          </w:p>
          <w:p ns2:paraId="0453E6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》QX/T 694—2023:</w:t>
            </w:r>
          </w:p>
          <w:p ns2:paraId="434934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5、防雷管理 5.1、5.2、5.3、5.4、5.5。</w:t>
            </w:r>
          </w:p>
          <w:p ns2:paraId="52F9DD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6.5、雷电灾害风险隐患排查分级治理 6.5.1、6.5.2、6.5.3、</w:t>
            </w:r>
          </w:p>
        </w:tc>
        <w:tc>
          <w:tcPr>
            <w:tcW w:w="1325" w:type="dxa"/>
            <w:noWrap w:val="0"/>
            <w:vAlign w:val="center"/>
          </w:tcPr>
          <w:p ns2:paraId="0B2859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DB9AD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628C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650854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55A2B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2、是否建立气象（雷电）灾害安全管理工作机构，配备有专（兼）管理人员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41A56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F9562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06B76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5382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3BBCD3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E883A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3、是否建立健全气象灾害（防雷）安全工作责任制和安全管理制度，并定期召开防御能力分析会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618440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43A46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926CF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6F42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159AA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146969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4、是否制定有气象（雷电）灾害应急预案，并定期组织演练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3DF2CB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938A3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0A9F76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C9A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0140C6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24DC9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5、是否建立有必备的气象（雷电）灾害应急物资储备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3C3B9D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0A83D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C06A5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999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2B4FD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84F99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6、是否接入“市气象局气象安全管理监察平台”，并按要求开展每季度自查自报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2977B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19F96E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B8FB8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1F1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6476A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2AFA20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7、接收到预警信息后，是否能有效组织应急联动与灾害处置，并及时报送灾情情况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516267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3AD3A22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1EA31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7998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5D365C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A1B4E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制定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有气象灾害防御（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安全教育培训计划,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并有针对性地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组织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气象灾害（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安全知识培训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135C2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2A40ED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0F692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C93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4E4CD6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51225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9、是否将气象灾害（防雷）安全保障投入，列入安全生产经费保障计划中，并落实到位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01F36E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5AC1DB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A3D45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474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301" w:type="dxa"/>
            <w:vMerge w:val="continue"/>
            <w:noWrap w:val="0"/>
            <w:vAlign w:val="top"/>
          </w:tcPr>
          <w:p ns2:paraId="2116A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0FD161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10、是否建立有气象灾害防御（防雷）安全工作档案，并保存完整</w:t>
            </w:r>
          </w:p>
        </w:tc>
        <w:tc>
          <w:tcPr>
            <w:tcW w:w="1212" w:type="dxa"/>
            <w:vMerge w:val="continue"/>
            <w:noWrap w:val="0"/>
            <w:vAlign w:val="top"/>
          </w:tcPr>
          <w:p ns2:paraId="27BD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7A0074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2ABE8A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7D043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5C9595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雷电防护装置设施现状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1F4178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11、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独立接闪杆、架空接闪线或网的支柱及其接地装置至被保护建(构)筑物及与其有联系的管道、电缆等金属物之间的间隔距离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满足 GB50057 中的间隔距离要求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637BDCFC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《建筑物防雷设计规范》</w:t>
            </w:r>
          </w:p>
          <w:p ns2:paraId="60A8F029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GB50057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-2022：</w:t>
            </w:r>
          </w:p>
          <w:p ns2:paraId="06803BA2">
            <w:pPr>
              <w:jc w:val="both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4.2，4.3，4.4</w:t>
            </w:r>
          </w:p>
        </w:tc>
        <w:tc>
          <w:tcPr>
            <w:tcW w:w="1325" w:type="dxa"/>
            <w:noWrap w:val="0"/>
            <w:vAlign w:val="center"/>
          </w:tcPr>
          <w:p ns2:paraId="1F68E21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023B3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6341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0E32CF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0CAE32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12、是否存在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建(构)筑物周边有树木且不在接闪器保护范围之内时, 树木与建筑物之间的净距小于 5 m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77283A60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2E0A437D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4B3FD0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5409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27160D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23B67A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13、一、二级配电箱及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电气、仪表及信息系统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是否按相关标准规范要求配置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电涌保护器（SPD）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1CBEE416">
            <w:p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458D223">
            <w:pPr>
              <w:jc w:val="center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01844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14C93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8E6E9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06E27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14、是否按要求，定期对雷电防护装置进行检测，对存在的隐患及时整改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58DE78DF">
            <w:pPr>
              <w:jc w:val="both"/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《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建筑物雷电防护装置检测技术规范</w:t>
            </w:r>
          </w:p>
          <w:p ns2:paraId="69DAD8D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》GB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/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T</w:t>
            </w: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21431-2023</w:t>
            </w:r>
          </w:p>
        </w:tc>
        <w:tc>
          <w:tcPr>
            <w:tcW w:w="1325" w:type="dxa"/>
            <w:noWrap w:val="0"/>
            <w:vAlign w:val="center"/>
          </w:tcPr>
          <w:p ns2:paraId="5EC9B3F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14C1A2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C9F7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76B9F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102CF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15、是否定期对雷电防护装备开展巡查、排查，并落实整改措施形成闭环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09F423D1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2909C2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6672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A5F9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3E2885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新、改、扩建项目雷电防护装置审查和竣工验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收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7948D8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16、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新、改、扩(建)项目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是否有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防雷设计审查意见或防雷施工图审查意见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0D05A82A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1065229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703998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D4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37F9F9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41933A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17、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新投入使用的建(构)筑物, 其雷电防护装置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取得竣工验收合格报告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44446782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4773AA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3ECF2F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42E76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noWrap w:val="0"/>
            <w:vAlign w:val="center"/>
          </w:tcPr>
          <w:p ns2:paraId="3A9DFD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防雷安全标志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3D44E6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18、是否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对人员密集场所且具有雷击风险的户外区域、具有爆炸和火灾危险环境的露天生产设备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设置护栏、警告牌等防雷安全标志</w:t>
            </w:r>
          </w:p>
        </w:tc>
        <w:tc>
          <w:tcPr>
            <w:tcW w:w="1212" w:type="dxa"/>
            <w:noWrap w:val="0"/>
            <w:vAlign w:val="center"/>
          </w:tcPr>
          <w:p ns2:paraId="5F7F9948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60C65EB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55C6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31F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restart"/>
            <w:noWrap w:val="0"/>
            <w:vAlign w:val="center"/>
          </w:tcPr>
          <w:p ns2:paraId="3FE7C0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</w:rPr>
              <w:t>雷电灾害历史</w:t>
            </w:r>
          </w:p>
        </w:tc>
        <w:tc>
          <w:tcPr>
            <w:tcW w:w="3676" w:type="dxa"/>
            <w:gridSpan w:val="2"/>
            <w:noWrap w:val="0"/>
            <w:vAlign w:val="center"/>
          </w:tcPr>
          <w:p ns2:paraId="415A55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19、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来，是否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遭受过雷电灾害, 经气象主管机构调查和鉴定后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未采取相关改善措施</w:t>
            </w:r>
          </w:p>
        </w:tc>
        <w:tc>
          <w:tcPr>
            <w:tcW w:w="1212" w:type="dxa"/>
            <w:vMerge w:val="restart"/>
            <w:noWrap w:val="0"/>
            <w:vAlign w:val="center"/>
          </w:tcPr>
          <w:p ns2:paraId="16FD3DAE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6EF97A4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63917C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04FB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301" w:type="dxa"/>
            <w:vMerge w:val="continue"/>
            <w:noWrap w:val="0"/>
            <w:vAlign w:val="center"/>
          </w:tcPr>
          <w:p ns2:paraId="45D8C7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76" w:type="dxa"/>
            <w:gridSpan w:val="2"/>
            <w:noWrap w:val="0"/>
            <w:vAlign w:val="center"/>
          </w:tcPr>
          <w:p ns2:paraId="3BE02F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20、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近 3 年来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是否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 xml:space="preserve">遭受过雷电灾害,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确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</w:rPr>
              <w:t>未向气象主管机构上报灾害情况</w:t>
            </w:r>
          </w:p>
        </w:tc>
        <w:tc>
          <w:tcPr>
            <w:tcW w:w="1212" w:type="dxa"/>
            <w:vMerge w:val="continue"/>
            <w:noWrap w:val="0"/>
            <w:vAlign w:val="center"/>
          </w:tcPr>
          <w:p ns2:paraId="70C55479">
            <w:pPr>
              <w:jc w:val="center"/>
              <w:rPr>
                <w:rFonts w:hint="default"/>
                <w:lang w:val="en-US" w:eastAsia="zh-CN"/>
              </w:rPr>
            </w:pPr>
          </w:p>
        </w:tc>
        <w:tc>
          <w:tcPr>
            <w:tcW w:w="1325" w:type="dxa"/>
            <w:noWrap w:val="0"/>
            <w:vAlign w:val="center"/>
          </w:tcPr>
          <w:p ns2:paraId="549C8E9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 xml:space="preserve">是 </w:t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b w:val="0"/>
                <w:color w:val="000000"/>
                <w:sz w:val="24"/>
                <w:szCs w:val="32"/>
                <w:lang w:val="en-US" w:eastAsia="zh-CN"/>
              </w:rPr>
              <w:t>否</w:t>
            </w:r>
          </w:p>
        </w:tc>
        <w:tc>
          <w:tcPr>
            <w:tcW w:w="2801" w:type="dxa"/>
            <w:noWrap w:val="0"/>
            <w:vAlign w:val="center"/>
          </w:tcPr>
          <w:p ns2:paraId="585A20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ns2:paraId="292A7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2" w:hRule="atLeast"/>
          <w:jc w:val="center"/>
        </w:trPr>
        <w:tc>
          <w:tcPr>
            <w:tcW w:w="10315" w:type="dxa"/>
            <w:gridSpan w:val="6"/>
            <w:noWrap w:val="0"/>
            <w:vAlign w:val="top"/>
          </w:tcPr>
          <w:p ns2:paraId="16548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50" w:line="36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  <w:t>其它：</w:t>
            </w:r>
          </w:p>
        </w:tc>
      </w:tr>
      <w:tr ns2:paraId="2893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ns2:paraId="6717CB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核查人员</w:t>
            </w:r>
          </w:p>
        </w:tc>
        <w:tc>
          <w:tcPr>
            <w:tcW w:w="8490" w:type="dxa"/>
            <w:gridSpan w:val="4"/>
            <w:noWrap w:val="0"/>
            <w:vAlign w:val="top"/>
          </w:tcPr>
          <w:p ns2:paraId="357FC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</w:pPr>
          </w:p>
        </w:tc>
      </w:tr>
      <w:tr ns2:paraId="786C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825" w:type="dxa"/>
            <w:gridSpan w:val="2"/>
            <w:noWrap w:val="0"/>
            <w:vAlign w:val="center"/>
          </w:tcPr>
          <w:p ns2:paraId="01E71D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被检单位</w:t>
            </w:r>
          </w:p>
          <w:p ns2:paraId="6A2034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（签字</w:t>
            </w:r>
            <w:r>
              <w:rPr>
                <w:rFonts w:hint="default" w:ascii="仿宋_GB2312" w:hAnsi="仿宋_GB2312" w:eastAsia="仿宋_GB2312" w:cs="仿宋_GB2312"/>
                <w:sz w:val="24"/>
                <w:lang w:val="en" w:eastAsia="zh-CN"/>
              </w:rPr>
              <w:t>/</w:t>
            </w:r>
            <w:r>
              <w:rPr>
                <w:rFonts w:hint="eastAsia" w:ascii="仿宋_GB2312" w:hAnsi="仿宋_GB2312" w:eastAsia="仿宋_GB2312" w:cs="仿宋_GB2312"/>
                <w:sz w:val="24"/>
                <w:lang w:val="en" w:eastAsia="zh-CN"/>
              </w:rPr>
              <w:t>盖章</w:t>
            </w:r>
            <w:r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  <w:t>）</w:t>
            </w:r>
          </w:p>
        </w:tc>
        <w:tc>
          <w:tcPr>
            <w:tcW w:w="8490" w:type="dxa"/>
            <w:gridSpan w:val="4"/>
            <w:noWrap w:val="0"/>
            <w:vAlign w:val="top"/>
          </w:tcPr>
          <w:p ns2:paraId="097355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line="360" w:lineRule="auto"/>
              <w:jc w:val="both"/>
              <w:textAlignment w:val="auto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</w:p>
        </w:tc>
      </w:tr>
    </w:tbl>
    <w:p ns2:paraId="62E30E41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eastAsia" w:ascii="微软雅黑" w:hAnsi="微软雅黑" w:eastAsia="微软雅黑" w:cs="微软雅黑"/>
          <w:b/>
          <w:sz w:val="40"/>
          <w:szCs w:val="22"/>
          <w:lang w:val="en-US" w:eastAsia="zh-CN"/>
        </w:rPr>
        <w:sectPr>
          <w:pgSz w:w="11905" w:h="16836"/>
          <w:pgMar w:top="1655" w:right="1327" w:bottom="1400" w:left="1327" w:header="1356" w:footer="1225" w:gutter="0"/>
          <w:paperSrc/>
          <w:pgNumType w:fmt="decimal"/>
          <w:cols w:space="720" w:num="1"/>
          <w:rtlGutter w:val="0"/>
          <w:docGrid w:linePitch="0" w:charSpace="0"/>
        </w:sectPr>
      </w:pPr>
    </w:p>
    <w:p ns2:paraId="59D4F09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附件4：现场检查与核对照片</w:t>
      </w:r>
    </w:p>
    <w:p ns2:paraId="6600F8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ns2:paraId="33594A4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1、防雷检测报告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ns2:paraId="09E8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2" w:hRule="atLeast"/>
        </w:trPr>
        <w:tc>
          <w:tcPr>
            <w:tcW w:w="8520" w:type="dxa"/>
            <w:noWrap w:val="0"/>
            <w:vAlign w:val="top"/>
          </w:tcPr>
          <w:p ns2:paraId="0A920D73">
            <w:pPr>
              <w:jc w:val="center"/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ns2:paraId="5E81D2E9">
      <w:pPr>
        <w:rPr>
          <w:color w:val="auto"/>
        </w:rPr>
      </w:pPr>
    </w:p>
    <w:p ns2:paraId="396832C3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2、单位营业执照</w:t>
      </w:r>
    </w:p>
    <w:tbl>
      <w:tblPr>
        <w:tblStyle w:val="10"/>
        <w:tblW w:w="8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1"/>
      </w:tblGrid>
      <w:tr ns2:paraId="6D88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2" w:hRule="atLeast"/>
        </w:trPr>
        <w:tc>
          <w:tcPr>
            <w:tcW w:w="8351" w:type="dxa"/>
            <w:noWrap w:val="0"/>
            <w:vAlign w:val="top"/>
          </w:tcPr>
          <w:p ns2:paraId="23423262">
            <w:pPr>
              <w:rPr>
                <w:rFonts w:hint="eastAsia" w:eastAsia="宋体"/>
                <w:color w:val="auto"/>
                <w:lang w:eastAsia="zh-CN"/>
              </w:rPr>
            </w:pPr>
          </w:p>
        </w:tc>
      </w:tr>
    </w:tbl>
    <w:p ns2:paraId="6ED6C75C">
      <w:pPr>
        <w:rPr>
          <w:rFonts w:ascii="宋体" w:hAnsi="宋体" w:cs="宋体"/>
          <w:color w:val="auto"/>
          <w:sz w:val="36"/>
          <w:szCs w:val="36"/>
        </w:rPr>
      </w:pPr>
    </w:p>
    <w:p ns2:paraId="7B08CC6F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3、现场照片</w:t>
      </w:r>
    </w:p>
    <w:tbl>
      <w:tblPr>
        <w:tblStyle w:val="10"/>
        <w:tblW w:w="86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9"/>
        <w:gridCol w:w="4309"/>
      </w:tblGrid>
      <w:tr ns2:paraId="284F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218CEEDF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1423A3EC">
            <w:pPr>
              <w:jc w:val="center"/>
              <w:rPr>
                <w:rFonts w:hint="eastAsia" w:ascii="宋体" w:hAnsi="宋体" w:eastAsia="宋体" w:cs="宋体"/>
                <w:color w:val="auto"/>
                <w:sz w:val="36"/>
                <w:szCs w:val="36"/>
                <w:lang w:eastAsia="zh-CN"/>
              </w:rPr>
            </w:pPr>
          </w:p>
        </w:tc>
      </w:tr>
      <w:tr ns2:paraId="08D50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09B5472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公司</w:t>
            </w:r>
            <w:r>
              <w:rPr>
                <w:rFonts w:hint="eastAsia" w:ascii="宋体" w:hAnsi="宋体" w:cs="宋体"/>
                <w:color w:val="auto"/>
                <w:sz w:val="32"/>
                <w:szCs w:val="32"/>
                <w:lang w:eastAsia="zh-CN"/>
              </w:rPr>
              <w:t>门面照</w:t>
            </w:r>
          </w:p>
        </w:tc>
        <w:tc>
          <w:tcPr>
            <w:tcW w:w="4309" w:type="dxa"/>
            <w:noWrap w:val="0"/>
            <w:vAlign w:val="center"/>
          </w:tcPr>
          <w:p ns2:paraId="5AB880BB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</w:t>
            </w:r>
          </w:p>
        </w:tc>
      </w:tr>
      <w:tr ns2:paraId="2485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1EABCDF2">
            <w:pPr>
              <w:jc w:val="center"/>
              <w:rPr>
                <w:rFonts w:hint="eastAsia" w:ascii="宋体" w:hAnsi="宋体" w:eastAsia="宋体" w:cs="宋体"/>
                <w:color w:val="auto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56B06466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</w:p>
        </w:tc>
      </w:tr>
      <w:tr ns2:paraId="47AB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1314A740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  <w:tc>
          <w:tcPr>
            <w:tcW w:w="4309" w:type="dxa"/>
            <w:noWrap w:val="0"/>
            <w:vAlign w:val="center"/>
          </w:tcPr>
          <w:p ns2:paraId="6B5686A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企业内部防雷措施</w:t>
            </w:r>
          </w:p>
        </w:tc>
      </w:tr>
      <w:tr ns2:paraId="06A2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651CA282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2C12780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</w:p>
        </w:tc>
      </w:tr>
      <w:tr ns2:paraId="3CC6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309" w:type="dxa"/>
            <w:noWrap w:val="0"/>
            <w:vAlign w:val="center"/>
          </w:tcPr>
          <w:p ns2:paraId="23890D34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应急物资</w:t>
            </w:r>
          </w:p>
        </w:tc>
        <w:tc>
          <w:tcPr>
            <w:tcW w:w="4309" w:type="dxa"/>
            <w:noWrap w:val="0"/>
            <w:vAlign w:val="center"/>
          </w:tcPr>
          <w:p ns2:paraId="6692DF17">
            <w:pPr>
              <w:jc w:val="center"/>
              <w:rPr>
                <w:rFonts w:hint="eastAsia"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主要风险点部位</w:t>
            </w:r>
          </w:p>
        </w:tc>
      </w:tr>
      <w:tr ns2:paraId="1C8C3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5" w:hRule="atLeast"/>
          <w:jc w:val="center"/>
        </w:trPr>
        <w:tc>
          <w:tcPr>
            <w:tcW w:w="4309" w:type="dxa"/>
            <w:noWrap w:val="0"/>
            <w:vAlign w:val="center"/>
          </w:tcPr>
          <w:p ns2:paraId="0E8C5B49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  <w:tc>
          <w:tcPr>
            <w:tcW w:w="4309" w:type="dxa"/>
            <w:noWrap w:val="0"/>
            <w:vAlign w:val="center"/>
          </w:tcPr>
          <w:p ns2:paraId="68F18F45">
            <w:pPr>
              <w:jc w:val="center"/>
              <w:rPr>
                <w:rFonts w:hint="eastAsia" w:ascii="宋体" w:hAnsi="宋体" w:eastAsia="宋体" w:cs="宋体"/>
                <w:color w:val="0000FF"/>
                <w:sz w:val="32"/>
                <w:szCs w:val="32"/>
                <w:lang w:eastAsia="zh-CN"/>
              </w:rPr>
            </w:pPr>
          </w:p>
        </w:tc>
      </w:tr>
      <w:tr ns2:paraId="1F06F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4309" w:type="dxa"/>
            <w:noWrap w:val="0"/>
            <w:vAlign w:val="center"/>
          </w:tcPr>
          <w:p ns2:paraId="246945F5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企业自查自报</w:t>
            </w:r>
          </w:p>
        </w:tc>
        <w:tc>
          <w:tcPr>
            <w:tcW w:w="4309" w:type="dxa"/>
            <w:noWrap w:val="0"/>
            <w:vAlign w:val="center"/>
          </w:tcPr>
          <w:p ns2:paraId="3147C807">
            <w:pPr>
              <w:jc w:val="center"/>
              <w:rPr>
                <w:rFonts w:ascii="宋体" w:hAnsi="宋体" w:cs="宋体"/>
                <w:color w:val="auto"/>
                <w:sz w:val="32"/>
                <w:szCs w:val="32"/>
              </w:rPr>
            </w:pPr>
            <w:r>
              <w:rPr>
                <w:rFonts w:hint="eastAsia" w:ascii="宋体" w:hAnsi="宋体" w:cs="宋体"/>
                <w:color w:val="auto"/>
                <w:sz w:val="32"/>
                <w:szCs w:val="32"/>
              </w:rPr>
              <w:t>雷电监测设备</w:t>
            </w:r>
          </w:p>
        </w:tc>
      </w:tr>
    </w:tbl>
    <w:p ns2:paraId="7703C0AC">
      <w:pPr>
        <w:jc w:val="center"/>
        <w:rPr>
          <w:rFonts w:hint="eastAsia" w:ascii="宋体" w:hAnsi="宋体" w:eastAsia="宋体" w:cs="宋体"/>
          <w:color w:val="auto"/>
          <w:sz w:val="36"/>
          <w:szCs w:val="36"/>
          <w:lang w:eastAsia="zh-CN"/>
        </w:rPr>
        <w:sectPr>
          <w:footerReference ns3:id="rId6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ns2:paraId="588537C9">
      <w:pPr>
        <w:bidi w:val="0"/>
        <w:spacing w:line="360" w:lineRule="auto"/>
        <w:jc w:val="center"/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4、气象灾害防御主体责任承诺书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ns2:paraId="2588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5" w:hRule="atLeast"/>
          <w:jc w:val="center"/>
        </w:trPr>
        <w:tc>
          <w:tcPr>
            <w:tcW w:w="8522" w:type="dxa"/>
            <w:noWrap w:val="0"/>
            <w:vAlign w:val="top"/>
          </w:tcPr>
          <w:p ns2:paraId="791754E9">
            <w:pPr>
              <w:rPr>
                <w:rFonts w:hint="eastAsia" w:ascii="方正小标宋简体" w:hAnsi="宋体" w:eastAsia="方正小标宋简体" w:cs="宋体"/>
                <w:color w:val="auto"/>
                <w:sz w:val="52"/>
                <w:szCs w:val="52"/>
                <w:lang w:eastAsia="zh-CN"/>
              </w:rPr>
            </w:pPr>
          </w:p>
        </w:tc>
      </w:tr>
    </w:tbl>
    <w:p ns2:paraId="1D28540A">
      <w:pPr>
        <w:rPr>
          <w:color w:val="auto"/>
        </w:rPr>
      </w:pPr>
    </w:p>
    <w:p ns2:paraId="6F0F13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  <w:sectPr>
          <w:pgSz w:w="11905" w:h="16836"/>
          <w:pgMar w:top="1654" w:right="1324" w:bottom="1401" w:left="1324" w:header="1356" w:footer="1224" w:gutter="0"/>
          <w:pgNumType w:fmt="decimal"/>
          <w:cols w:space="720" w:num="1"/>
        </w:sectPr>
      </w:pPr>
    </w:p>
    <w:p ns2:paraId="24DAB19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附件5：气象灾害防御（防雷）安全重点单位“重点部位”风险分类分级管控清单</w:t>
      </w:r>
    </w:p>
    <w:p ns2:paraId="3A58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1" w:beforeLines="50" w:line="360" w:lineRule="auto"/>
        <w:jc w:val="center"/>
        <w:textAlignment w:val="auto"/>
        <w:rPr>
          <w:rFonts w:hint="eastAsia" w:ascii="黑体" w:hAnsi="黑体" w:eastAsia="黑体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/>
          <w:sz w:val="40"/>
          <w:szCs w:val="48"/>
          <w:lang w:val="en-US" w:eastAsia="zh-CN"/>
        </w:rPr>
        <w:t>气象灾害防御（防雷）安全重点单位“重点部位”风险分类分级管控清单</w:t>
      </w:r>
    </w:p>
    <w:p ns2:paraId="79318161"/>
    <w:tbl>
      <w:tblPr>
        <w:tblStyle w:val="9"/>
        <w:tblW w:w="147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426"/>
        <w:gridCol w:w="2256"/>
        <w:gridCol w:w="2016"/>
        <w:gridCol w:w="1390"/>
        <w:gridCol w:w="1275"/>
        <w:gridCol w:w="5670"/>
      </w:tblGrid>
      <w:tr ns2:paraId="6C105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04" w:type="dxa"/>
            <w:noWrap w:val="0"/>
            <w:vAlign w:val="center"/>
          </w:tcPr>
          <w:p ns2:paraId="20955BDD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序号</w:t>
            </w:r>
          </w:p>
        </w:tc>
        <w:tc>
          <w:tcPr>
            <w:tcW w:w="1426" w:type="dxa"/>
            <w:noWrap w:val="0"/>
            <w:vAlign w:val="center"/>
          </w:tcPr>
          <w:p ns2:paraId="0B7AFC1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场所</w:t>
            </w:r>
          </w:p>
        </w:tc>
        <w:tc>
          <w:tcPr>
            <w:tcW w:w="2256" w:type="dxa"/>
            <w:noWrap w:val="0"/>
            <w:vAlign w:val="center"/>
          </w:tcPr>
          <w:p ns2:paraId="2743905E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风险描述</w:t>
            </w:r>
          </w:p>
        </w:tc>
        <w:tc>
          <w:tcPr>
            <w:tcW w:w="2016" w:type="dxa"/>
            <w:noWrap w:val="0"/>
            <w:vAlign w:val="center"/>
          </w:tcPr>
          <w:p ns2:paraId="654D00E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可能导致的事故类型</w:t>
            </w:r>
          </w:p>
        </w:tc>
        <w:tc>
          <w:tcPr>
            <w:tcW w:w="1390" w:type="dxa"/>
            <w:noWrap w:val="0"/>
            <w:vAlign w:val="center"/>
          </w:tcPr>
          <w:p ns2:paraId="3E0ACE11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风险等级</w:t>
            </w:r>
          </w:p>
        </w:tc>
        <w:tc>
          <w:tcPr>
            <w:tcW w:w="1275" w:type="dxa"/>
            <w:noWrap w:val="0"/>
            <w:vAlign w:val="center"/>
          </w:tcPr>
          <w:p ns2:paraId="5BA41140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标示颜色</w:t>
            </w:r>
          </w:p>
        </w:tc>
        <w:tc>
          <w:tcPr>
            <w:tcW w:w="5670" w:type="dxa"/>
            <w:noWrap w:val="0"/>
            <w:vAlign w:val="center"/>
          </w:tcPr>
          <w:p ns2:paraId="12B8927A">
            <w:pPr>
              <w:jc w:val="center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hint="eastAsia" w:ascii="仿宋_GB2312" w:eastAsia="仿宋_GB2312"/>
                <w:b/>
                <w:bCs/>
                <w:sz w:val="24"/>
              </w:rPr>
              <w:t>管控措施</w:t>
            </w:r>
          </w:p>
        </w:tc>
      </w:tr>
      <w:tr ns2:paraId="1758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6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18F4F7D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BD536A9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气罐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</w:p>
          <w:p ns2:paraId="32515CB2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（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ascii="仿宋_GB2312" w:eastAsia="仿宋_GB2312"/>
                <w:color w:val="FF0000"/>
                <w:sz w:val="24"/>
              </w:rPr>
              <w:t>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）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CE2B9CD">
            <w:pPr>
              <w:jc w:val="left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卸气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作业时，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罐车及卸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气</w:t>
            </w:r>
            <w:r>
              <w:rPr>
                <w:rFonts w:ascii="仿宋_GB2312" w:eastAsia="仿宋_GB2312"/>
                <w:color w:val="FF0000"/>
                <w:sz w:val="24"/>
              </w:rPr>
              <w:t>管接头泄漏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，遭遇雷击。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45498738">
            <w:pPr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176CB37C">
            <w:pPr>
              <w:jc w:val="center"/>
              <w:rPr>
                <w:rFonts w:hint="eastAsia" w:ascii="仿宋_GB2312" w:eastAsia="仿宋_GB2312"/>
                <w:color w:val="FF0000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color w:val="FF0000"/>
                <w:sz w:val="24"/>
              </w:rPr>
              <w:t>较</w:t>
            </w:r>
            <w:r>
              <w:rPr>
                <w:rFonts w:hint="eastAsia" w:ascii="仿宋_GB2312" w:eastAsia="仿宋_GB2312"/>
                <w:color w:val="FF0000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ns2:paraId="1302893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ns2:paraId="4F5C9E3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前车辆停稳、熄火、静置。</w:t>
            </w:r>
          </w:p>
          <w:p ns2:paraId="2FBF26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前应连接静电接地夹。</w:t>
            </w:r>
          </w:p>
          <w:p ns2:paraId="20B8373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3.卸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时周边进行隔离，禁止其他人员或车间进入。</w:t>
            </w:r>
          </w:p>
          <w:p ns2:paraId="235D83B8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</w:t>
            </w:r>
          </w:p>
          <w:p ns2:paraId="583A358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ns2:paraId="2AAEA4A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ns2:paraId="08AE828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7.现场配备灭火器、消防砂等应急物资。</w:t>
            </w:r>
          </w:p>
          <w:p ns2:paraId="43B62C0D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ns2:paraId="66C1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232B027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0A0B2EF3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区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58346C79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液化石油气</w:t>
            </w:r>
            <w:r>
              <w:rPr>
                <w:rFonts w:hint="eastAsia" w:ascii="仿宋_GB2312" w:eastAsia="仿宋_GB2312"/>
                <w:sz w:val="24"/>
              </w:rPr>
              <w:t>泄露遭遇雷击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70AEB2C0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火灾、爆炸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7F4EE9D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</w:rPr>
              <w:t>较</w:t>
            </w:r>
            <w:r>
              <w:rPr>
                <w:rFonts w:hint="eastAsia" w:ascii="仿宋_GB2312" w:eastAsia="仿宋_GB2312"/>
                <w:sz w:val="24"/>
                <w:lang w:val="en-US" w:eastAsia="zh-CN"/>
              </w:rPr>
              <w:t>高</w:t>
            </w:r>
          </w:p>
        </w:tc>
        <w:tc>
          <w:tcPr>
            <w:tcW w:w="1275" w:type="dxa"/>
            <w:shd w:val="clear" w:color="auto" w:fill="ED7D31"/>
            <w:noWrap w:val="0"/>
            <w:vAlign w:val="center"/>
          </w:tcPr>
          <w:p ns2:paraId="4D269DEF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橙色</w:t>
            </w:r>
          </w:p>
        </w:tc>
        <w:tc>
          <w:tcPr>
            <w:tcW w:w="5670" w:type="dxa"/>
            <w:noWrap w:val="0"/>
            <w:vAlign w:val="center"/>
          </w:tcPr>
          <w:p ns2:paraId="3EF9FFC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机设置设置拉断阀、截切阀。</w:t>
            </w:r>
          </w:p>
          <w:p ns2:paraId="58A14F0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2.加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气机</w:t>
            </w:r>
            <w:r>
              <w:rPr>
                <w:rFonts w:hint="eastAsia" w:ascii="仿宋_GB2312" w:eastAsia="仿宋_GB2312"/>
                <w:color w:val="FF0000"/>
                <w:sz w:val="24"/>
                <w:lang w:eastAsia="zh-CN"/>
              </w:rPr>
              <w:t>机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端部位设置防撞栏，如加装金属防撞要加装接地措施。</w:t>
            </w:r>
          </w:p>
          <w:p ns2:paraId="5DDFFEA3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3.设置油气回收装置。</w:t>
            </w:r>
          </w:p>
          <w:p ns2:paraId="5DB0731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4.定期安全教育培训。</w:t>
            </w:r>
          </w:p>
          <w:p ns2:paraId="0C389B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5.定期进行隐患巡查。</w:t>
            </w:r>
          </w:p>
          <w:p ns2:paraId="4B1F38C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6.定期维护保养设备，定期对防雷装置、接地装置进行检验。</w:t>
            </w:r>
          </w:p>
          <w:p ns2:paraId="4C76060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7.现场配备灭火器、消防砂、灭火毯等应急物资。</w:t>
            </w:r>
          </w:p>
          <w:p ns2:paraId="09051DA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8.定期开展应急演练。</w:t>
            </w:r>
          </w:p>
        </w:tc>
      </w:tr>
      <w:tr ns2:paraId="3418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2F94076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28E42E2B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2894DA9A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36B88185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791B632F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2D19296E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12A497FA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ns2:paraId="28B2C4F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ns2:paraId="2D2D622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ns2:paraId="499D2E9F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ns2:paraId="1B9A1CB4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ns2:paraId="1471318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ns2:paraId="6E0B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6B9534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EB8A0B9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储罐房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D44880F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电气线路、电气设备遭遇雷击、</w:t>
            </w:r>
            <w:r>
              <w:rPr>
                <w:rFonts w:hint="eastAsia" w:ascii="仿宋_GB2312" w:eastAsia="仿宋_GB2312"/>
                <w:color w:val="FF0000"/>
                <w:sz w:val="24"/>
              </w:rPr>
              <w:t>水淹</w:t>
            </w:r>
            <w:r>
              <w:rPr>
                <w:rFonts w:hint="eastAsia" w:ascii="仿宋_GB2312" w:eastAsia="仿宋_GB2312"/>
                <w:sz w:val="24"/>
              </w:rPr>
              <w:t>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DE35E26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F9C6C29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3AA5B5F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1753170C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1.电气线路套管保护，安全过载、漏电保护装置。</w:t>
            </w:r>
          </w:p>
          <w:p ns2:paraId="55174441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2.定期安全教育培训。</w:t>
            </w:r>
          </w:p>
          <w:p ns2:paraId="3E67324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3.定期进行隐患巡查。</w:t>
            </w:r>
          </w:p>
          <w:p ns2:paraId="31B378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4.定期开展电气防火技术检测。</w:t>
            </w:r>
          </w:p>
          <w:p ns2:paraId="2F28DE5B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5.现场配备灭火器等应急物资。</w:t>
            </w:r>
          </w:p>
          <w:p ns2:paraId="68A2DEA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6.定期开展应急演练。</w:t>
            </w:r>
          </w:p>
        </w:tc>
      </w:tr>
      <w:tr ns2:paraId="725E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6B0CCDA2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5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719806A1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气</w:t>
            </w:r>
            <w:r>
              <w:rPr>
                <w:rFonts w:hint="eastAsia" w:ascii="仿宋_GB2312" w:eastAsia="仿宋_GB2312"/>
                <w:sz w:val="24"/>
              </w:rPr>
              <w:t>站周边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597E8EE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遇到暴雨，山体水土流失发生坍塌，对</w:t>
            </w:r>
            <w:r>
              <w:rPr>
                <w:rFonts w:hint="eastAsia" w:ascii="仿宋_GB2312" w:eastAsia="仿宋_GB2312"/>
                <w:sz w:val="24"/>
                <w:lang w:eastAsia="zh-CN"/>
              </w:rPr>
              <w:t>加气</w:t>
            </w:r>
            <w:r>
              <w:rPr>
                <w:rFonts w:hint="eastAsia" w:ascii="仿宋_GB2312" w:eastAsia="仿宋_GB2312"/>
                <w:sz w:val="24"/>
              </w:rPr>
              <w:t>站的设备设施造成损坏，甚至造成人员伤亡。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3CD04B20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坍塌、物体打击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3D239644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796B42B9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0DDB1026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1.设置防护措施、警示标志等。</w:t>
            </w:r>
          </w:p>
          <w:p ns2:paraId="594AB2A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2.定期进行巡查，发现异常报相关部门检测。</w:t>
            </w:r>
          </w:p>
          <w:p ns2:paraId="76C91672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3.收到气象灾害预警时，设置警戒线，禁止人员靠近。</w:t>
            </w:r>
          </w:p>
          <w:p ns2:paraId="425982D5">
            <w:pPr>
              <w:jc w:val="left"/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4.定期开展应急演练。</w:t>
            </w:r>
          </w:p>
        </w:tc>
      </w:tr>
      <w:tr ns2:paraId="2B79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61C5C1A7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6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00D29D00">
            <w:pPr>
              <w:jc w:val="center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办公楼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093768A3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电气线路老化、过载、人员抽烟、纸张堆放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7BE03C4F">
            <w:pPr>
              <w:jc w:val="left"/>
              <w:rPr>
                <w:rFonts w:hint="eastAsia" w:asci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lang w:eastAsia="zh-CN"/>
              </w:rPr>
              <w:t>火灾、触电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62C0DB4D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0070C0"/>
            <w:noWrap w:val="0"/>
            <w:vAlign w:val="center"/>
          </w:tcPr>
          <w:p ns2:paraId="7C152F2B">
            <w:pPr>
              <w:jc w:val="center"/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highlight w:val="none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ns2:paraId="3F7FC3FE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1.定期检查电气线路。</w:t>
            </w:r>
          </w:p>
          <w:p ns2:paraId="70B2E2E6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2.纸张不摆放在电气设备旁。</w:t>
            </w:r>
          </w:p>
          <w:p ns2:paraId="09DE7E80">
            <w:pPr>
              <w:jc w:val="left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3.禁止人员抽烟。</w:t>
            </w:r>
          </w:p>
        </w:tc>
      </w:tr>
      <w:tr ns2:paraId="5294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9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31580100">
            <w:pPr>
              <w:jc w:val="center"/>
              <w:rPr>
                <w:rFonts w:hint="default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1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50FB7E3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配电房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1C04DF4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3381B73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4833412F">
            <w:pPr>
              <w:jc w:val="center"/>
              <w:rPr>
                <w:rFonts w:hint="default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中等</w:t>
            </w:r>
          </w:p>
        </w:tc>
        <w:tc>
          <w:tcPr>
            <w:tcW w:w="1275" w:type="dxa"/>
            <w:shd w:val="clear" w:color="auto" w:fill="FFFF00"/>
            <w:noWrap w:val="0"/>
            <w:vAlign w:val="center"/>
          </w:tcPr>
          <w:p ns2:paraId="34689EBC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黄色</w:t>
            </w:r>
          </w:p>
        </w:tc>
        <w:tc>
          <w:tcPr>
            <w:tcW w:w="5670" w:type="dxa"/>
            <w:noWrap w:val="0"/>
            <w:vAlign w:val="center"/>
          </w:tcPr>
          <w:p ns2:paraId="07440DA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ns2:paraId="11CD2025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ns2:paraId="025DA310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ns2:paraId="0C577C23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ns2:paraId="126D03C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ns2:paraId="4BC9ED7A">
            <w:pPr>
              <w:jc w:val="left"/>
              <w:rPr>
                <w:rFonts w:hint="default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  <w:tr ns2:paraId="7935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  <w:jc w:val="center"/>
        </w:trPr>
        <w:tc>
          <w:tcPr>
            <w:tcW w:w="704" w:type="dxa"/>
            <w:shd w:val="clear" w:color="auto" w:fill="auto"/>
            <w:noWrap w:val="0"/>
            <w:vAlign w:val="center"/>
          </w:tcPr>
          <w:p ns2:paraId="1AA98426">
            <w:pPr>
              <w:jc w:val="center"/>
              <w:rPr>
                <w:rFonts w:hint="eastAsia" w:asci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1426" w:type="dxa"/>
            <w:shd w:val="clear" w:color="auto" w:fill="auto"/>
            <w:noWrap w:val="0"/>
            <w:vAlign w:val="center"/>
          </w:tcPr>
          <w:p ns2:paraId="181D65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 w:cs="Times New Roman"/>
                <w:kern w:val="2"/>
                <w:sz w:val="24"/>
                <w:szCs w:val="24"/>
                <w:lang w:val="en-US" w:eastAsia="zh-CN" w:bidi="ar-SA"/>
              </w:rPr>
              <w:t>候车厅</w:t>
            </w:r>
          </w:p>
        </w:tc>
        <w:tc>
          <w:tcPr>
            <w:tcW w:w="2256" w:type="dxa"/>
            <w:shd w:val="clear" w:color="auto" w:fill="auto"/>
            <w:noWrap w:val="0"/>
            <w:vAlign w:val="center"/>
          </w:tcPr>
          <w:p ns2:paraId="7019C1D1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电气线路、电气设备遭遇雷击、水浸。</w:t>
            </w:r>
          </w:p>
        </w:tc>
        <w:tc>
          <w:tcPr>
            <w:tcW w:w="2016" w:type="dxa"/>
            <w:shd w:val="clear" w:color="auto" w:fill="auto"/>
            <w:noWrap w:val="0"/>
            <w:vAlign w:val="center"/>
          </w:tcPr>
          <w:p ns2:paraId="069C5BD7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火灾、触电、设备损坏</w:t>
            </w:r>
          </w:p>
        </w:tc>
        <w:tc>
          <w:tcPr>
            <w:tcW w:w="1390" w:type="dxa"/>
            <w:shd w:val="clear" w:color="auto" w:fill="auto"/>
            <w:noWrap w:val="0"/>
            <w:vAlign w:val="center"/>
          </w:tcPr>
          <w:p ns2:paraId="30FDE54D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较低</w:t>
            </w:r>
          </w:p>
        </w:tc>
        <w:tc>
          <w:tcPr>
            <w:tcW w:w="1275" w:type="dxa"/>
            <w:shd w:val="clear" w:color="auto" w:fill="4874CB"/>
            <w:noWrap w:val="0"/>
            <w:vAlign w:val="center"/>
          </w:tcPr>
          <w:p ns2:paraId="1302C922">
            <w:pPr>
              <w:jc w:val="center"/>
              <w:rPr>
                <w:rFonts w:hint="eastAsia" w:ascii="仿宋_GB2312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蓝色</w:t>
            </w:r>
          </w:p>
        </w:tc>
        <w:tc>
          <w:tcPr>
            <w:tcW w:w="5670" w:type="dxa"/>
            <w:noWrap w:val="0"/>
            <w:vAlign w:val="center"/>
          </w:tcPr>
          <w:p ns2:paraId="5112EE0B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1.电气线路套管保护，安全过载、漏电保护装置。</w:t>
            </w:r>
          </w:p>
          <w:p ns2:paraId="6B56F567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2.定期安全教育培训。</w:t>
            </w:r>
          </w:p>
          <w:p ns2:paraId="705D63F2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3.定期进行隐患巡查。</w:t>
            </w:r>
          </w:p>
          <w:p ns2:paraId="1798C251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4.定期开展电气防火技术检测。</w:t>
            </w:r>
          </w:p>
          <w:p ns2:paraId="73ECC3FD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5.现场配备灭火器等应急物资。</w:t>
            </w:r>
          </w:p>
          <w:p ns2:paraId="76250904">
            <w:pPr>
              <w:jc w:val="left"/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6.定期开展应急演练。</w:t>
            </w:r>
          </w:p>
        </w:tc>
      </w:tr>
    </w:tbl>
    <w:p ns2:paraId="3E4F28AB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DBA3FE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EFEE73E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15F1CDB7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0930BBF5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1C6F080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8D6AE59">
      <w:pPr>
        <w:pStyle w:val="14"/>
        <w:numPr>
          <w:ilvl w:val="0"/>
          <w:numId w:val="0"/>
        </w:numPr>
        <w:spacing w:before="143" w:line="184" w:lineRule="auto"/>
        <w:ind w:leftChars="0"/>
        <w:rPr>
          <w:rFonts w:hint="default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color="auto" w:fill="FFFFFF"/>
          <w:vertAlign w:val="baseline"/>
          <w:lang w:val="en-US" w:eastAsia="zh-CN" w:bidi="ar"/>
        </w:rPr>
      </w:pPr>
    </w:p>
    <w:p ns2:paraId="4C2B86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附件6：风险四色图</w:t>
      </w:r>
    </w:p>
    <w:p ns2:paraId="047E5A79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风险四色图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174"/>
      </w:tblGrid>
      <w:tr ns2:paraId="7501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28" w:hRule="atLeast"/>
        </w:trPr>
        <w:tc>
          <w:tcPr>
            <w:tcW w:w="14174" w:type="dxa"/>
            <w:noWrap w:val="0"/>
            <w:vAlign w:val="top"/>
          </w:tcPr>
          <w:p ns2:paraId="72E10187">
            <w:pPr>
              <w:pStyle w:val="14"/>
              <w:numPr>
                <w:ilvl w:val="0"/>
                <w:numId w:val="0"/>
              </w:numPr>
              <w:spacing w:before="143" w:line="184" w:lineRule="auto"/>
              <w:jc w:val="center"/>
              <w:rPr>
                <w:rFonts w:hint="default" w:ascii="黑体" w:hAnsi="黑体" w:eastAsia="黑体" w:cs="黑体"/>
                <w:b/>
                <w:bCs/>
                <w:kern w:val="2"/>
                <w:sz w:val="40"/>
                <w:szCs w:val="48"/>
                <w:vertAlign w:val="baseline"/>
                <w:lang w:val="en-US" w:eastAsia="zh-CN" w:bidi="ar-SA"/>
              </w:rPr>
            </w:pPr>
          </w:p>
        </w:tc>
      </w:tr>
    </w:tbl>
    <w:p ns2:paraId="35773B9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黑体" w:hAnsi="黑体" w:eastAsia="黑体" w:cs="宋体"/>
          <w:sz w:val="44"/>
          <w:szCs w:val="44"/>
          <w:lang w:val="en-US" w:eastAsia="zh-CN"/>
        </w:rPr>
      </w:pPr>
      <w:bookmarkStart w:id="0" w:name="_Toc15529"/>
      <w:bookmarkStart w:id="1" w:name="_Toc2427"/>
      <w:r>
        <w:rPr>
          <w:rFonts w:hint="eastAsia" w:cs="Times New Roman"/>
          <w:b/>
          <w:sz w:val="32"/>
          <w:szCs w:val="20"/>
          <w:lang w:val="en-US" w:eastAsia="zh-CN"/>
        </w:rPr>
        <w:t>附件7：气象灾害防御（防雷）重点单位安全隐患排查及整改措施记录</w:t>
      </w:r>
    </w:p>
    <w:p ns2:paraId="0B7466D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黑体" w:hAnsi="黑体" w:eastAsia="黑体" w:cs="宋体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气象灾害防御（防雷）重点单位安全隐患排查及整改措施记录</w:t>
      </w:r>
      <w:bookmarkEnd w:id="0"/>
      <w:bookmarkEnd w:id="1"/>
    </w:p>
    <w:p ns2:paraId="705445B3">
      <w:pPr>
        <w:snapToGrid w:val="0"/>
        <w:jc w:val="center"/>
        <w:rPr>
          <w:rFonts w:ascii="黑体" w:eastAsia="黑体"/>
          <w:b/>
          <w:bCs/>
          <w:sz w:val="22"/>
          <w:szCs w:val="48"/>
        </w:rPr>
      </w:pPr>
    </w:p>
    <w:tbl>
      <w:tblPr>
        <w:tblStyle w:val="9"/>
        <w:tblW w:w="137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1559"/>
        <w:gridCol w:w="3385"/>
        <w:gridCol w:w="3600"/>
        <w:gridCol w:w="3457"/>
        <w:gridCol w:w="852"/>
      </w:tblGrid>
      <w:tr ns2:paraId="0951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tblHeader/>
          <w:jc w:val="center"/>
        </w:trPr>
        <w:tc>
          <w:tcPr>
            <w:tcW w:w="881" w:type="dxa"/>
            <w:noWrap w:val="0"/>
            <w:vAlign w:val="center"/>
          </w:tcPr>
          <w:p ns2:paraId="44E4CD1F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559" w:type="dxa"/>
            <w:noWrap w:val="0"/>
            <w:vAlign w:val="center"/>
          </w:tcPr>
          <w:p ns2:paraId="168FB520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区域</w:t>
            </w:r>
          </w:p>
        </w:tc>
        <w:tc>
          <w:tcPr>
            <w:tcW w:w="3385" w:type="dxa"/>
            <w:noWrap w:val="0"/>
            <w:vAlign w:val="center"/>
          </w:tcPr>
          <w:p ns2:paraId="46052E58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隐患描述与整改措施</w:t>
            </w:r>
          </w:p>
        </w:tc>
        <w:tc>
          <w:tcPr>
            <w:tcW w:w="3600" w:type="dxa"/>
            <w:noWrap w:val="0"/>
            <w:vAlign w:val="center"/>
          </w:tcPr>
          <w:p ns2:paraId="3DEA458A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隐患整改前照片</w:t>
            </w:r>
          </w:p>
        </w:tc>
        <w:tc>
          <w:tcPr>
            <w:tcW w:w="3457" w:type="dxa"/>
            <w:noWrap w:val="0"/>
            <w:vAlign w:val="center"/>
          </w:tcPr>
          <w:p ns2:paraId="77D8E64D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隐患整改后照片</w:t>
            </w:r>
          </w:p>
        </w:tc>
        <w:tc>
          <w:tcPr>
            <w:tcW w:w="852" w:type="dxa"/>
            <w:noWrap w:val="0"/>
            <w:vAlign w:val="center"/>
          </w:tcPr>
          <w:p ns2:paraId="524D910E">
            <w:pPr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</w:tr>
      <w:tr ns2:paraId="4A956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7" w:hRule="atLeast"/>
          <w:jc w:val="center"/>
        </w:trPr>
        <w:tc>
          <w:tcPr>
            <w:tcW w:w="881" w:type="dxa"/>
            <w:noWrap w:val="0"/>
            <w:vAlign w:val="center"/>
          </w:tcPr>
          <w:p ns2:paraId="6DA01FD2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1</w:t>
            </w:r>
          </w:p>
        </w:tc>
        <w:tc>
          <w:tcPr>
            <w:tcW w:w="1559" w:type="dxa"/>
            <w:noWrap w:val="0"/>
            <w:vAlign w:val="center"/>
          </w:tcPr>
          <w:p ns2:paraId="0450E66D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5342C934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隐患描述：未见气象灾害防御工作制度</w:t>
            </w:r>
          </w:p>
          <w:p ns2:paraId="7585413D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整改措施：建立健全气象灾害防御工作制度</w:t>
            </w:r>
          </w:p>
        </w:tc>
        <w:tc>
          <w:tcPr>
            <w:tcW w:w="3600" w:type="dxa"/>
            <w:noWrap w:val="0"/>
            <w:vAlign w:val="center"/>
          </w:tcPr>
          <w:p ns2:paraId="3F4524B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4B026F4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A0DA70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E95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2" w:hRule="atLeast"/>
          <w:jc w:val="center"/>
        </w:trPr>
        <w:tc>
          <w:tcPr>
            <w:tcW w:w="881" w:type="dxa"/>
            <w:noWrap w:val="0"/>
            <w:vAlign w:val="center"/>
          </w:tcPr>
          <w:p ns2:paraId="7C9B3B04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</w:t>
            </w:r>
          </w:p>
        </w:tc>
        <w:tc>
          <w:tcPr>
            <w:tcW w:w="1559" w:type="dxa"/>
            <w:noWrap w:val="0"/>
            <w:vAlign w:val="center"/>
          </w:tcPr>
          <w:p ns2:paraId="4B0248DC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0B9747E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隐患描述：未进行自查自报</w:t>
            </w:r>
          </w:p>
          <w:p ns2:paraId="1F46DD0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整改措施：应定期进行“气象安全监察平台”自查自报</w:t>
            </w:r>
          </w:p>
        </w:tc>
        <w:tc>
          <w:tcPr>
            <w:tcW w:w="3600" w:type="dxa"/>
            <w:noWrap w:val="0"/>
            <w:vAlign w:val="center"/>
          </w:tcPr>
          <w:p ns2:paraId="4E9880DA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0DA14953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55EF7B21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D271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4" w:hRule="atLeast"/>
          <w:jc w:val="center"/>
        </w:trPr>
        <w:tc>
          <w:tcPr>
            <w:tcW w:w="881" w:type="dxa"/>
            <w:noWrap w:val="0"/>
            <w:vAlign w:val="center"/>
          </w:tcPr>
          <w:p ns2:paraId="297882F5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3</w:t>
            </w:r>
          </w:p>
        </w:tc>
        <w:tc>
          <w:tcPr>
            <w:tcW w:w="1559" w:type="dxa"/>
            <w:noWrap w:val="0"/>
            <w:vAlign w:val="center"/>
          </w:tcPr>
          <w:p ns2:paraId="58D1AD1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2ACBD58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隐患描述：未见气象灾害应急预案</w:t>
            </w:r>
          </w:p>
          <w:p ns2:paraId="59F9705C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整改措施：建立健全气象灾害应急预案</w:t>
            </w:r>
          </w:p>
        </w:tc>
        <w:tc>
          <w:tcPr>
            <w:tcW w:w="3600" w:type="dxa"/>
            <w:noWrap w:val="0"/>
            <w:vAlign w:val="center"/>
          </w:tcPr>
          <w:p ns2:paraId="2A00D84C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7A643B07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5D73747C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0764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0" w:hRule="atLeast"/>
          <w:jc w:val="center"/>
        </w:trPr>
        <w:tc>
          <w:tcPr>
            <w:tcW w:w="881" w:type="dxa"/>
            <w:noWrap w:val="0"/>
            <w:vAlign w:val="center"/>
          </w:tcPr>
          <w:p ns2:paraId="2A9163A6">
            <w:pPr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4</w:t>
            </w:r>
          </w:p>
        </w:tc>
        <w:tc>
          <w:tcPr>
            <w:tcW w:w="1559" w:type="dxa"/>
            <w:noWrap w:val="0"/>
            <w:vAlign w:val="center"/>
          </w:tcPr>
          <w:p ns2:paraId="6A244D8F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5605250F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隐患描述：未开展气象灾害培训</w:t>
            </w:r>
          </w:p>
          <w:p ns2:paraId="16FAAF15">
            <w:pPr>
              <w:spacing w:line="0" w:lineRule="atLeast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整改措施：应定期开展气象灾害培训</w:t>
            </w:r>
          </w:p>
        </w:tc>
        <w:tc>
          <w:tcPr>
            <w:tcW w:w="3600" w:type="dxa"/>
            <w:noWrap w:val="0"/>
            <w:vAlign w:val="center"/>
          </w:tcPr>
          <w:p ns2:paraId="5C35BBBA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6B097E68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7B846A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7DEF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0" w:hRule="atLeast"/>
          <w:jc w:val="center"/>
        </w:trPr>
        <w:tc>
          <w:tcPr>
            <w:tcW w:w="881" w:type="dxa"/>
            <w:noWrap w:val="0"/>
            <w:vAlign w:val="center"/>
          </w:tcPr>
          <w:p ns2:paraId="10717582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59" w:type="dxa"/>
            <w:noWrap w:val="0"/>
            <w:vAlign w:val="center"/>
          </w:tcPr>
          <w:p ns2:paraId="07DA2145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6A00E881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隐患描述：未开展气象灾害应急演练</w:t>
            </w:r>
          </w:p>
          <w:p ns2:paraId="4F3F373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整改措施：应定期开展气象灾害应急演练</w:t>
            </w:r>
          </w:p>
        </w:tc>
        <w:tc>
          <w:tcPr>
            <w:tcW w:w="3600" w:type="dxa"/>
            <w:noWrap w:val="0"/>
            <w:vAlign w:val="center"/>
          </w:tcPr>
          <w:p ns2:paraId="01D421C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3852C8C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7235285D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2CDD9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0" w:hRule="atLeast"/>
          <w:jc w:val="center"/>
        </w:trPr>
        <w:tc>
          <w:tcPr>
            <w:tcW w:w="881" w:type="dxa"/>
            <w:noWrap w:val="0"/>
            <w:vAlign w:val="center"/>
          </w:tcPr>
          <w:p ns2:paraId="7D99F394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59" w:type="dxa"/>
            <w:noWrap w:val="0"/>
            <w:vAlign w:val="center"/>
          </w:tcPr>
          <w:p ns2:paraId="65947502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48400CD6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隐患描述：未开展气象灾害防御设施日常巡查</w:t>
            </w:r>
          </w:p>
          <w:p ns2:paraId="2A3FCB7C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整改措施：应定期开展气象灾害防御设施巡查并记录</w:t>
            </w:r>
          </w:p>
        </w:tc>
        <w:tc>
          <w:tcPr>
            <w:tcW w:w="3600" w:type="dxa"/>
            <w:noWrap w:val="0"/>
            <w:vAlign w:val="center"/>
          </w:tcPr>
          <w:p ns2:paraId="19DDA5B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5C786F55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23C0269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192E4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0" w:hRule="atLeast"/>
          <w:jc w:val="center"/>
        </w:trPr>
        <w:tc>
          <w:tcPr>
            <w:tcW w:w="881" w:type="dxa"/>
            <w:noWrap w:val="0"/>
            <w:vAlign w:val="center"/>
          </w:tcPr>
          <w:p ns2:paraId="2A3116FF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559" w:type="dxa"/>
            <w:noWrap w:val="0"/>
            <w:vAlign w:val="center"/>
          </w:tcPr>
          <w:p ns2:paraId="35BD4921">
            <w:pPr>
              <w:spacing w:line="0" w:lineRule="atLeast"/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文件</w:t>
            </w:r>
          </w:p>
        </w:tc>
        <w:tc>
          <w:tcPr>
            <w:tcW w:w="3385" w:type="dxa"/>
            <w:noWrap w:val="0"/>
            <w:vAlign w:val="center"/>
          </w:tcPr>
          <w:p ns2:paraId="1AF20E8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隐患描述：气象灾害防御档案资料不齐全</w:t>
            </w:r>
          </w:p>
          <w:p ns2:paraId="0A75A2AD">
            <w:pPr>
              <w:spacing w:line="0" w:lineRule="atLeast"/>
              <w:rPr>
                <w:rFonts w:hint="eastAsia"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整改措施：建立健全气象灾害防御档案并将资料补充完善</w:t>
            </w:r>
          </w:p>
        </w:tc>
        <w:tc>
          <w:tcPr>
            <w:tcW w:w="3600" w:type="dxa"/>
            <w:noWrap w:val="0"/>
            <w:vAlign w:val="center"/>
          </w:tcPr>
          <w:p ns2:paraId="3CDC946C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无照片</w:t>
            </w:r>
          </w:p>
        </w:tc>
        <w:tc>
          <w:tcPr>
            <w:tcW w:w="3457" w:type="dxa"/>
            <w:noWrap w:val="0"/>
            <w:vAlign w:val="center"/>
          </w:tcPr>
          <w:p ns2:paraId="032FF207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137B84E3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5CAF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0" w:hRule="atLeast"/>
          <w:jc w:val="center"/>
        </w:trPr>
        <w:tc>
          <w:tcPr>
            <w:tcW w:w="881" w:type="dxa"/>
            <w:noWrap w:val="0"/>
            <w:vAlign w:val="center"/>
          </w:tcPr>
          <w:p ns2:paraId="684856A5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59" w:type="dxa"/>
            <w:noWrap w:val="0"/>
            <w:vAlign w:val="center"/>
          </w:tcPr>
          <w:p ns2:paraId="387D2CC4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ns2:paraId="15A1FA8D">
            <w:pPr>
              <w:spacing w:line="0" w:lineRule="atLeast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隐患描述：未配备应急物资/应急物资配备不齐全</w:t>
            </w:r>
          </w:p>
          <w:p ns2:paraId="3B6F942B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整改措施：按要求配备应急物资（防汛沙袋，三防应急物资等）</w:t>
            </w:r>
          </w:p>
        </w:tc>
        <w:tc>
          <w:tcPr>
            <w:tcW w:w="3600" w:type="dxa"/>
            <w:noWrap w:val="0"/>
            <w:vAlign w:val="center"/>
          </w:tcPr>
          <w:p ns2:paraId="12C719BE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6720013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6C36C3C2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4B00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0" w:hRule="atLeast"/>
          <w:jc w:val="center"/>
        </w:trPr>
        <w:tc>
          <w:tcPr>
            <w:tcW w:w="881" w:type="dxa"/>
            <w:noWrap w:val="0"/>
            <w:vAlign w:val="center"/>
          </w:tcPr>
          <w:p ns2:paraId="35CFAEBA">
            <w:pPr>
              <w:jc w:val="center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1559" w:type="dxa"/>
            <w:noWrap w:val="0"/>
            <w:vAlign w:val="center"/>
          </w:tcPr>
          <w:p ns2:paraId="783FED37">
            <w:pPr>
              <w:jc w:val="center"/>
              <w:rPr>
                <w:rFonts w:hint="default" w:eastAsia="宋体" w:cs="等线"/>
                <w:bCs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现场/文件</w:t>
            </w:r>
          </w:p>
        </w:tc>
        <w:tc>
          <w:tcPr>
            <w:tcW w:w="3385" w:type="dxa"/>
            <w:noWrap w:val="0"/>
            <w:vAlign w:val="center"/>
          </w:tcPr>
          <w:p ns2:paraId="21C752C5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隐患描述：未定期开展防雷检测</w:t>
            </w:r>
          </w:p>
          <w:p ns2:paraId="7E6A63D9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整改措施：按要求应定期开展防雷检测并出示报告</w:t>
            </w:r>
          </w:p>
        </w:tc>
        <w:tc>
          <w:tcPr>
            <w:tcW w:w="3600" w:type="dxa"/>
            <w:noWrap w:val="0"/>
            <w:vAlign w:val="center"/>
          </w:tcPr>
          <w:p ns2:paraId="37C6BE9B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3A63C920">
            <w:pPr>
              <w:jc w:val="center"/>
              <w:rPr>
                <w:rFonts w:ascii="仿宋_GB2312" w:hAnsi="宋体" w:eastAsia="仿宋_GB2312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29062988">
            <w:pPr>
              <w:jc w:val="center"/>
              <w:rPr>
                <w:rFonts w:cs="等线"/>
                <w:bCs/>
                <w:sz w:val="24"/>
              </w:rPr>
            </w:pPr>
          </w:p>
        </w:tc>
      </w:tr>
      <w:tr ns2:paraId="4F1A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881" w:type="dxa"/>
            <w:noWrap w:val="0"/>
            <w:vAlign w:val="center"/>
          </w:tcPr>
          <w:p ns2:paraId="5E9316A4">
            <w:pPr>
              <w:jc w:val="center"/>
              <w:rPr>
                <w:rFonts w:hint="default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559" w:type="dxa"/>
            <w:noWrap w:val="0"/>
            <w:vAlign w:val="center"/>
          </w:tcPr>
          <w:p ns2:paraId="6EB95A79">
            <w:pPr>
              <w:jc w:val="center"/>
              <w:rPr>
                <w:rFonts w:hint="eastAsia" w:eastAsia="宋体" w:cs="等线"/>
                <w:bCs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现场</w:t>
            </w:r>
          </w:p>
        </w:tc>
        <w:tc>
          <w:tcPr>
            <w:tcW w:w="3385" w:type="dxa"/>
            <w:noWrap w:val="0"/>
            <w:vAlign w:val="center"/>
          </w:tcPr>
          <w:p ns2:paraId="30D1ABC7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隐患描述：</w:t>
            </w:r>
          </w:p>
          <w:p ns2:paraId="549F3162">
            <w:pPr>
              <w:spacing w:line="0" w:lineRule="atLeast"/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整改措施：</w:t>
            </w:r>
          </w:p>
        </w:tc>
        <w:tc>
          <w:tcPr>
            <w:tcW w:w="3600" w:type="dxa"/>
            <w:noWrap w:val="0"/>
            <w:vAlign w:val="center"/>
          </w:tcPr>
          <w:p ns2:paraId="632CAAB0">
            <w:pPr>
              <w:jc w:val="center"/>
              <w:rPr>
                <w:rFonts w:cs="等线"/>
                <w:bCs/>
                <w:sz w:val="24"/>
              </w:rPr>
            </w:pPr>
          </w:p>
        </w:tc>
        <w:tc>
          <w:tcPr>
            <w:tcW w:w="3457" w:type="dxa"/>
            <w:noWrap w:val="0"/>
            <w:vAlign w:val="center"/>
          </w:tcPr>
          <w:p ns2:paraId="078CA244">
            <w:pPr>
              <w:jc w:val="center"/>
              <w:rPr>
                <w:rFonts w:cs="等线"/>
                <w:bCs/>
                <w:sz w:val="24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未整改</w:t>
            </w:r>
          </w:p>
        </w:tc>
        <w:tc>
          <w:tcPr>
            <w:tcW w:w="852" w:type="dxa"/>
            <w:noWrap w:val="0"/>
            <w:vAlign w:val="center"/>
          </w:tcPr>
          <w:p ns2:paraId="45095DFE">
            <w:pPr>
              <w:jc w:val="center"/>
              <w:rPr>
                <w:rFonts w:cs="等线"/>
                <w:bCs/>
                <w:sz w:val="24"/>
              </w:rPr>
            </w:pPr>
          </w:p>
        </w:tc>
      </w:tr>
    </w:tbl>
    <w:p ns2:paraId="44F5BD14"/>
    <w:p ns2:paraId="024D73D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eastAsia" w:cs="Times New Roman"/>
          <w:b/>
          <w:sz w:val="32"/>
          <w:szCs w:val="20"/>
          <w:lang w:val="en-US" w:eastAsia="zh-CN"/>
        </w:rPr>
        <w:sectPr>
          <w:headerReference ns3:id="rId7" w:type="default"/>
          <w:footerReference ns3:id="rId8" w:type="default"/>
          <w:pgSz w:w="16838" w:h="11906" w:orient="landscape"/>
          <w:pgMar w:top="1803" w:right="1440" w:bottom="1803" w:left="1440" w:header="851" w:footer="992" w:gutter="0"/>
          <w:paperSrc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rtlGutter w:val="0"/>
          <w:docGrid w:type="lines" w:linePitch="319" w:charSpace="0"/>
        </w:sectPr>
      </w:pPr>
    </w:p>
    <w:p ns2:paraId="0FAB446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1" w:afterLines="50"/>
        <w:textAlignment w:val="auto"/>
        <w:rPr>
          <w:rFonts w:hint="default" w:cs="Times New Roman"/>
          <w:b/>
          <w:sz w:val="32"/>
          <w:szCs w:val="20"/>
          <w:lang w:val="en-US" w:eastAsia="zh-CN"/>
        </w:rPr>
      </w:pPr>
      <w:r>
        <w:rPr>
          <w:rFonts w:hint="eastAsia" w:cs="Times New Roman"/>
          <w:b/>
          <w:sz w:val="32"/>
          <w:szCs w:val="20"/>
          <w:lang w:val="en-US" w:eastAsia="zh-CN"/>
        </w:rPr>
        <w:t>附件8：气象灾害防御（防雷）重点单位安全隐患复查记录</w:t>
      </w:r>
    </w:p>
    <w:p ns2:paraId="713B409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Chars="0"/>
        <w:jc w:val="center"/>
        <w:textAlignment w:val="auto"/>
        <w:rPr>
          <w:rFonts w:ascii="宋体" w:hAnsi="宋体" w:cs="宋体"/>
          <w:b/>
          <w:bCs/>
          <w:sz w:val="10"/>
          <w:szCs w:val="10"/>
        </w:rPr>
      </w:pPr>
      <w:r>
        <w:rPr>
          <w:rFonts w:hint="eastAsia" w:ascii="黑体" w:hAnsi="黑体" w:eastAsia="黑体" w:cs="黑体"/>
          <w:b/>
          <w:bCs/>
          <w:kern w:val="2"/>
          <w:sz w:val="40"/>
          <w:szCs w:val="48"/>
          <w:lang w:val="en-US" w:eastAsia="zh-CN" w:bidi="ar-SA"/>
        </w:rPr>
        <w:t>气象安全隐患复查记录</w:t>
      </w:r>
    </w:p>
    <w:tbl>
      <w:tblPr>
        <w:tblStyle w:val="10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6536"/>
      </w:tblGrid>
      <w:tr ns2:paraId="10A03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1983" w:type="dxa"/>
            <w:noWrap w:val="0"/>
            <w:vAlign w:val="center"/>
          </w:tcPr>
          <w:p ns2:paraId="6548A54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单位名称</w:t>
            </w:r>
          </w:p>
        </w:tc>
        <w:tc>
          <w:tcPr>
            <w:tcW w:w="6536" w:type="dxa"/>
            <w:noWrap w:val="0"/>
            <w:vAlign w:val="center"/>
          </w:tcPr>
          <w:p ns2:paraId="53DC2787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65CF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983" w:type="dxa"/>
            <w:noWrap w:val="0"/>
            <w:vAlign w:val="center"/>
          </w:tcPr>
          <w:p ns2:paraId="783D62F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地    址</w:t>
            </w:r>
          </w:p>
        </w:tc>
        <w:tc>
          <w:tcPr>
            <w:tcW w:w="6536" w:type="dxa"/>
            <w:noWrap w:val="0"/>
            <w:vAlign w:val="center"/>
          </w:tcPr>
          <w:p ns2:paraId="08B78268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A52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983" w:type="dxa"/>
            <w:noWrap w:val="0"/>
            <w:vAlign w:val="center"/>
          </w:tcPr>
          <w:p ns2:paraId="7EACEAB1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负 责 人</w:t>
            </w:r>
          </w:p>
          <w:p ns2:paraId="7C242D69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（及电话）</w:t>
            </w:r>
          </w:p>
        </w:tc>
        <w:tc>
          <w:tcPr>
            <w:tcW w:w="6536" w:type="dxa"/>
            <w:noWrap w:val="0"/>
            <w:vAlign w:val="center"/>
          </w:tcPr>
          <w:p ns2:paraId="42A77B8F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71EEC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6" w:hRule="atLeast"/>
        </w:trPr>
        <w:tc>
          <w:tcPr>
            <w:tcW w:w="1983" w:type="dxa"/>
            <w:noWrap w:val="0"/>
            <w:vAlign w:val="center"/>
          </w:tcPr>
          <w:p ns2:paraId="65E3A79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隐患内容</w:t>
            </w:r>
          </w:p>
        </w:tc>
        <w:tc>
          <w:tcPr>
            <w:tcW w:w="6536" w:type="dxa"/>
            <w:noWrap w:val="0"/>
            <w:vAlign w:val="center"/>
          </w:tcPr>
          <w:p ns2:paraId="4F4024CB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1、制度内容不齐全，未及时更新；</w:t>
            </w:r>
          </w:p>
          <w:p ns2:paraId="047B5BEF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2、气象灾害应急预案未更新；</w:t>
            </w:r>
          </w:p>
          <w:p ns2:paraId="054F651A">
            <w:pPr>
              <w:spacing w:line="0" w:lineRule="atLeast"/>
              <w:jc w:val="left"/>
              <w:rPr>
                <w:rFonts w:ascii="仿宋_GB2312" w:hAnsi="宋体" w:eastAsia="仿宋_GB2312" w:cs="宋体"/>
                <w:color w:val="FF000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3、气象安全巡查记录未更新；</w:t>
            </w:r>
          </w:p>
          <w:p ns2:paraId="2790A606">
            <w:pPr>
              <w:spacing w:line="0" w:lineRule="atLeast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FF0000"/>
                <w:sz w:val="28"/>
                <w:szCs w:val="28"/>
              </w:rPr>
              <w:t>4、站房顶部接闪带部分断裂。</w:t>
            </w:r>
          </w:p>
        </w:tc>
      </w:tr>
      <w:tr ns2:paraId="46A2D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</w:trPr>
        <w:tc>
          <w:tcPr>
            <w:tcW w:w="1983" w:type="dxa"/>
            <w:noWrap w:val="0"/>
            <w:vAlign w:val="center"/>
          </w:tcPr>
          <w:p ns2:paraId="3237AEF5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复查情况</w:t>
            </w:r>
          </w:p>
        </w:tc>
        <w:tc>
          <w:tcPr>
            <w:tcW w:w="6536" w:type="dxa"/>
            <w:noWrap w:val="0"/>
            <w:vAlign w:val="center"/>
          </w:tcPr>
          <w:p ns2:paraId="4FB21AFF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已完成整改，符合要求。</w:t>
            </w:r>
          </w:p>
          <w:p ns2:paraId="0E40229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A8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未完成整改，不符合要求。</w:t>
            </w:r>
          </w:p>
          <w:p ns2:paraId="1FF521F5">
            <w:pPr>
              <w:spacing w:line="0" w:lineRule="atLeast"/>
              <w:ind w:firstLine="280" w:firstLineChars="100"/>
              <w:jc w:val="left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sym w:font="Wingdings" w:char="00FE"/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部分完成整改，其他正在整改中。</w:t>
            </w:r>
          </w:p>
        </w:tc>
      </w:tr>
      <w:tr ns2:paraId="0760E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</w:trPr>
        <w:tc>
          <w:tcPr>
            <w:tcW w:w="1983" w:type="dxa"/>
            <w:noWrap w:val="0"/>
            <w:vAlign w:val="center"/>
          </w:tcPr>
          <w:p ns2:paraId="480E11AA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备注</w:t>
            </w:r>
          </w:p>
        </w:tc>
        <w:tc>
          <w:tcPr>
            <w:tcW w:w="6536" w:type="dxa"/>
            <w:noWrap w:val="0"/>
            <w:vAlign w:val="center"/>
          </w:tcPr>
          <w:p ns2:paraId="616CBD2E">
            <w:pPr>
              <w:spacing w:line="0" w:lineRule="atLeast"/>
              <w:rPr>
                <w:rFonts w:ascii="仿宋_GB2312" w:hAnsi="宋体" w:eastAsia="仿宋_GB2312" w:cs="宋体"/>
                <w:sz w:val="28"/>
                <w:szCs w:val="28"/>
              </w:rPr>
            </w:pPr>
          </w:p>
        </w:tc>
      </w:tr>
      <w:tr ns2:paraId="3B32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983" w:type="dxa"/>
            <w:noWrap w:val="0"/>
            <w:vAlign w:val="center"/>
          </w:tcPr>
          <w:p ns2:paraId="49E5768B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复查人员</w:t>
            </w:r>
          </w:p>
          <w:p ns2:paraId="04E22C12">
            <w:pPr>
              <w:spacing w:line="0" w:lineRule="atLeast"/>
              <w:jc w:val="center"/>
              <w:rPr>
                <w:rFonts w:ascii="仿宋_GB2312" w:hAnsi="宋体" w:eastAsia="仿宋_GB2312" w:cs="宋体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sz w:val="28"/>
                <w:szCs w:val="28"/>
              </w:rPr>
              <w:t>（姓名、日期）</w:t>
            </w:r>
          </w:p>
        </w:tc>
        <w:tc>
          <w:tcPr>
            <w:tcW w:w="6536" w:type="dxa"/>
            <w:noWrap w:val="0"/>
            <w:vAlign w:val="center"/>
          </w:tcPr>
          <w:p ns2:paraId="172C8F46">
            <w:pPr>
              <w:spacing w:line="0" w:lineRule="atLeast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202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年 </w:t>
            </w:r>
            <w:r>
              <w:rPr>
                <w:rFonts w:ascii="仿宋_GB2312" w:hAnsi="宋体" w:eastAsia="仿宋_GB2312" w:cs="宋体"/>
                <w:sz w:val="28"/>
                <w:szCs w:val="28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月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>日</w:t>
            </w:r>
          </w:p>
        </w:tc>
      </w:tr>
    </w:tbl>
    <w:p ns2:paraId="68F7D2E0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3" w:bottom="1440" w:left="1803" w:header="851" w:footer="992" w:gutter="0"/>
      <w:paperSrc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6F578">
    <w:pPr>
      <w:spacing w:line="216" w:lineRule="auto"/>
      <w:ind w:left="148"/>
      <w:rPr>
        <w:rFonts w:ascii="Arial" w:hAnsi="Arial" w:eastAsia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F56CD">
    <w:pPr>
      <w:spacing w:line="216" w:lineRule="auto"/>
      <w:ind w:left="148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44F2F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AQSiza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D44F2F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90C21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B0CD6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Bllm87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BB0CD6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                                                            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3681E">
    <w:pPr>
      <w:spacing w:line="216" w:lineRule="auto"/>
      <w:ind w:left="9029"/>
      <w:rPr>
        <w:rFonts w:ascii="Arial" w:hAnsi="Arial" w:eastAsia="Arial" w:cs="Arial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835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CrKrll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67835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43C72">
    <w:pPr>
      <w:spacing w:before="54" w:line="241" w:lineRule="auto"/>
      <w:rPr>
        <w:rFonts w:ascii="Arial" w:hAnsi="Arial" w:eastAsia="Arial" w:cs="Arial"/>
        <w:sz w:val="19"/>
        <w:szCs w:val="19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2BF45">
    <w:pPr>
      <w:spacing w:before="54" w:line="241" w:lineRule="auto"/>
      <w:ind w:right="20"/>
      <w:jc w:val="center"/>
      <w:rPr>
        <w:rFonts w:ascii="Arial" w:hAnsi="Arial" w:eastAsia="Arial" w:cs="Arial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9DB8ED"/>
    <w:multiLevelType w:val="singleLevel"/>
    <w:tmpl w:val="EB9DB8E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948F26B"/>
    <w:multiLevelType w:val="singleLevel"/>
    <w:tmpl w:val="1948F26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hyphenationZone w:val="360"/>
  <w:drawingGridVerticalSpacing w:val="159"/>
  <w:displayHorizontalDrawingGridEvery w:val="1"/>
  <w:displayVerticalDrawingGridEvery w:val="2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44C3B"/>
    <w:rsid w:val="001C6D02"/>
    <w:rsid w:val="064F49ED"/>
    <w:rsid w:val="07F97353"/>
    <w:rsid w:val="08907C6B"/>
    <w:rsid w:val="0CEC4CFA"/>
    <w:rsid w:val="0D933D59"/>
    <w:rsid w:val="12F731AE"/>
    <w:rsid w:val="13765233"/>
    <w:rsid w:val="17551F9E"/>
    <w:rsid w:val="1FE66D9C"/>
    <w:rsid w:val="24AE0D27"/>
    <w:rsid w:val="2C55425C"/>
    <w:rsid w:val="319677F1"/>
    <w:rsid w:val="323A2FB9"/>
    <w:rsid w:val="36EC7A30"/>
    <w:rsid w:val="378A2E2C"/>
    <w:rsid w:val="3A900CF2"/>
    <w:rsid w:val="3D8A7CC2"/>
    <w:rsid w:val="3E630A5B"/>
    <w:rsid w:val="4952068F"/>
    <w:rsid w:val="4970227E"/>
    <w:rsid w:val="4C3D1DB0"/>
    <w:rsid w:val="4E134968"/>
    <w:rsid w:val="58F44C3B"/>
    <w:rsid w:val="5DDB6408"/>
    <w:rsid w:val="5E8D242E"/>
    <w:rsid w:val="62797F9D"/>
    <w:rsid w:val="631B5A25"/>
    <w:rsid w:val="640E2967"/>
    <w:rsid w:val="66014531"/>
    <w:rsid w:val="66C13CC1"/>
    <w:rsid w:val="687D22F9"/>
    <w:rsid w:val="6C8E2897"/>
    <w:rsid w:val="6C90660F"/>
    <w:rsid w:val="6DEC55B4"/>
    <w:rsid w:val="700C2451"/>
    <w:rsid w:val="747F58E7"/>
    <w:rsid w:val="7A0D5743"/>
    <w:rsid w:val="7C6668FD"/>
    <w:rsid w:val="7D5A61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Style w:val="9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微软雅黑" w:hAnsi="微软雅黑" w:eastAsia="微软雅黑" w:cs="微软雅黑"/>
      <w:sz w:val="27"/>
      <w:szCs w:val="27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2 Char"/>
    <w:link w:val="3"/>
    <w:uiPriority w:val="0"/>
    <w:rPr>
      <w:rFonts w:ascii="Arial" w:hAnsi="Arial" w:eastAsia="黑体"/>
      <w:b/>
      <w:sz w:val="32"/>
    </w:rPr>
  </w:style>
  <w:style w:type="paragraph" w:customStyle="1" w:styleId="14">
    <w:name w:val="Table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15">
    <w:name w:val="Table Normal"/>
    <w:unhideWhenUsed/>
    <w:qFormat/>
    <w:uiPriority w:val="0"/>
    <w:tblPr>
      <w:tblStyle w:val="9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3383</Words>
  <Characters>3562</Characters>
  <Lines>0</Lines>
  <Paragraphs>0</Paragraphs>
  <TotalTime>0</TotalTime>
  <ScaleCrop>false</ScaleCrop>
  <LinksUpToDate>false</LinksUpToDate>
  <CharactersWithSpaces>3861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2025-11-05T06:47:00Z</dcterms:created>
  <dc:creator>黄云研究院13924587868</dc:creator>
  <cp:lastModifiedBy>跳虫</cp:lastModifiedBy>
  <dcterms:modified xsi:type="dcterms:W3CDTF">2026-07-20T02:40:21Z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2082329991994D11A217B83AE0513775_13</vt:lpwstr>
  </property>
  <property fmtid="{D5CDD505-2E9C-101B-9397-08002B2CF9AE}" pid="4" name="KSOTemplateDocerSaveRecord">
    <vt:lpwstr>eyJoZGlkIjoiYTdkYTZlODA0YTU0NWU4YjkxNGEzM2FiMjc3M2E5MjEiLCJ1c2VySWQiOiIyMzUwNTM0MDEifQ==</vt:lpwstr>
  </property>
</Properties>
</file>