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openxmlformats.org/drawingml/2006/main" xmlns:ns6="http://schemas.openxmlformats.org/drawingml/2006/picture" xmlns:w="http://schemas.openxmlformats.org/wordprocessingml/2006/main" ns1:Ignorable="w14 w15 wp14">
  <w:body>
    <w:p ns2:paraId="3485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auto"/>
          <w:w w:val="80"/>
          <w:sz w:val="72"/>
          <w:szCs w:val="72"/>
        </w:rPr>
      </w:pPr>
    </w:p>
    <w:p ns2:paraId="455B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FF0000"/>
          <w:w w:val="80"/>
          <w:sz w:val="28"/>
          <w:szCs w:val="28"/>
          <w:lang w:eastAsia="zh-CN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</w:rPr>
        <w:t>202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5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年深圳市气象灾害</w:t>
      </w:r>
    </w:p>
    <w:p ns2:paraId="5FA0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color w:val="auto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防御（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防雷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）重点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单位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工作台账</w:t>
      </w:r>
      <w:r>
        <w:rPr>
          <w:rFonts w:hint="eastAsia"/>
          <w:color w:val="auto"/>
          <w:sz w:val="72"/>
          <w:szCs w:val="72"/>
        </w:rPr>
        <w:t xml:space="preserve"> </w:t>
      </w:r>
      <w:r>
        <w:rPr>
          <w:rFonts w:hint="eastAsia"/>
          <w:color w:val="auto"/>
        </w:rPr>
        <w:t xml:space="preserve">        </w:t>
      </w:r>
    </w:p>
    <w:p ns2:paraId="20CB42AF">
      <w:pPr>
        <w:rPr>
          <w:b/>
          <w:bCs/>
          <w:color w:val="auto"/>
          <w:sz w:val="48"/>
          <w:szCs w:val="48"/>
        </w:rPr>
      </w:pPr>
    </w:p>
    <w:p ns2:paraId="633C8C41">
      <w:pPr>
        <w:rPr>
          <w:rFonts w:ascii="仿宋" w:hAnsi="仿宋" w:eastAsia="仿宋" w:cs="Arial"/>
          <w:color w:val="auto"/>
          <w:sz w:val="32"/>
          <w:szCs w:val="32"/>
          <w:shd w:val="clear" w:color="auto" w:fill="FFFFFF"/>
        </w:rPr>
      </w:pPr>
    </w:p>
    <w:p ns2:paraId="2B3985E1">
      <w:pPr>
        <w:rPr>
          <w:b/>
          <w:bCs/>
          <w:color w:val="auto"/>
          <w:sz w:val="48"/>
          <w:szCs w:val="48"/>
        </w:rPr>
      </w:pPr>
    </w:p>
    <w:p ns2:paraId="0EC719B1">
      <w:pPr>
        <w:rPr>
          <w:b/>
          <w:bCs/>
          <w:color w:val="auto"/>
          <w:sz w:val="48"/>
          <w:szCs w:val="48"/>
        </w:rPr>
      </w:pPr>
    </w:p>
    <w:p ns2:paraId="053091A7">
      <w:pPr>
        <w:rPr>
          <w:b/>
          <w:bCs/>
          <w:color w:val="auto"/>
          <w:sz w:val="48"/>
          <w:szCs w:val="48"/>
        </w:rPr>
      </w:pPr>
    </w:p>
    <w:p ns2:paraId="4055EC39">
      <w:pPr>
        <w:rPr>
          <w:b/>
          <w:bCs/>
          <w:color w:val="auto"/>
          <w:sz w:val="48"/>
          <w:szCs w:val="48"/>
        </w:rPr>
      </w:pPr>
    </w:p>
    <w:p ns2:paraId="03EC4599">
      <w:pPr>
        <w:pStyle w:val="6"/>
        <w:tabs>
          <w:tab w:val="left" w:pos="562"/>
          <w:tab w:val="left" w:pos="3372"/>
          <w:tab w:val="left" w:pos="3653"/>
        </w:tabs>
      </w:pPr>
    </w:p>
    <w:p ns2:paraId="63706E6C">
      <w:pPr>
        <w:pStyle w:val="6"/>
        <w:tabs>
          <w:tab w:val="left" w:pos="562"/>
          <w:tab w:val="left" w:pos="3372"/>
          <w:tab w:val="left" w:pos="3653"/>
        </w:tabs>
      </w:pPr>
    </w:p>
    <w:p ns2:paraId="5FA2DF61">
      <w:pPr>
        <w:pStyle w:val="6"/>
        <w:tabs>
          <w:tab w:val="left" w:pos="562"/>
          <w:tab w:val="left" w:pos="3372"/>
          <w:tab w:val="left" w:pos="3653"/>
        </w:tabs>
      </w:pPr>
    </w:p>
    <w:p ns2:paraId="2F93F13A">
      <w:pPr>
        <w:pStyle w:val="6"/>
        <w:tabs>
          <w:tab w:val="left" w:pos="562"/>
          <w:tab w:val="left" w:pos="3372"/>
          <w:tab w:val="left" w:pos="3653"/>
        </w:tabs>
      </w:pPr>
    </w:p>
    <w:p ns2:paraId="5AAD1D3E">
      <w:pPr>
        <w:pStyle w:val="6"/>
        <w:tabs>
          <w:tab w:val="left" w:pos="562"/>
          <w:tab w:val="left" w:pos="3372"/>
          <w:tab w:val="left" w:pos="3653"/>
        </w:tabs>
      </w:pPr>
    </w:p>
    <w:p ns2:paraId="6850CF95">
      <w:pPr>
        <w:rPr>
          <w:b/>
          <w:bCs/>
          <w:color w:val="auto"/>
          <w:sz w:val="48"/>
          <w:szCs w:val="48"/>
        </w:rPr>
      </w:pPr>
    </w:p>
    <w:p ns2:paraId="6F94E0C8">
      <w:pPr>
        <w:jc w:val="center"/>
        <w:rPr>
          <w:b/>
          <w:bCs/>
          <w:color w:val="auto"/>
          <w:sz w:val="48"/>
          <w:szCs w:val="48"/>
        </w:rPr>
      </w:pPr>
    </w:p>
    <w:p ns2:paraId="0169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default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32"/>
          <w:szCs w:val="32"/>
        </w:rPr>
        <w:t>单位名称：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64D6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</w:p>
    <w:p ns2:paraId="2E37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所属街道：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5D42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</w:rPr>
      </w:pPr>
    </w:p>
    <w:p ns2:paraId="759B4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建档日期：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>202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年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月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日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</w:t>
      </w:r>
    </w:p>
    <w:p ns2:paraId="235F8180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</w:p>
    <w:p ns2:paraId="38B6CDDA">
      <w:pPr>
        <w:rPr>
          <w:color w:val="auto"/>
        </w:rPr>
      </w:pPr>
    </w:p>
    <w:p ns2:paraId="24679061">
      <w:pPr>
        <w:rPr>
          <w:color w:val="auto"/>
        </w:rPr>
      </w:pPr>
    </w:p>
    <w:p ns2:paraId="5F88F092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06842139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19D6431C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</w:rPr>
        <w:t>气象灾害防御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（</w:t>
      </w: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防雷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）</w:t>
      </w:r>
      <w:r>
        <w:rPr>
          <w:rFonts w:hint="eastAsia" w:ascii="黑体" w:hAnsi="黑体" w:eastAsia="黑体" w:cs="宋体"/>
          <w:bCs/>
          <w:color w:val="auto"/>
          <w:sz w:val="44"/>
        </w:rPr>
        <w:t>重点单位</w:t>
      </w:r>
    </w:p>
    <w:p ns2:paraId="5FB2E3B1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风险评估</w:t>
      </w:r>
      <w:r>
        <w:rPr>
          <w:rFonts w:hint="eastAsia" w:ascii="黑体" w:hAnsi="黑体" w:eastAsia="黑体" w:cs="宋体"/>
          <w:bCs/>
          <w:color w:val="auto"/>
          <w:sz w:val="44"/>
        </w:rPr>
        <w:t>资料目录</w:t>
      </w:r>
    </w:p>
    <w:p ns2:paraId="46A730A0">
      <w:pPr>
        <w:tabs>
          <w:tab w:val="left" w:pos="1470"/>
          <w:tab w:val="center" w:pos="4422"/>
        </w:tabs>
        <w:jc w:val="center"/>
        <w:rPr>
          <w:rFonts w:ascii="宋体" w:hAnsi="宋体"/>
          <w:color w:val="auto"/>
          <w:szCs w:val="21"/>
        </w:rPr>
      </w:pPr>
    </w:p>
    <w:tbl>
      <w:tblPr>
        <w:tblStyle w:val="9"/>
        <w:tblpPr w:leftFromText="180" w:rightFromText="180" w:vertAnchor="text" w:tblpXSpec="center" w:tblpY="1"/>
        <w:tblOverlap w:val="never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5366"/>
        <w:gridCol w:w="1967"/>
      </w:tblGrid>
      <w:tr ns2:paraId="6CD9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top"/>
          </w:tcPr>
          <w:p ns2:paraId="7EEAD155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5366" w:type="dxa"/>
            <w:noWrap w:val="0"/>
            <w:vAlign w:val="top"/>
          </w:tcPr>
          <w:p ns2:paraId="346E000E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资 料 名 称</w:t>
            </w:r>
          </w:p>
        </w:tc>
        <w:tc>
          <w:tcPr>
            <w:tcW w:w="1967" w:type="dxa"/>
            <w:noWrap w:val="0"/>
            <w:vAlign w:val="top"/>
          </w:tcPr>
          <w:p ns2:paraId="44B374AD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备注</w:t>
            </w:r>
          </w:p>
        </w:tc>
      </w:tr>
      <w:tr ns2:paraId="2F66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960" w:type="dxa"/>
            <w:noWrap w:val="0"/>
            <w:vAlign w:val="center"/>
          </w:tcPr>
          <w:p ns2:paraId="63E063A9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</w:p>
        </w:tc>
        <w:tc>
          <w:tcPr>
            <w:tcW w:w="5366" w:type="dxa"/>
            <w:noWrap w:val="0"/>
            <w:vAlign w:val="center"/>
          </w:tcPr>
          <w:p ns2:paraId="104D9904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气象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灾害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防御（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防雷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）重点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单位风险评估报告</w:t>
            </w:r>
          </w:p>
        </w:tc>
        <w:tc>
          <w:tcPr>
            <w:tcW w:w="1967" w:type="dxa"/>
            <w:noWrap w:val="0"/>
            <w:vAlign w:val="center"/>
          </w:tcPr>
          <w:p ns2:paraId="31DCE53D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7D1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60" w:type="dxa"/>
            <w:noWrap w:val="0"/>
            <w:vAlign w:val="center"/>
          </w:tcPr>
          <w:p ns2:paraId="6C25E61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</w:t>
            </w:r>
          </w:p>
        </w:tc>
        <w:tc>
          <w:tcPr>
            <w:tcW w:w="5366" w:type="dxa"/>
            <w:noWrap w:val="0"/>
            <w:vAlign w:val="center"/>
          </w:tcPr>
          <w:p ns2:paraId="3841CE65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企业基础信息收集表</w:t>
            </w:r>
          </w:p>
        </w:tc>
        <w:tc>
          <w:tcPr>
            <w:tcW w:w="1967" w:type="dxa"/>
            <w:noWrap w:val="0"/>
            <w:vAlign w:val="center"/>
          </w:tcPr>
          <w:p ns2:paraId="58BAB7B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E76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0" w:type="dxa"/>
            <w:noWrap w:val="0"/>
            <w:vAlign w:val="center"/>
          </w:tcPr>
          <w:p ns2:paraId="0C1230F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3</w:t>
            </w:r>
          </w:p>
        </w:tc>
        <w:tc>
          <w:tcPr>
            <w:tcW w:w="5366" w:type="dxa"/>
            <w:noWrap w:val="0"/>
            <w:vAlign w:val="center"/>
          </w:tcPr>
          <w:p ns2:paraId="4C27C87B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附件2：气象灾害防御（防雷）重点单位风险评估法</w:t>
            </w:r>
          </w:p>
        </w:tc>
        <w:tc>
          <w:tcPr>
            <w:tcW w:w="1967" w:type="dxa"/>
            <w:noWrap w:val="0"/>
            <w:vAlign w:val="center"/>
          </w:tcPr>
          <w:p ns2:paraId="2DF1491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6D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FCB391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4</w:t>
            </w:r>
          </w:p>
        </w:tc>
        <w:tc>
          <w:tcPr>
            <w:tcW w:w="5366" w:type="dxa"/>
            <w:noWrap w:val="0"/>
            <w:vAlign w:val="center"/>
          </w:tcPr>
          <w:p ns2:paraId="3C9AD90D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附件3：气象灾害防御（防雷）重点单位安全隐患排查表</w:t>
            </w:r>
          </w:p>
        </w:tc>
        <w:tc>
          <w:tcPr>
            <w:tcW w:w="1967" w:type="dxa"/>
            <w:noWrap w:val="0"/>
            <w:vAlign w:val="center"/>
          </w:tcPr>
          <w:p ns2:paraId="766FA3C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9A1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D515A3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5</w:t>
            </w:r>
          </w:p>
        </w:tc>
        <w:tc>
          <w:tcPr>
            <w:tcW w:w="5366" w:type="dxa"/>
            <w:noWrap w:val="0"/>
            <w:vAlign w:val="center"/>
          </w:tcPr>
          <w:p ns2:paraId="78DCB07E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附件4：现场检查与核对照片</w:t>
            </w:r>
          </w:p>
        </w:tc>
        <w:tc>
          <w:tcPr>
            <w:tcW w:w="1967" w:type="dxa"/>
            <w:noWrap w:val="0"/>
            <w:vAlign w:val="center"/>
          </w:tcPr>
          <w:p ns2:paraId="4FCA702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2E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5D60A4E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</w:t>
            </w:r>
          </w:p>
        </w:tc>
        <w:tc>
          <w:tcPr>
            <w:tcW w:w="5366" w:type="dxa"/>
            <w:noWrap w:val="0"/>
            <w:vAlign w:val="center"/>
          </w:tcPr>
          <w:p ns2:paraId="392DD04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</w:t>
            </w: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件5：气象灾害防御（防雷）重点单位风险分类分级管控清单</w:t>
            </w:r>
          </w:p>
        </w:tc>
        <w:tc>
          <w:tcPr>
            <w:tcW w:w="1967" w:type="dxa"/>
            <w:noWrap w:val="0"/>
            <w:vAlign w:val="center"/>
          </w:tcPr>
          <w:p ns2:paraId="60AAEDE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F37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0BB71C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7</w:t>
            </w:r>
          </w:p>
        </w:tc>
        <w:tc>
          <w:tcPr>
            <w:tcW w:w="5366" w:type="dxa"/>
            <w:noWrap w:val="0"/>
            <w:vAlign w:val="center"/>
          </w:tcPr>
          <w:p ns2:paraId="77B5699C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附件6：风险四色图</w:t>
            </w:r>
          </w:p>
        </w:tc>
        <w:tc>
          <w:tcPr>
            <w:tcW w:w="1967" w:type="dxa"/>
            <w:noWrap w:val="0"/>
            <w:vAlign w:val="center"/>
          </w:tcPr>
          <w:p ns2:paraId="15767037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1A8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60" w:type="dxa"/>
            <w:noWrap w:val="0"/>
            <w:vAlign w:val="center"/>
          </w:tcPr>
          <w:p ns2:paraId="26A93B3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8</w:t>
            </w:r>
          </w:p>
        </w:tc>
        <w:tc>
          <w:tcPr>
            <w:tcW w:w="5366" w:type="dxa"/>
            <w:noWrap w:val="0"/>
            <w:vAlign w:val="center"/>
          </w:tcPr>
          <w:p ns2:paraId="5600592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附件7：气象灾害防御（防雷）重点单位安全隐患排查及整改措施记录</w:t>
            </w:r>
          </w:p>
        </w:tc>
        <w:tc>
          <w:tcPr>
            <w:tcW w:w="1967" w:type="dxa"/>
            <w:noWrap w:val="0"/>
            <w:vAlign w:val="center"/>
          </w:tcPr>
          <w:p ns2:paraId="0E78769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5CE4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noWrap w:val="0"/>
            <w:vAlign w:val="center"/>
          </w:tcPr>
          <w:p ns2:paraId="7BA6743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9</w:t>
            </w:r>
          </w:p>
        </w:tc>
        <w:tc>
          <w:tcPr>
            <w:tcW w:w="5366" w:type="dxa"/>
            <w:noWrap w:val="0"/>
            <w:vAlign w:val="center"/>
          </w:tcPr>
          <w:p ns2:paraId="089D0A2E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附件8：气象灾害防御（防雷）重点单位安全隐患复查记录</w:t>
            </w:r>
          </w:p>
        </w:tc>
        <w:tc>
          <w:tcPr>
            <w:tcW w:w="1967" w:type="dxa"/>
            <w:noWrap w:val="0"/>
            <w:vAlign w:val="center"/>
          </w:tcPr>
          <w:p ns2:paraId="1A40924C">
            <w:pPr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ns2:paraId="5EB2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936047F">
            <w:pPr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10</w:t>
            </w:r>
          </w:p>
        </w:tc>
        <w:tc>
          <w:tcPr>
            <w:tcW w:w="5366" w:type="dxa"/>
            <w:noWrap w:val="0"/>
            <w:vAlign w:val="center"/>
          </w:tcPr>
          <w:p ns2:paraId="074A9344">
            <w:pPr>
              <w:spacing w:line="0" w:lineRule="atLeast"/>
              <w:jc w:val="both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21CC8B7F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E11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5247F5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11</w:t>
            </w:r>
          </w:p>
        </w:tc>
        <w:tc>
          <w:tcPr>
            <w:tcW w:w="5366" w:type="dxa"/>
            <w:noWrap w:val="0"/>
            <w:vAlign w:val="center"/>
          </w:tcPr>
          <w:p ns2:paraId="0EF7F707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7F20E371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3CBF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4A92B5A0">
            <w:pPr>
              <w:jc w:val="center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5366" w:type="dxa"/>
            <w:noWrap w:val="0"/>
            <w:vAlign w:val="center"/>
          </w:tcPr>
          <w:p ns2:paraId="2B62561B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13F8BB7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7220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1BE7FFF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5366" w:type="dxa"/>
            <w:noWrap w:val="0"/>
            <w:vAlign w:val="center"/>
          </w:tcPr>
          <w:p ns2:paraId="18B0FCAD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5584123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9B3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2B2FE8FB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5366" w:type="dxa"/>
            <w:noWrap w:val="0"/>
            <w:vAlign w:val="center"/>
          </w:tcPr>
          <w:p ns2:paraId="6817B12A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0B03A4D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</w:tbl>
    <w:p ns2:paraId="4DC1487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sectPr>
          <w:headerReference ns3:id="rId3" w:type="default"/>
          <w:footerReference ns3:id="rId4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2DA5B3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</w:pP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一、XXX公司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40"/>
          <w:szCs w:val="22"/>
        </w:rPr>
        <w:t>气象灾害防御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防雷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40"/>
          <w:szCs w:val="22"/>
        </w:rPr>
        <w:t>重点单位风险评估报告</w:t>
      </w:r>
    </w:p>
    <w:p ns2:paraId="514BFABA">
      <w:pPr>
        <w:pStyle w:val="3"/>
        <w:bidi w:val="0"/>
        <w:jc w:val="center"/>
      </w:pPr>
      <w:r>
        <w:t>第一章：编制目的</w:t>
      </w:r>
    </w:p>
    <w:p ns2:paraId="1A8B4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为防止和减少因雷电灾害造成的损失，保障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企业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财产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与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员工生命安全，确保生产装置、储设施及建（构）筑物的安全运行，依据国家相关法律法规及技术标准，特开展本次雷电灾害风险评估。本次评估旨在：</w:t>
      </w:r>
    </w:p>
    <w:p ns2:paraId="1B40B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识别风险：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科学识别和评估厂区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及重点部分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因雷击可能引发的火灾、爆炸、人员伤亡、设备损坏及生产中断等潜在风险。</w:t>
      </w:r>
    </w:p>
    <w:p ns2:paraId="11FF2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确定等级：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重点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区域的雷电灾害风险等级，为采取针对性的防护措施提供科学依据。</w:t>
      </w:r>
    </w:p>
    <w:p ns2:paraId="6861F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指导防护：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提出经济、合理、有效的雷电防护措施和风险管理建议，完善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气象（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安全管理制度。</w:t>
      </w:r>
    </w:p>
    <w:p ns2:paraId="210FD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落实责任：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强化企业安全生产主体责任，提升对自然灾害的预防和应对能力。</w:t>
      </w:r>
    </w:p>
    <w:p ns2:paraId="2F96FEA5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第二章：编制依据</w:t>
      </w:r>
    </w:p>
    <w:p ns2:paraId="661F3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本报告的编制主要依据以下法律法规和技术标准：</w:t>
      </w:r>
    </w:p>
    <w:p ns2:paraId="2C70F3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《中华人民共和国安全生产法》​​</w:t>
      </w:r>
    </w:p>
    <w:p ns2:paraId="412F3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《中华人民共和国气象法》​​</w:t>
      </w:r>
    </w:p>
    <w:p ns2:paraId="439949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《防雷减灾管理办法》（中国气象局令第24号）</w:t>
      </w:r>
    </w:p>
    <w:p ns2:paraId="5E7471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《危险化学品安全管理条例》</w:t>
      </w:r>
    </w:p>
    <w:p ns2:paraId="443F01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5、《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危险化学品重大危险源辨识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18218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868C3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6、《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建筑设计防火规范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50016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17231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《建筑物防雷设计规范》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50057-20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​​</w:t>
      </w:r>
    </w:p>
    <w:p ns2:paraId="1EDE6D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8、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《建筑物电子信息系统防雷技术规范》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50343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63ED5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9、《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建筑物雷电防护装置检测技术规范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21431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010404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10、《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雷电灾害应急处置规范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34312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-2022)</w:t>
      </w:r>
    </w:p>
    <w:p ns2:paraId="2FA827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《石油与石油设施雷电安全规范》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15599-2009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2FD9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《雷电灾害风险评估技术规范》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QX/T 85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B192E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13、《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防雷安全风险分级管控要求  油库、气库建设工程和场所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738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2024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4E8C650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14、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sz w:val="32"/>
          <w:szCs w:val="32"/>
        </w:rPr>
        <w:t>防雷安全风险分级管控要求   雷电易发区内旅游景点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sz w:val="32"/>
          <w:szCs w:val="32"/>
        </w:rPr>
        <w:t>Q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/T 742—2024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ns2:paraId="118498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15、《防雷安全重点单位雷电灾害防御工作指南》（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694—2023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）</w:t>
      </w:r>
    </w:p>
    <w:p ns2:paraId="3684D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16、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其他相关的地方性法规及行业标准。​</w:t>
      </w:r>
      <w:r>
        <w:rPr>
          <w:rFonts w:hint="default" w:ascii="Segoe UI" w:hAnsi="Segoe UI" w:eastAsia="Segoe UI" w:cs="Segoe UI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54DC5086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第三章：评估方法</w:t>
      </w:r>
    </w:p>
    <w:p ns2:paraId="0F78C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本次评估采用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与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现场勘查法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相结合的综合评估方法。</w:t>
      </w:r>
    </w:p>
    <w:p ns2:paraId="41C124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7EF200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风险（R）计算：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 xml:space="preserve">R = L ×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</w:p>
    <w:p ns2:paraId="231A0E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L（雷击可能性）：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根据当地气象部门提供的年平均雷暴日数、厂区地理位置、周边环境及建（构）筑物特性，评估雷击事件发生的可能性等级（可分为：极少、可能、较大可能、频繁）。</w:t>
      </w:r>
    </w:p>
    <w:p ns2:paraId="6DF2D0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（后果严重性）：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分析一旦发生雷击，可能造成的人员伤亡、财产损失、环境影响和生产中断的严重程度等级（可分为：轻微、一般、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、重大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特大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2C1A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将可能性和严重性等级代入风险矩阵，确定风险等级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（低风险、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较低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中等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较高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高风险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6F214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（二）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检查表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法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：</w:t>
      </w:r>
    </w:p>
    <w:p ns2:paraId="3BB228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通过对该企业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进行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核对与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重点检查：</w:t>
      </w:r>
    </w:p>
    <w:p ns2:paraId="6F4A23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现有防雷装置（接闪器、引下线、接地装置）的完好性和有效性。</w:t>
      </w:r>
    </w:p>
    <w:p ns2:paraId="6F5DFC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易燃易爆场所（储罐区、生产装置区）的防静电、等电位连接情况。</w:t>
      </w:r>
    </w:p>
    <w:p ns2:paraId="7B114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电气、仪表及信息系统的电涌保护器（SPD）配置情况。</w:t>
      </w:r>
    </w:p>
    <w:p ns2:paraId="0D224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安全管理制度的建立与执行情况。</w:t>
      </w:r>
    </w:p>
    <w:p ns2:paraId="24134B6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4、核对防雷装置（设施）检测情况、防雷安全管理制度建立及执行情况等。</w:t>
      </w:r>
    </w:p>
    <w:p ns2:paraId="58731A4D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   5、现场检查核对防雷安全管理制度、应急管理体系等建立及执行情况等。</w:t>
      </w:r>
    </w:p>
    <w:p ns2:paraId="2361E33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第四章：企业概况与现场勘查情况</w:t>
      </w:r>
    </w:p>
    <w:p ns2:paraId="160DD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企业概况：​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067E1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公司名称：XX化工有限公司</w:t>
      </w:r>
    </w:p>
    <w:p ns2:paraId="382AC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主要危险化学品：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苯、丙烯、液化石油气等。</w:t>
      </w:r>
    </w:p>
    <w:p ns2:paraId="25E28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主要设施：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原料储罐区、生产装置区、成品仓库、中央控制室、配电房等。</w:t>
      </w:r>
    </w:p>
    <w:p ns2:paraId="23F67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地理位置：位于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深圳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地区，属多雷暴区域，年平均雷暴日为</w:t>
      </w:r>
      <w:r>
        <w:rPr>
          <w:rFonts w:hint="eastAsia" w:ascii="仿宋" w:hAnsi="仿宋" w:eastAsia="仿宋" w:cs="仿宋"/>
          <w:i w:val="0"/>
          <w:iCs w:val="0"/>
          <w:caps w:val="0"/>
          <w:color w:val="C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70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天。</w:t>
      </w:r>
    </w:p>
    <w:p ns2:paraId="63C169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查情况：​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443814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储罐区：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设有独立避雷针，接地电阻经检测为8Ω（略高于规范要求的≤10Ω）。呼吸阀、量油孔等金属部件未全部进行等电位连接。</w:t>
      </w:r>
    </w:p>
    <w:p ns2:paraId="0DE90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生产装置区：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框架结构利用自身金属体作为接闪器，但部分引下线有锈蚀现象。部分仪表线缆屏蔽层接地不完善。</w:t>
      </w:r>
    </w:p>
    <w:p ns2:paraId="363390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中央控制室（DCS系统）：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电源进线端已安装第一级SPD，但大部分重要控制柜未安装第二级SPD。机房接地与建筑主接地连接良好。</w:t>
      </w:r>
    </w:p>
    <w:p ns2:paraId="22B64B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配电房：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高压进线有阀式避雷器，低压总配电柜安装了SPD，但部分分配电箱未设置SPD。</w:t>
      </w:r>
    </w:p>
    <w:p ns2:paraId="01D22A79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第五章：雷电灾害风险识别与评估</w:t>
      </w:r>
    </w:p>
    <w:p ns2:paraId="00652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根据评估方法，对该公司重点区域的风险评估结果如下：</w:t>
      </w:r>
    </w:p>
    <w:tbl>
      <w:tblPr>
        <w:tblStyle w:val="10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6"/>
        <w:gridCol w:w="1303"/>
        <w:gridCol w:w="1367"/>
        <w:gridCol w:w="1203"/>
        <w:gridCol w:w="4429"/>
      </w:tblGrid>
      <w:tr ns2:paraId="3278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  <w:jc w:val="center"/>
        </w:trPr>
        <w:tc>
          <w:tcPr>
            <w:tcW w:w="1356" w:type="dxa"/>
            <w:noWrap w:val="0"/>
            <w:vAlign w:val="center"/>
          </w:tcPr>
          <w:p ns2:paraId="25076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评估单元</w:t>
            </w:r>
          </w:p>
        </w:tc>
        <w:tc>
          <w:tcPr>
            <w:tcW w:w="1303" w:type="dxa"/>
            <w:noWrap w:val="0"/>
            <w:vAlign w:val="center"/>
          </w:tcPr>
          <w:p ns2:paraId="42B8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雷击可能性（L）</w:t>
            </w:r>
          </w:p>
        </w:tc>
        <w:tc>
          <w:tcPr>
            <w:tcW w:w="1367" w:type="dxa"/>
            <w:noWrap w:val="0"/>
            <w:vAlign w:val="center"/>
          </w:tcPr>
          <w:p ns2:paraId="42B0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后果严重性（S）</w:t>
            </w:r>
          </w:p>
        </w:tc>
        <w:tc>
          <w:tcPr>
            <w:tcW w:w="1203" w:type="dxa"/>
            <w:noWrap w:val="0"/>
            <w:vAlign w:val="center"/>
          </w:tcPr>
          <w:p ns2:paraId="3F40F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风险等级（R）</w:t>
            </w:r>
          </w:p>
        </w:tc>
        <w:tc>
          <w:tcPr>
            <w:tcW w:w="4429" w:type="dxa"/>
            <w:noWrap w:val="0"/>
            <w:vAlign w:val="center"/>
          </w:tcPr>
          <w:p ns2:paraId="36DD2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主要风险分析</w:t>
            </w:r>
          </w:p>
        </w:tc>
      </w:tr>
      <w:tr ns2:paraId="73BB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1356" w:type="dxa"/>
            <w:noWrap w:val="0"/>
            <w:vAlign w:val="center"/>
          </w:tcPr>
          <w:p ns2:paraId="42D0F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储罐区</w:t>
            </w:r>
          </w:p>
        </w:tc>
        <w:tc>
          <w:tcPr>
            <w:tcW w:w="1303" w:type="dxa"/>
            <w:noWrap w:val="0"/>
            <w:vAlign w:val="center"/>
          </w:tcPr>
          <w:p ns2:paraId="663F8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65047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特大</w:t>
            </w:r>
          </w:p>
        </w:tc>
        <w:tc>
          <w:tcPr>
            <w:tcW w:w="1203" w:type="dxa"/>
            <w:noWrap w:val="0"/>
            <w:vAlign w:val="center"/>
          </w:tcPr>
          <w:p ns2:paraId="154A4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高风险</w:t>
            </w:r>
          </w:p>
        </w:tc>
        <w:tc>
          <w:tcPr>
            <w:tcW w:w="4429" w:type="dxa"/>
            <w:noWrap w:val="0"/>
            <w:vAlign w:val="center"/>
          </w:tcPr>
          <w:p ns2:paraId="1872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雷击可能直接击中储罐或呼吸阀，产生火花，引燃挥发的可燃气体，导致灾难性火灾爆炸。接地电阻偏高、等电位连接不完善加剧了风险。</w:t>
            </w:r>
          </w:p>
        </w:tc>
      </w:tr>
      <w:tr ns2:paraId="5D9B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1A422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生产装置区</w:t>
            </w:r>
          </w:p>
        </w:tc>
        <w:tc>
          <w:tcPr>
            <w:tcW w:w="1303" w:type="dxa"/>
            <w:noWrap w:val="0"/>
            <w:vAlign w:val="center"/>
          </w:tcPr>
          <w:p ns2:paraId="321F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627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3DB9B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06AF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雷击可能损坏生产设备，导致有毒有害物质泄漏或非计划停产。雷击电磁脉冲可能干扰或损坏控制系统，引发误动作。</w:t>
            </w:r>
          </w:p>
        </w:tc>
      </w:tr>
      <w:tr ns2:paraId="1E0B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6D4B0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中央控制室</w:t>
            </w:r>
          </w:p>
        </w:tc>
        <w:tc>
          <w:tcPr>
            <w:tcW w:w="1303" w:type="dxa"/>
            <w:noWrap w:val="0"/>
            <w:vAlign w:val="center"/>
          </w:tcPr>
          <w:p ns2:paraId="58551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C8E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083FC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3B11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雷击电磁脉冲可能通过电源线、信号线侵入，损坏精密的DCS、SIS系统，导致全厂生产瘫痪，甚至引发安全事故。</w:t>
            </w:r>
          </w:p>
        </w:tc>
      </w:tr>
      <w:tr ns2:paraId="49FE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5A9D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成品（中间）仓</w:t>
            </w:r>
          </w:p>
        </w:tc>
        <w:tc>
          <w:tcPr>
            <w:tcW w:w="1303" w:type="dxa"/>
            <w:noWrap w:val="0"/>
            <w:vAlign w:val="center"/>
          </w:tcPr>
          <w:p ns2:paraId="76E3D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26843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严重</w:t>
            </w:r>
          </w:p>
        </w:tc>
        <w:tc>
          <w:tcPr>
            <w:tcW w:w="1203" w:type="dxa"/>
            <w:noWrap w:val="0"/>
            <w:vAlign w:val="center"/>
          </w:tcPr>
          <w:p ns2:paraId="7C78F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中等风险</w:t>
            </w:r>
          </w:p>
        </w:tc>
        <w:tc>
          <w:tcPr>
            <w:tcW w:w="4429" w:type="dxa"/>
            <w:noWrap w:val="0"/>
            <w:vAlign w:val="center"/>
          </w:tcPr>
          <w:p ns2:paraId="144F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存放的为包装成品，风险相对较低，但雷击引发的火灾仍可能造成较大财产损失。</w:t>
            </w:r>
          </w:p>
        </w:tc>
      </w:tr>
      <w:tr ns2:paraId="5B5B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356" w:type="dxa"/>
            <w:noWrap w:val="0"/>
            <w:vAlign w:val="center"/>
          </w:tcPr>
          <w:p ns2:paraId="01D20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一般办公区</w:t>
            </w:r>
          </w:p>
        </w:tc>
        <w:tc>
          <w:tcPr>
            <w:tcW w:w="1303" w:type="dxa"/>
            <w:noWrap w:val="0"/>
            <w:vAlign w:val="center"/>
          </w:tcPr>
          <w:p ns2:paraId="5688C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极少</w:t>
            </w:r>
          </w:p>
        </w:tc>
        <w:tc>
          <w:tcPr>
            <w:tcW w:w="1367" w:type="dxa"/>
            <w:noWrap w:val="0"/>
            <w:vAlign w:val="center"/>
          </w:tcPr>
          <w:p ns2:paraId="42E65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轻微</w:t>
            </w:r>
          </w:p>
        </w:tc>
        <w:tc>
          <w:tcPr>
            <w:tcW w:w="1203" w:type="dxa"/>
            <w:noWrap w:val="0"/>
            <w:vAlign w:val="center"/>
          </w:tcPr>
          <w:p ns2:paraId="4523D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低风险</w:t>
            </w:r>
          </w:p>
        </w:tc>
        <w:tc>
          <w:tcPr>
            <w:tcW w:w="4429" w:type="dxa"/>
            <w:noWrap w:val="0"/>
            <w:vAlign w:val="center"/>
          </w:tcPr>
          <w:p ns2:paraId="0A7DA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风险可接受。</w:t>
            </w:r>
          </w:p>
        </w:tc>
      </w:tr>
    </w:tbl>
    <w:p ns2:paraId="17B74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360" w:lineRule="auto"/>
        <w:ind w:lef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综合评估结论：该公司雷电灾害总体风险水平为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较高风险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，其中原料储罐区为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高风险区域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，是安全管理的重中之重。</w:t>
      </w:r>
    </w:p>
    <w:p ns2:paraId="52EE0204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第六章：风险管理与控制措施​</w:t>
      </w:r>
    </w:p>
    <w:p ns2:paraId="78FD43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24" w:lineRule="atLeast"/>
        <w:ind w:left="0" w:firstLine="640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针对上述风险评估结果，提出以下风险管理措施：</w:t>
      </w:r>
    </w:p>
    <w:p ns2:paraId="599BB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（一） 技术措施（工程控制）</w:t>
      </w:r>
    </w:p>
    <w:p ns2:paraId="68A23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1、完善直击雷防护：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4EDF02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（1）立即对储罐区接地网进行改造，确保接地电阻值≤10Ω。</w:t>
      </w:r>
    </w:p>
    <w:p ns2:paraId="0C470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（2）对储罐的所有金属附件（呼吸阀、量油孔、护栏）进行可靠的等电位连接。</w:t>
      </w:r>
    </w:p>
    <w:p ns2:paraId="0B9DD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（3）对生产装置区锈蚀的引下线进行更换或防腐处理。</w:t>
      </w:r>
    </w:p>
    <w:p ns2:paraId="56D960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2、强化雷电电磁脉冲防护：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0705CF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（1）在中央控制室的重要机柜、配电房的分配电箱补充安装第二级、第三级电涌保护器（SPD），形成分级防护。</w:t>
      </w:r>
    </w:p>
    <w:p ns2:paraId="4BD37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（2）对所有进入控制室的信号线、通信线加装专用的信号SPD。</w:t>
      </w:r>
    </w:p>
    <w:p ns2:paraId="045332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（3）检查并完善仪表线缆的屏蔽接地。</w:t>
      </w:r>
    </w:p>
    <w:p ns2:paraId="5C7EB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3、规范防静电措施：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1DBB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定期检测储罐、管道、设备的静电接地，确保电阻值符合规范。</w:t>
      </w:r>
    </w:p>
    <w:p ns2:paraId="743FD5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（二） 管理措施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</w:t>
      </w:r>
    </w:p>
    <w:p ns2:paraId="4A6C56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1、健全制度：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修订《防雷防静电安全管理制度》，明确各部门职责、日常巡查、定期检测、维护保养要求。</w:t>
      </w:r>
    </w:p>
    <w:p ns2:paraId="5C08F6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2、应急响应：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完善《气象（雷电）灾害专项应急预案》，并定期组织演练。确保在雷暴预警时，能迅速启动应急程序，必要时停止高危作业。</w:t>
      </w:r>
    </w:p>
    <w:p ns2:paraId="087109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3、检测与档案：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委托具备资质的防雷检测机构，每年雷雨季节前对全厂防雷装置进行一次全面检测，并建立完整的技术档案。</w:t>
      </w:r>
    </w:p>
    <w:p ns2:paraId="3BDC3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4、培训教育：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定期对员工，特别是重点岗位员工进行防雷防静电安全知识培训，提高风险意识。</w:t>
      </w:r>
    </w:p>
    <w:p ns2:paraId="1CFC572C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第七章：结论与建议</w:t>
      </w:r>
    </w:p>
    <w:p ns2:paraId="06EBA7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1、结论：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该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公司面临的雷电灾害风险不容忽视，尤其是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highlight w:val="yellow"/>
          <w:shd w:val="clear" w:color="auto" w:fill="FFFFFF"/>
          <w:vertAlign w:val="baseline"/>
          <w:lang w:val="en-US" w:eastAsia="zh-CN" w:bidi="ar"/>
        </w:rPr>
        <w:t>原料储罐区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存在发生重大事故的潜在风险，必须立即采取有效措施进行整改。</w:t>
      </w:r>
    </w:p>
    <w:p ns2:paraId="625FD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2、建议：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3CBB9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（1）立即整改：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优先处理储罐区的接地和等电位连接问题，限期完成。</w:t>
      </w:r>
    </w:p>
    <w:p ns2:paraId="38FA8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（2）分批实施：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制定整改计划，分批对生产装置区、控制室的雷电电磁脉冲防护进行完善。</w:t>
      </w:r>
    </w:p>
    <w:p ns2:paraId="328AB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（3）投入保障：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确保防雷设施改造和维护的专项资金投入。</w:t>
      </w:r>
    </w:p>
    <w:p ns2:paraId="5591C9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（4）持续改进：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将雷电风险管理纳入企业HSE管理体系，实现动态化、常态化管理。</w:t>
      </w:r>
    </w:p>
    <w:p ns2:paraId="634CBC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附件1：企业基础信息收集表</w:t>
      </w:r>
    </w:p>
    <w:p ns2:paraId="1A5167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附件2：气象灾害（防雷）重点单位风险评估法</w:t>
      </w:r>
    </w:p>
    <w:p ns2:paraId="64E8C3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附件3：气象灾害（防雷）重点单位隐患排查表</w:t>
      </w:r>
    </w:p>
    <w:p ns2:paraId="4A8E3D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附件4：现场检查与核对照片</w:t>
      </w:r>
    </w:p>
    <w:p ns2:paraId="6237A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附件5：气象灾害防御（防雷）重点单位风险分类分级管控清单</w:t>
      </w:r>
    </w:p>
    <w:p ns2:paraId="1880D6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附件6：风险四色图</w:t>
      </w:r>
    </w:p>
    <w:p ns2:paraId="1E3619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附件7：气象灾害防御（防雷）重点单位安全隐患排查及整改措施记录</w:t>
      </w:r>
    </w:p>
    <w:p ns2:paraId="2E0B4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附件8：气象灾害防御（防雷）重点单位安全隐患复查记录</w:t>
      </w:r>
    </w:p>
    <w:p ns2:paraId="149C0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CF26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4800" w:firstLineChars="15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深圳市全民安全生产研究院</w:t>
      </w:r>
    </w:p>
    <w:p ns2:paraId="235A3D4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                                   2026年10月</w:t>
      </w:r>
    </w:p>
    <w:p ns2:paraId="65C344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4D7018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B3F488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C0C0D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5FB565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B4404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A95791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54E2748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0C9CD4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E5A33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F6056B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53C37F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97422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265415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ACAC25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BC5F33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D4487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23D5384F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91F793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F5EB851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365DE2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5C0440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2092706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39FB7">
      <w:pPr>
        <w:pStyle w:val="6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5F2B152">
      <w:pPr>
        <w:bidi w:val="0"/>
        <w:rPr>
          <w:rFonts w:hint="eastAsia"/>
          <w:lang w:val="en-US" w:eastAsia="zh-CN"/>
        </w:rPr>
      </w:pPr>
    </w:p>
    <w:p ns2:paraId="074280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eastAsia"/>
        </w:rPr>
      </w:pPr>
      <w:r>
        <w:rPr>
          <w:rFonts w:hint="eastAsia"/>
          <w:sz w:val="32"/>
          <w:szCs w:val="20"/>
          <w:lang w:val="en-US" w:eastAsia="zh-CN"/>
        </w:rPr>
        <w:t>附件1：</w:t>
      </w:r>
      <w:r>
        <w:rPr>
          <w:rFonts w:hint="eastAsia"/>
          <w:sz w:val="32"/>
          <w:szCs w:val="20"/>
        </w:rPr>
        <w:t>企业基础信息收集表</w:t>
      </w:r>
    </w:p>
    <w:p ns2:paraId="64594651">
      <w:pPr>
        <w:bidi w:val="0"/>
        <w:spacing w:line="360" w:lineRule="auto"/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40"/>
          <w:szCs w:val="48"/>
        </w:rPr>
        <w:t>企业基础信息收集表</w:t>
      </w:r>
    </w:p>
    <w:p ns2:paraId="79F2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仿宋_GB2312" w:hAnsi="黑体" w:eastAsia="仿宋_GB2312"/>
          <w:color w:val="auto"/>
          <w:sz w:val="28"/>
          <w:szCs w:val="28"/>
          <w:u w:val="single"/>
          <w:lang w:val="en-US"/>
        </w:rPr>
      </w:pPr>
      <w:r>
        <w:rPr>
          <w:rFonts w:hint="eastAsia" w:ascii="仿宋_GB2312" w:hAnsi="黑体" w:eastAsia="仿宋_GB2312"/>
          <w:color w:val="auto"/>
          <w:sz w:val="28"/>
          <w:szCs w:val="28"/>
        </w:rPr>
        <w:t>检查日期：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>2026.06.09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 xml:space="preserve">      </w:t>
      </w:r>
      <w:r>
        <w:rPr>
          <w:rFonts w:hint="eastAsia" w:ascii="仿宋_GB2312" w:hAnsi="黑体" w:eastAsia="仿宋_GB2312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>检查人：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 xml:space="preserve">  陈正龙、陈春兰           </w:t>
      </w:r>
    </w:p>
    <w:tbl>
      <w:tblPr>
        <w:tblStyle w:val="9"/>
        <w:tblW w:w="53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84"/>
        <w:gridCol w:w="1337"/>
        <w:gridCol w:w="1641"/>
        <w:gridCol w:w="1684"/>
        <w:gridCol w:w="1568"/>
        <w:gridCol w:w="1466"/>
        <w:gridCol w:w="1686"/>
      </w:tblGrid>
      <w:tr ns2:paraId="0BE3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313" w:type="pct"/>
            <w:vMerge w:val="restart"/>
            <w:noWrap w:val="0"/>
            <w:vAlign w:val="center"/>
          </w:tcPr>
          <w:p ns2:paraId="3DB8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基本</w:t>
            </w:r>
          </w:p>
          <w:p ns2:paraId="4DD98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1549" w:type="pct"/>
            <w:gridSpan w:val="3"/>
            <w:noWrap w:val="0"/>
            <w:vAlign w:val="center"/>
          </w:tcPr>
          <w:p ns2:paraId="51D4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单位名称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96C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深圳市欣峰热处理有限公司</w:t>
            </w:r>
          </w:p>
        </w:tc>
      </w:tr>
      <w:tr ns2:paraId="2CAF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3F18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49" w:type="pct"/>
            <w:gridSpan w:val="3"/>
            <w:noWrap w:val="0"/>
            <w:vAlign w:val="center"/>
          </w:tcPr>
          <w:p ns2:paraId="7A67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单位地址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7CD3A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深圳市宝安区燕罗街道塘下涌社区水泉路38号嘉业合成科创园c区一楼中间</w:t>
            </w:r>
          </w:p>
        </w:tc>
      </w:tr>
      <w:tr ns2:paraId="510F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D7DF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01464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法定代表人</w:t>
            </w:r>
          </w:p>
          <w:p ns2:paraId="2D89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(负责人)</w:t>
            </w:r>
          </w:p>
        </w:tc>
        <w:tc>
          <w:tcPr>
            <w:tcW w:w="804" w:type="pct"/>
            <w:noWrap w:val="0"/>
            <w:vAlign w:val="center"/>
          </w:tcPr>
          <w:p ns2:paraId="0EA09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曾啸</w:t>
            </w:r>
          </w:p>
        </w:tc>
        <w:tc>
          <w:tcPr>
            <w:tcW w:w="824" w:type="pct"/>
            <w:noWrap w:val="0"/>
            <w:vAlign w:val="center"/>
          </w:tcPr>
          <w:p ns2:paraId="283E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应急联系人</w:t>
            </w:r>
          </w:p>
        </w:tc>
        <w:tc>
          <w:tcPr>
            <w:tcW w:w="768" w:type="pct"/>
            <w:noWrap w:val="0"/>
            <w:vAlign w:val="center"/>
          </w:tcPr>
          <w:p ns2:paraId="0ABA1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AD72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安全员</w:t>
            </w:r>
          </w:p>
        </w:tc>
        <w:tc>
          <w:tcPr>
            <w:tcW w:w="825" w:type="pct"/>
            <w:noWrap w:val="0"/>
            <w:vAlign w:val="center"/>
          </w:tcPr>
          <w:p ns2:paraId="34CC8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黄金生</w:t>
            </w:r>
          </w:p>
        </w:tc>
      </w:tr>
      <w:tr ns2:paraId="3761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62B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34F84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04" w:type="pct"/>
            <w:noWrap w:val="0"/>
            <w:vAlign w:val="center"/>
          </w:tcPr>
          <w:p ns2:paraId="66AE6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13824311607</w:t>
            </w:r>
          </w:p>
        </w:tc>
        <w:tc>
          <w:tcPr>
            <w:tcW w:w="824" w:type="pct"/>
            <w:noWrap w:val="0"/>
            <w:vAlign w:val="center"/>
          </w:tcPr>
          <w:p ns2:paraId="1BBAF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68" w:type="pct"/>
            <w:noWrap w:val="0"/>
            <w:vAlign w:val="center"/>
          </w:tcPr>
          <w:p ns2:paraId="541B4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  <w:tc>
          <w:tcPr>
            <w:tcW w:w="718" w:type="pct"/>
            <w:noWrap w:val="0"/>
            <w:vAlign w:val="center"/>
          </w:tcPr>
          <w:p ns2:paraId="5C84C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59E20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13530567761</w:t>
            </w:r>
          </w:p>
        </w:tc>
      </w:tr>
      <w:tr ns2:paraId="70C0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0B46F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620F0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经营状态</w:t>
            </w:r>
          </w:p>
        </w:tc>
        <w:tc>
          <w:tcPr>
            <w:tcW w:w="804" w:type="pct"/>
            <w:noWrap w:val="0"/>
            <w:vAlign w:val="center"/>
          </w:tcPr>
          <w:p ns2:paraId="0DCCF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824" w:type="pct"/>
            <w:noWrap w:val="0"/>
            <w:vAlign w:val="center"/>
          </w:tcPr>
          <w:p ns2:paraId="40A86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自查自报工作人员</w:t>
            </w:r>
          </w:p>
        </w:tc>
        <w:tc>
          <w:tcPr>
            <w:tcW w:w="768" w:type="pct"/>
            <w:noWrap w:val="0"/>
            <w:vAlign w:val="center"/>
          </w:tcPr>
          <w:p ns2:paraId="4736F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3EBD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18E1D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</w:tr>
      <w:tr ns2:paraId="5EE3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421AA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社会统一信用代码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42BC5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91440300MA5G8CKE9L</w:t>
            </w:r>
          </w:p>
        </w:tc>
      </w:tr>
      <w:tr ns2:paraId="3AB4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01003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经纬度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77AAC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东经：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113°50′47″</w:t>
            </w:r>
          </w:p>
        </w:tc>
        <w:tc>
          <w:tcPr>
            <w:tcW w:w="2312" w:type="pct"/>
            <w:gridSpan w:val="3"/>
            <w:noWrap w:val="0"/>
            <w:vAlign w:val="center"/>
          </w:tcPr>
          <w:p ns2:paraId="3E66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北纬：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22°48′19″</w:t>
            </w:r>
          </w:p>
        </w:tc>
      </w:tr>
      <w:tr ns2:paraId="3626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732B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雷电监测设备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25E6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有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无</w:t>
            </w:r>
          </w:p>
        </w:tc>
        <w:tc>
          <w:tcPr>
            <w:tcW w:w="768" w:type="pct"/>
            <w:noWrap w:val="0"/>
            <w:vAlign w:val="center"/>
          </w:tcPr>
          <w:p ns2:paraId="6BDDC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是否</w:t>
            </w:r>
          </w:p>
          <w:p ns2:paraId="35E4C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正常运行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536AB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正常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非正常</w:t>
            </w:r>
          </w:p>
        </w:tc>
      </w:tr>
      <w:tr ns2:paraId="439B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03" w:type="pct"/>
            <w:gridSpan w:val="2"/>
            <w:vMerge w:val="restart"/>
            <w:noWrap w:val="0"/>
            <w:vAlign w:val="center"/>
          </w:tcPr>
          <w:p ns2:paraId="3C883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存放危险化学品</w:t>
            </w:r>
          </w:p>
        </w:tc>
        <w:tc>
          <w:tcPr>
            <w:tcW w:w="2284" w:type="pct"/>
            <w:gridSpan w:val="3"/>
            <w:noWrap w:val="0"/>
            <w:vAlign w:val="center"/>
          </w:tcPr>
          <w:p ns2:paraId="030AE23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是 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</w:p>
        </w:tc>
        <w:tc>
          <w:tcPr>
            <w:tcW w:w="768" w:type="pct"/>
            <w:noWrap w:val="0"/>
            <w:vAlign w:val="center"/>
          </w:tcPr>
          <w:p ns2:paraId="29250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危险化学品存放区域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2D940C2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露天储罐/构筑物 </w:t>
            </w:r>
          </w:p>
          <w:p ns2:paraId="1FE6832B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中间仓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埋地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中转仓</w:t>
            </w:r>
          </w:p>
        </w:tc>
      </w:tr>
      <w:tr ns2:paraId="5AC4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14D94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2B564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危险性类别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0C210AB9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甲类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乙、丙类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丁 、戊类及其他</w:t>
            </w:r>
          </w:p>
        </w:tc>
        <w:tc>
          <w:tcPr>
            <w:tcW w:w="768" w:type="pct"/>
            <w:noWrap w:val="0"/>
            <w:vAlign w:val="center"/>
          </w:tcPr>
          <w:p ns2:paraId="24774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防雷装置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03C13A1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接闪针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接闪带</w:t>
            </w:r>
          </w:p>
          <w:p ns2:paraId="2A95F00C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暗敷</w:t>
            </w:r>
          </w:p>
        </w:tc>
      </w:tr>
      <w:tr ns2:paraId="013E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01DAD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1E3E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毒性危害类别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370C79FF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类别1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2 </w:t>
            </w:r>
          </w:p>
          <w:p ns2:paraId="0E50C8E2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类别3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4</w:t>
            </w:r>
          </w:p>
          <w:p ns2:paraId="204C2937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仿宋_GB2312" w:hAnsi="等线" w:eastAsia="仿宋_GB2312" w:cs="等线"/>
                <w:color w:val="C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类别5 及其他</w:t>
            </w:r>
          </w:p>
        </w:tc>
        <w:tc>
          <w:tcPr>
            <w:tcW w:w="768" w:type="pct"/>
            <w:noWrap w:val="0"/>
            <w:vAlign w:val="center"/>
          </w:tcPr>
          <w:p ns2:paraId="5130A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危险工艺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4D955F05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连续操作</w:t>
            </w:r>
          </w:p>
          <w:p ns2:paraId="5078D3D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间歇操作</w:t>
            </w:r>
          </w:p>
        </w:tc>
      </w:tr>
      <w:tr ns2:paraId="57CF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BED0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重大危险源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5A5EF84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一级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二级 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三级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四级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不涉及</w:t>
            </w:r>
          </w:p>
        </w:tc>
      </w:tr>
      <w:tr ns2:paraId="3AF3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04D69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风险单元现场最大人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E91178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（0-10）人；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（10-30）人；</w:t>
            </w:r>
          </w:p>
          <w:p ns2:paraId="10210EC0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30人及以上</w:t>
            </w:r>
          </w:p>
        </w:tc>
      </w:tr>
      <w:tr ns2:paraId="2926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4F58E9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区域建筑物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020D6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区域建筑物面积：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600㎡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；2、建筑高度：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4m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</w:t>
            </w:r>
          </w:p>
          <w:p ns2:paraId="3D4B1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3、等效高度：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13m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 4、相对高度：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0m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  <w:tr ns2:paraId="77AA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95F8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周边地理情况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3C905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地势情况：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</w:p>
          <w:p ns2:paraId="1F121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周边高层建筑物；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临海；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山坡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孤立空旷；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高大树木遮挡；</w:t>
            </w:r>
          </w:p>
          <w:p ns2:paraId="74C40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最近直线距离的公共区域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：</w:t>
            </w:r>
          </w:p>
          <w:p ns2:paraId="2603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黑体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学校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机场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小区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加（充）油（气）站；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其它 </w:t>
            </w:r>
          </w:p>
        </w:tc>
      </w:tr>
      <w:tr ns2:paraId="7905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3882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是否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有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历史灾情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953A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 xml:space="preserve">有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>无</w:t>
            </w:r>
          </w:p>
          <w:p ns2:paraId="07A88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描述内容：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u w:val="none"/>
                <w:lang w:val="en-US" w:eastAsia="zh-CN"/>
              </w:rPr>
              <w:t xml:space="preserve">无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</w:t>
            </w:r>
          </w:p>
        </w:tc>
      </w:tr>
    </w:tbl>
    <w:p ns2:paraId="14A612C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附件2：气象灾害防御（防雷）重点单位风险评估法</w:t>
      </w:r>
    </w:p>
    <w:p ns2:paraId="3E02070A">
      <w:pPr>
        <w:bidi w:val="0"/>
        <w:spacing w:line="360" w:lineRule="auto"/>
        <w:jc w:val="center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气象灾害防御（防雷）重点单位风险评估法</w:t>
      </w:r>
    </w:p>
    <w:p ns2:paraId="6CB1AB67">
      <w:pPr>
        <w:pStyle w:val="3"/>
        <w:bidi w:val="0"/>
        <w:ind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1、雷电灾害事故发生可能性评估（L）</w:t>
      </w:r>
    </w:p>
    <w:p ns2:paraId="24EA407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3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雷电灾害事故发生可能性（L），主要考察雷击发生可能性等级（L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）、雷电防护装置现状(L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)、防雷安全管理制度建立及执行情况（L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）三个部分，最后按公式（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）。赋值与计算方法如下：</w:t>
      </w:r>
    </w:p>
    <w:p ns2:paraId="633DE047">
      <w:pPr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 A.1 雷电灾害事故发生可能性评价因子赋值</w:t>
      </w:r>
    </w:p>
    <w:tbl>
      <w:tblPr>
        <w:tblStyle w:val="15"/>
        <w:tblW w:w="995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1570"/>
        <w:gridCol w:w="1609"/>
        <w:gridCol w:w="1705"/>
        <w:gridCol w:w="682"/>
        <w:gridCol w:w="654"/>
        <w:gridCol w:w="682"/>
        <w:gridCol w:w="764"/>
      </w:tblGrid>
      <w:tr ns2:paraId="256ED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2285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13EB8A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评价因子</w:t>
            </w:r>
          </w:p>
        </w:tc>
        <w:tc>
          <w:tcPr>
            <w:tcW w:w="4884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4DBBCA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赋值</w:t>
            </w:r>
          </w:p>
        </w:tc>
        <w:tc>
          <w:tcPr>
            <w:tcW w:w="682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228F40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Ln</w:t>
            </w:r>
          </w:p>
        </w:tc>
        <w:tc>
          <w:tcPr>
            <w:tcW w:w="1336" w:type="dxa"/>
            <w:gridSpan w:val="2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AD185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权重</w:t>
            </w:r>
          </w:p>
          <w:p ns2:paraId="78D5D0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赋值（W）</w:t>
            </w:r>
          </w:p>
        </w:tc>
        <w:tc>
          <w:tcPr>
            <w:tcW w:w="764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657E688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F1C2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2285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0F2E2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1078B16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4476A5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37D32A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682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459B0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7AE5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764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85D3A5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ns2:paraId="20A05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2285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E3B3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雷击发生可能性等级</w:t>
            </w:r>
          </w:p>
        </w:tc>
        <w:tc>
          <w:tcPr>
            <w:tcW w:w="1570" w:type="dxa"/>
            <w:tcBorders>
              <w:top w:val="single" w:color="000000" w:sz="6" w:space="0"/>
            </w:tcBorders>
            <w:noWrap w:val="0"/>
            <w:vAlign w:val="center"/>
          </w:tcPr>
          <w:p ns2:paraId="162F1EB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Ⅲ</w:t>
            </w:r>
          </w:p>
        </w:tc>
        <w:tc>
          <w:tcPr>
            <w:tcW w:w="1609" w:type="dxa"/>
            <w:tcBorders>
              <w:top w:val="single" w:color="000000" w:sz="6" w:space="0"/>
            </w:tcBorders>
            <w:noWrap w:val="0"/>
            <w:vAlign w:val="center"/>
          </w:tcPr>
          <w:p ns2:paraId="3F8F6F6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Ⅱ</w:t>
            </w:r>
          </w:p>
        </w:tc>
        <w:tc>
          <w:tcPr>
            <w:tcW w:w="1705" w:type="dxa"/>
            <w:tcBorders>
              <w:top w:val="single" w:color="000000" w:sz="6" w:space="0"/>
            </w:tcBorders>
            <w:noWrap w:val="0"/>
            <w:vAlign w:val="center"/>
          </w:tcPr>
          <w:p ns2:paraId="7C04CB77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I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1147E5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6B308DC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4B12BA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0.2</w:t>
            </w:r>
          </w:p>
        </w:tc>
        <w:tc>
          <w:tcPr>
            <w:tcW w:w="76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E9FEE4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0.2</w:t>
            </w:r>
          </w:p>
        </w:tc>
      </w:tr>
      <w:tr ns2:paraId="673C89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  <w:jc w:val="center"/>
        </w:trPr>
        <w:tc>
          <w:tcPr>
            <w:tcW w:w="2285" w:type="dxa"/>
            <w:tcBorders>
              <w:left w:val="single" w:color="000000" w:sz="6" w:space="0"/>
            </w:tcBorders>
            <w:noWrap w:val="0"/>
            <w:vAlign w:val="center"/>
          </w:tcPr>
          <w:p ns2:paraId="65D668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雷电防护装置现状</w:t>
            </w:r>
          </w:p>
        </w:tc>
        <w:tc>
          <w:tcPr>
            <w:tcW w:w="1570" w:type="dxa"/>
            <w:noWrap w:val="0"/>
            <w:vAlign w:val="center"/>
          </w:tcPr>
          <w:p ns2:paraId="678B7EF0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雷电防护装置正常运行</w:t>
            </w:r>
          </w:p>
        </w:tc>
        <w:tc>
          <w:tcPr>
            <w:tcW w:w="1609" w:type="dxa"/>
            <w:noWrap w:val="0"/>
            <w:vAlign w:val="center"/>
          </w:tcPr>
          <w:p ns2:paraId="768DDC85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雷电防护装置存在隐患</w:t>
            </w:r>
          </w:p>
        </w:tc>
        <w:tc>
          <w:tcPr>
            <w:tcW w:w="1705" w:type="dxa"/>
            <w:noWrap w:val="0"/>
            <w:vAlign w:val="center"/>
          </w:tcPr>
          <w:p ns2:paraId="67F4C70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雷电防护装置缺失或失效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7D5CB8A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2</w:t>
            </w:r>
          </w:p>
        </w:tc>
        <w:tc>
          <w:tcPr>
            <w:tcW w:w="654" w:type="dxa"/>
            <w:tcBorders>
              <w:right w:val="single" w:color="000000" w:sz="6" w:space="0"/>
            </w:tcBorders>
            <w:noWrap w:val="0"/>
            <w:vAlign w:val="center"/>
          </w:tcPr>
          <w:p ns2:paraId="17BF5F6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49E3EFC5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right w:val="single" w:color="000000" w:sz="6" w:space="0"/>
            </w:tcBorders>
            <w:noWrap w:val="0"/>
            <w:vAlign w:val="center"/>
          </w:tcPr>
          <w:p ns2:paraId="5328D41C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0.4</w:t>
            </w:r>
          </w:p>
        </w:tc>
      </w:tr>
      <w:tr ns2:paraId="5EB7F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  <w:jc w:val="center"/>
        </w:trPr>
        <w:tc>
          <w:tcPr>
            <w:tcW w:w="2285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0F4A89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防雷安全管理制度建立及执行情况</w:t>
            </w: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5DCF2ADC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防雷安全管理制度完善且执行到位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62234D81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防雷安全管理制度不完善或执行不到位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2CF632B2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无防雷安全管理制度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9111EF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3</w:t>
            </w:r>
          </w:p>
        </w:tc>
        <w:tc>
          <w:tcPr>
            <w:tcW w:w="65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FF015F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3FA5B7F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A31C87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0.4</w:t>
            </w:r>
          </w:p>
        </w:tc>
      </w:tr>
    </w:tbl>
    <w:p ns2:paraId="2F72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36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L = 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ascii="Arial" w:hAnsi="Arial" w:eastAsia="Arial" w:cs="Arial"/>
          <w:position w:val="-2"/>
          <w:sz w:val="10"/>
          <w:szCs w:val="10"/>
        </w:rPr>
        <w:t xml:space="preserve"> 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rFonts w:hint="eastAsia" w:ascii="仿宋" w:hAnsi="仿宋" w:cs="仿宋" w:eastAsia="微软雅黑"/>
          <w:position w:val="-2"/>
          <w:sz w:val="32"/>
          <w:szCs w:val="32"/>
          <w:vertAlign w:val="baseline"/>
          <w:lang w:val="en-US" w:eastAsia="zh-CN"/>
        </w:rPr>
        <w:t>=1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/>
      </w:r>
      <w:r>
        <w:rPr>
          <w:spacing w:val="13"/>
          <w:position w:val="1"/>
          <w:sz w:val="28"/>
          <w:szCs w:val="28"/>
        </w:rPr>
        <w:t>……………(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spacing w:val="13"/>
          <w:sz w:val="28"/>
          <w:szCs w:val="28"/>
        </w:rPr>
        <w:t>)</w:t>
      </w:r>
    </w:p>
    <w:p ns2:paraId="7A22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36" w:lineRule="auto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0AAA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—雷电灾害事故发生可能性, L级差为1 , 当 L大于 1 且小于等于2时 , L取2 , 依此类推;</w:t>
      </w:r>
    </w:p>
    <w:p ns2:paraId="44D4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雷击发生可能性等级分值 , 雷击发生可能性等级按照 A. 1 . 2 确定;</w:t>
      </w:r>
    </w:p>
    <w:p ns2:paraId="5AD6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雷电防护装置现状分值;</w:t>
      </w:r>
    </w:p>
    <w:p ns2:paraId="2E76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防雷安全管理制度建立及执行情况分值;</w:t>
      </w:r>
    </w:p>
    <w:p ns2:paraId="5C71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雷击发生可能性等级权重值;</w:t>
      </w:r>
    </w:p>
    <w:p ns2:paraId="124BF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雷电防护装置现状权重值;</w:t>
      </w:r>
    </w:p>
    <w:p ns2:paraId="1B968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防雷安全管理制度建立及执行情况权重值。</w:t>
      </w:r>
    </w:p>
    <w:p ns2:paraId="458131CE">
      <w:pPr>
        <w:pStyle w:val="6"/>
        <w:spacing w:before="226" w:line="360" w:lineRule="auto"/>
        <w:ind w:left="21" w:right="15" w:firstLine="419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1、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en-US" w:bidi="ar"/>
        </w:rPr>
        <w:t>1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—雷击发生可能性等级分值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确定：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按表 A.2进行雷击发生可能性评价因子赋值, 再按公式(A.2)计算雷击发生可能性分值, 最后按表 A.3划分为 I、Ⅱ、Ⅲ三个等级。</w:t>
      </w:r>
    </w:p>
    <w:p ns2:paraId="31476759">
      <w:pPr>
        <w:pStyle w:val="6"/>
        <w:spacing w:before="111" w:line="178" w:lineRule="auto"/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2  雷击发生可能性评价因子赋值</w:t>
      </w:r>
    </w:p>
    <w:p ns2:paraId="4ACDD4D9">
      <w:pPr>
        <w:jc w:val="center"/>
        <w:rPr>
          <w:rFonts w:hint="eastAsia" w:ascii="仿宋" w:hAnsi="仿宋" w:eastAsia="仿宋" w:cs="仿宋"/>
          <w:sz w:val="24"/>
          <w:szCs w:val="32"/>
        </w:rPr>
      </w:pPr>
    </w:p>
    <w:tbl>
      <w:tblPr>
        <w:tblStyle w:val="15"/>
        <w:tblW w:w="981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1"/>
        <w:gridCol w:w="1380"/>
        <w:gridCol w:w="1400"/>
        <w:gridCol w:w="1413"/>
        <w:gridCol w:w="1512"/>
        <w:gridCol w:w="1404"/>
        <w:gridCol w:w="681"/>
        <w:gridCol w:w="655"/>
      </w:tblGrid>
      <w:tr ns2:paraId="6C6B3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jc w:val="center"/>
        </w:trPr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ns2:paraId="629407F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评价因子</w:t>
            </w:r>
          </w:p>
        </w:tc>
        <w:tc>
          <w:tcPr>
            <w:tcW w:w="71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D377C8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赋值</w:t>
            </w: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796BCD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Pn</w:t>
            </w:r>
          </w:p>
        </w:tc>
        <w:tc>
          <w:tcPr>
            <w:tcW w:w="6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243D9E2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5992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  <w:jc w:val="center"/>
        </w:trPr>
        <w:tc>
          <w:tcPr>
            <w:tcW w:w="13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0C1EBBA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5DF48AF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3CD763E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48E4103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78DC273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15E305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460CA7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5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DD0A7D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457B6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43905C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雷击密度次/(Km2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13"/>
                <w:szCs w:val="16"/>
              </w:rPr>
              <w:t>●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 a)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C9044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[0 , 1)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2B6EE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 , 2)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2FA54A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[2 , 3)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D2CBB3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 , 4)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B544E7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[4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A8420A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F7395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5</w:t>
            </w:r>
          </w:p>
        </w:tc>
      </w:tr>
      <w:tr ns2:paraId="585343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CBF902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地形地貌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84F6232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周边高层建筑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09E274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丘陵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A83FA3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山地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DCCF11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河流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湖泊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低洼潮湿地 区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山间风口等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00F114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旷野孤立或突 出区域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2A019D8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97DA2F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5</w:t>
            </w:r>
          </w:p>
        </w:tc>
      </w:tr>
      <w:tr ns2:paraId="246EB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8584CB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相对高度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9A6978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风险单元被比风险单元内高的外部建(构)筑物或其他雷击可接闪物所环绕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8C7FBA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风险单元外局部方向有高于风险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单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元内的建(构)筑物或其他雷击可接闪物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18586D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或其他雷击可接闪物与风险单元内高度基本持平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FDF502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或其他雷击可接闪物低于风险单元内高度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8BF871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风险单元外无建(构)筑 物或其他雷击可接闪物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BA9DFB0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BF5769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  <w:tr ns2:paraId="1739AD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00B3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占地面积m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76CC99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2500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74D8E5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1B483E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E4A2C7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78E5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∞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47D5A1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65605D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7C827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AFCE78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等效高度m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C420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0 , 30)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347DB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45)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AA62E6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45 , 60)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F7BF71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60 , 100)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F5584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B83BB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32"/>
                <w:vertAlign w:val="subscript"/>
                <w:lang w:val="en-US" w:eastAsia="zh-CN"/>
              </w:rPr>
              <w:t>5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B5DDC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3A4C6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FB688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风险单元内建(构)筑物防雷分类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a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214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第三类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A2AA80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AE4868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第二类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BF6214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57155E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第一类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41371A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6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7DD178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</w:tbl>
    <w:p ns2:paraId="5148D63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40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Arial" w:hAnsi="Arial" w:eastAsia="Arial" w:cs="Arial"/>
          <w:i/>
          <w:iCs/>
          <w:spacing w:val="5"/>
          <w:sz w:val="28"/>
          <w:szCs w:val="28"/>
        </w:rPr>
        <w:t xml:space="preserve">P </w:t>
      </w:r>
      <w:r>
        <w:rPr>
          <w:spacing w:val="5"/>
          <w:position w:val="-1"/>
          <w:sz w:val="28"/>
          <w:szCs w:val="28"/>
        </w:rPr>
        <w:t>=</w:t>
      </w:r>
      <w:r>
        <w:rPr>
          <w:spacing w:val="49"/>
          <w:w w:val="101"/>
          <w:position w:val="-1"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1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</w:rPr>
        <w:t>2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3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4</w:t>
      </w:r>
      <w:r>
        <w:rPr>
          <w:rFonts w:ascii="Arial" w:hAnsi="Arial" w:eastAsia="Arial" w:cs="Arial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5</w:t>
      </w:r>
      <w:r>
        <w:rPr>
          <w:rFonts w:ascii="Arial" w:hAnsi="Arial" w:eastAsia="Arial" w:cs="Arial"/>
          <w:spacing w:val="2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6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subscript"/>
          <w:lang w:val="en-US" w:eastAsia="zh-CN"/>
        </w:rPr>
        <w:t xml:space="preserve"> 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baseline"/>
          <w:lang w:val="en-US" w:eastAsia="zh-CN"/>
        </w:rPr>
        <w:t xml:space="preserve">= </w:t>
      </w:r>
      <w:r>
        <w:rPr>
          <w:rFonts w:hint="eastAsia" w:ascii="仿宋" w:hAnsi="仿宋" w:eastAsia="微软雅黑" w:cs="仿宋"/>
          <w:spacing w:val="5"/>
          <w:position w:val="-2"/>
          <w:sz w:val="36"/>
          <w:szCs w:val="36"/>
          <w:vertAlign w:val="baseline"/>
          <w:lang w:val="en-US" w:eastAsia="zh-CN"/>
        </w:rPr>
        <w:t>18</w:t>
      </w:r>
    </w:p>
    <w:p ns2:paraId="2A6D96E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38"/>
        <w:textAlignment w:val="auto"/>
        <w:rPr>
          <w:sz w:val="24"/>
          <w:szCs w:val="24"/>
        </w:rPr>
      </w:pPr>
      <w:r>
        <w:rPr>
          <w:spacing w:val="16"/>
          <w:sz w:val="24"/>
          <w:szCs w:val="24"/>
        </w:rPr>
        <w:t>式中:</w:t>
      </w:r>
    </w:p>
    <w:p ns2:paraId="40AFFD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3"/>
          <w:position w:val="-1"/>
          <w:sz w:val="24"/>
          <w:szCs w:val="24"/>
        </w:rPr>
        <w:t>P</w:t>
      </w:r>
      <w:r>
        <w:rPr>
          <w:rFonts w:ascii="Arial" w:hAnsi="Arial" w:eastAsia="Arial" w:cs="Arial"/>
          <w:i/>
          <w:iCs/>
          <w:spacing w:val="-3"/>
          <w:position w:val="-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3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雷击发生可能性分值;</w:t>
      </w:r>
    </w:p>
    <w:p ns2:paraId="6A89F4D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1</w:t>
      </w:r>
      <w:r>
        <w:rPr>
          <w:rFonts w:ascii="Arial" w:hAnsi="Arial" w:eastAsia="Arial" w:cs="Arial"/>
          <w:spacing w:val="17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雷击密度分值;</w:t>
      </w:r>
    </w:p>
    <w:p ns2:paraId="67E73D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8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8"/>
          <w:position w:val="-3"/>
          <w:sz w:val="24"/>
          <w:szCs w:val="24"/>
          <w:vertAlign w:val="subscript"/>
        </w:rPr>
        <w:t>2</w:t>
      </w:r>
      <w:r>
        <w:rPr>
          <w:rFonts w:ascii="Arial" w:hAnsi="Arial" w:eastAsia="Arial" w:cs="Arial"/>
          <w:spacing w:val="2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9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地形地貌分值;</w:t>
      </w:r>
    </w:p>
    <w:p ns2:paraId="03A9B68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3</w:t>
      </w:r>
      <w:r>
        <w:rPr>
          <w:rFonts w:ascii="Arial" w:hAnsi="Arial" w:eastAsia="Arial" w:cs="Arial"/>
          <w:spacing w:val="1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相对高度分值;</w:t>
      </w:r>
    </w:p>
    <w:p ns2:paraId="5F9C7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4</w:t>
      </w:r>
      <w:r>
        <w:rPr>
          <w:rFonts w:ascii="Arial" w:hAnsi="Arial" w:eastAsia="Arial" w:cs="Arial"/>
          <w:spacing w:val="22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7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4"/>
          <w:position w:val="1"/>
          <w:sz w:val="24"/>
          <w:szCs w:val="24"/>
        </w:rPr>
        <w:t xml:space="preserve"> </w:t>
      </w:r>
      <w:r>
        <w:rPr>
          <w:spacing w:val="27"/>
          <w:sz w:val="24"/>
          <w:szCs w:val="24"/>
        </w:rPr>
        <w:t>占地面积分值</w:t>
      </w:r>
      <w:r>
        <w:rPr>
          <w:spacing w:val="27"/>
          <w:position w:val="1"/>
          <w:sz w:val="24"/>
          <w:szCs w:val="24"/>
        </w:rPr>
        <w:t>;</w:t>
      </w:r>
    </w:p>
    <w:p ns2:paraId="5FE98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5</w:t>
      </w:r>
      <w:r>
        <w:rPr>
          <w:rFonts w:ascii="Arial" w:hAnsi="Arial" w:eastAsia="Arial" w:cs="Arial"/>
          <w:spacing w:val="28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8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0"/>
          <w:position w:val="1"/>
          <w:sz w:val="24"/>
          <w:szCs w:val="24"/>
        </w:rPr>
        <w:t xml:space="preserve"> </w:t>
      </w:r>
      <w:r>
        <w:rPr>
          <w:spacing w:val="28"/>
          <w:sz w:val="24"/>
          <w:szCs w:val="24"/>
        </w:rPr>
        <w:t>等效高度分值</w:t>
      </w:r>
      <w:r>
        <w:rPr>
          <w:spacing w:val="28"/>
          <w:position w:val="1"/>
          <w:sz w:val="24"/>
          <w:szCs w:val="24"/>
        </w:rPr>
        <w:t>;</w:t>
      </w:r>
    </w:p>
    <w:p ns2:paraId="4DB629E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19"/>
          <w:szCs w:val="19"/>
        </w:rPr>
      </w:pPr>
      <w:r>
        <w:rPr>
          <w:rFonts w:ascii="Arial" w:hAnsi="Arial" w:eastAsia="Arial" w:cs="Arial"/>
          <w:i/>
          <w:iCs/>
          <w:spacing w:val="27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7"/>
          <w:position w:val="-3"/>
          <w:sz w:val="24"/>
          <w:szCs w:val="24"/>
          <w:vertAlign w:val="subscript"/>
        </w:rPr>
        <w:t>6</w:t>
      </w:r>
      <w:r>
        <w:rPr>
          <w:rFonts w:ascii="Arial" w:hAnsi="Arial" w:eastAsia="Arial" w:cs="Arial"/>
          <w:spacing w:val="26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6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5"/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>风险单元内建(构)筑物防雷分类分值。</w:t>
      </w:r>
    </w:p>
    <w:p ns2:paraId="0464F3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1" w:line="178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3 雷击发生可能性分级</w:t>
      </w:r>
    </w:p>
    <w:p ns2:paraId="4F7B92C8">
      <w:pPr>
        <w:spacing w:line="214" w:lineRule="exact"/>
      </w:pPr>
    </w:p>
    <w:tbl>
      <w:tblPr>
        <w:tblStyle w:val="15"/>
        <w:tblW w:w="931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7"/>
        <w:gridCol w:w="3362"/>
        <w:gridCol w:w="2188"/>
      </w:tblGrid>
      <w:tr ns2:paraId="14D29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3767" w:type="dxa"/>
            <w:tcBorders>
              <w:right w:val="single" w:color="000000" w:sz="2" w:space="0"/>
            </w:tcBorders>
            <w:noWrap w:val="0"/>
            <w:vAlign w:val="top"/>
          </w:tcPr>
          <w:p ns2:paraId="3FF5B2C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雷击发生可能性分值</w:t>
            </w:r>
          </w:p>
        </w:tc>
        <w:tc>
          <w:tcPr>
            <w:tcW w:w="3362" w:type="dxa"/>
            <w:tcBorders>
              <w:left w:val="single" w:color="000000" w:sz="2" w:space="0"/>
            </w:tcBorders>
            <w:noWrap w:val="0"/>
            <w:vAlign w:val="top"/>
          </w:tcPr>
          <w:p ns2:paraId="1322E23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雷击发生可能性等级</w:t>
            </w:r>
          </w:p>
        </w:tc>
        <w:tc>
          <w:tcPr>
            <w:tcW w:w="2188" w:type="dxa"/>
            <w:tcBorders>
              <w:left w:val="single" w:color="000000" w:sz="2" w:space="0"/>
            </w:tcBorders>
            <w:noWrap w:val="0"/>
            <w:vAlign w:val="top"/>
          </w:tcPr>
          <w:p ns2:paraId="2E2883E5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E4A8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376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4999B45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[8 , 18]</w:t>
            </w:r>
          </w:p>
        </w:tc>
        <w:tc>
          <w:tcPr>
            <w:tcW w:w="3362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A6815D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Ⅲ</w:t>
            </w:r>
          </w:p>
        </w:tc>
        <w:tc>
          <w:tcPr>
            <w:tcW w:w="2188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348B6A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</w:rPr>
              <w:t>18</w:t>
            </w:r>
          </w:p>
        </w:tc>
      </w:tr>
      <w:tr ns2:paraId="694315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3767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73D1DCB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[19 , 29]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539072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Ⅱ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4E4C56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66747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3767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top"/>
          </w:tcPr>
          <w:p ns2:paraId="2591AC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40]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52E2486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I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795717F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</w:tbl>
    <w:p ns2:paraId="00E21E0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3" w:line="360" w:lineRule="auto"/>
        <w:ind w:leftChars="0" w:firstLine="643" w:firstLineChars="200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注2、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雷电防护装置现状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防雷安全管理制度建立及执行情况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等分值确定：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如出现表A.4 中所列情况中的任一条 , 雷电灾害事故发生可能性直接赋值“3”。</w:t>
      </w:r>
    </w:p>
    <w:p ns2:paraId="38C91D16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4雷电灾害事故发生可能性直接赋值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的情况列表</w:t>
      </w:r>
    </w:p>
    <w:p ns2:paraId="5E33B8BB">
      <w:pPr>
        <w:spacing w:line="236" w:lineRule="exact"/>
      </w:pPr>
    </w:p>
    <w:tbl>
      <w:tblPr>
        <w:tblStyle w:val="15"/>
        <w:tblW w:w="947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5"/>
        <w:gridCol w:w="6884"/>
      </w:tblGrid>
      <w:tr ns2:paraId="5F390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4810F77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项 目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4C2CE18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存在情况</w:t>
            </w:r>
          </w:p>
        </w:tc>
      </w:tr>
      <w:tr ns2:paraId="10E7A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86B4E3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防雷安全管理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CECDDF7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预警信息接收和响应机制</w:t>
            </w:r>
          </w:p>
        </w:tc>
      </w:tr>
      <w:tr ns2:paraId="36A023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CE6352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0E02A4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安全管理工作机构和管理人员</w:t>
            </w:r>
          </w:p>
        </w:tc>
      </w:tr>
      <w:tr ns2:paraId="3AB57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0E92A5C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4C2450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安全规章制度</w:t>
            </w:r>
          </w:p>
        </w:tc>
      </w:tr>
      <w:tr ns2:paraId="7D79A1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3B6BF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927215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灾害应急预案,且未组织演练</w:t>
            </w:r>
          </w:p>
        </w:tc>
      </w:tr>
      <w:tr ns2:paraId="5663F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7BDA97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30A72B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独立接闪杆、架空接闪线或网的支柱及其接地装置至被保护建(构)筑物及与其有联系的管道、电缆等金属物之间的间隔距离不满足 GB50057 中的间隔距离要求</w:t>
            </w:r>
          </w:p>
        </w:tc>
      </w:tr>
      <w:tr ns2:paraId="0E977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55F7FA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D7716A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</w:tr>
      <w:tr ns2:paraId="02D2F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13DA91E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2C344FE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建(构)筑物、户外生产设施等未按照 GB50057 中的要求设置防跨步电压和接触电压措施</w:t>
            </w:r>
          </w:p>
        </w:tc>
      </w:tr>
      <w:tr ns2:paraId="7D3173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00873F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雷电防护装置定期检测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FAAA97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建(构)筑物雷电防护装置未按照 GB/T 21431 中的周期要求进行检测工作</w:t>
            </w:r>
          </w:p>
        </w:tc>
      </w:tr>
      <w:tr ns2:paraId="3FCB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73B22E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26DD1C3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根据年度安全检测工作的合同和协议,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由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检测机构资质等级不符合《雷电防护资质检测资质管理办法》要求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的机构提供检测服务</w:t>
            </w:r>
          </w:p>
        </w:tc>
      </w:tr>
      <w:tr ns2:paraId="454F3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282F75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35BFE1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不符合国家标准中强制性条文内容且未做整改的</w:t>
            </w:r>
          </w:p>
        </w:tc>
      </w:tr>
      <w:tr ns2:paraId="34A75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0E015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F93C5E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不符合国家标准中非强制性条文内容且未做整改超过 3 项(含 3 项)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382F8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1E685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831C01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部分需进行年度安全检测工作的雷电防护装置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无检测报告的</w:t>
            </w:r>
          </w:p>
        </w:tc>
      </w:tr>
      <w:tr ns2:paraId="1C4BA9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6B39C96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868A5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bookmarkStart w:id="2" w:name="_GoBack"/>
            <w:bookmarkEnd w:id="2"/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新、改、扩(建)项目无防雷设计审查意见或防雷施工图审查意见</w:t>
            </w:r>
          </w:p>
        </w:tc>
      </w:tr>
      <w:tr ns2:paraId="7189B3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326A3E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33D5B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其雷电防护装置未取得竣工验收合格报告</w:t>
            </w:r>
          </w:p>
        </w:tc>
      </w:tr>
      <w:tr ns2:paraId="68AFC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184104D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C15924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对于人员密集场所且具有雷击风险的户外区域、具有爆炸和火灾危险环境的露天生产设备未设置护栏、警告牌等防雷安全标志</w:t>
            </w:r>
          </w:p>
        </w:tc>
      </w:tr>
      <w:tr ns2:paraId="10404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39438FD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38CA9F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7D058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524F53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A38048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未向气象主管机构上报灾害情况的</w:t>
            </w:r>
          </w:p>
        </w:tc>
      </w:tr>
    </w:tbl>
    <w:p ns2:paraId="6A46001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413" w:lineRule="auto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2、雷电灾害事故后果严重性评估（S）</w:t>
      </w:r>
    </w:p>
    <w:p ns2:paraId="4797726B">
      <w:pPr>
        <w:pStyle w:val="6"/>
        <w:spacing w:before="226" w:line="360" w:lineRule="auto"/>
        <w:ind w:right="15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雷电灾害事故后果严重性评价应先按表A. 5进行雷电灾害事故后果严重性评价因子赋值 , 再按公式(A. 3)计算。</w:t>
      </w:r>
    </w:p>
    <w:p ns2:paraId="3EAB994C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5 雷电灾害事故后果严重性评价因子赋值</w:t>
      </w:r>
    </w:p>
    <w:p ns2:paraId="47B7CEBF">
      <w:pPr>
        <w:spacing w:line="201" w:lineRule="exact"/>
      </w:pPr>
    </w:p>
    <w:tbl>
      <w:tblPr>
        <w:tblStyle w:val="15"/>
        <w:tblW w:w="96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1997"/>
        <w:gridCol w:w="2338"/>
        <w:gridCol w:w="1808"/>
        <w:gridCol w:w="667"/>
        <w:gridCol w:w="689"/>
      </w:tblGrid>
      <w:tr ns2:paraId="23B38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2138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39A1E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评价因子</w:t>
            </w:r>
          </w:p>
        </w:tc>
        <w:tc>
          <w:tcPr>
            <w:tcW w:w="6143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7F3FB96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赋值</w:t>
            </w:r>
          </w:p>
        </w:tc>
        <w:tc>
          <w:tcPr>
            <w:tcW w:w="6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1741C19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Sn</w:t>
            </w:r>
          </w:p>
        </w:tc>
        <w:tc>
          <w:tcPr>
            <w:tcW w:w="689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20DD35E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8168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138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5EA90C0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12825D1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23997F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4E285A3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6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ECB2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689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B20321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ns2:paraId="2E797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  <w:jc w:val="center"/>
        </w:trPr>
        <w:tc>
          <w:tcPr>
            <w:tcW w:w="2138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4506557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风险单元现场人数最大值a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3C4291E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0 , 10)</w:t>
            </w:r>
          </w:p>
        </w:tc>
        <w:tc>
          <w:tcPr>
            <w:tcW w:w="2338" w:type="dxa"/>
            <w:tcBorders>
              <w:top w:val="single" w:color="000000" w:sz="6" w:space="0"/>
            </w:tcBorders>
            <w:noWrap w:val="0"/>
            <w:vAlign w:val="center"/>
          </w:tcPr>
          <w:p ns2:paraId="2BA41BB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10 , 30)</w:t>
            </w:r>
          </w:p>
        </w:tc>
        <w:tc>
          <w:tcPr>
            <w:tcW w:w="1808" w:type="dxa"/>
            <w:tcBorders>
              <w:top w:val="single" w:color="000000" w:sz="6" w:space="0"/>
            </w:tcBorders>
            <w:noWrap w:val="0"/>
            <w:vAlign w:val="center"/>
          </w:tcPr>
          <w:p ns2:paraId="09C3C2C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30 , ∞)</w:t>
            </w:r>
          </w:p>
        </w:tc>
        <w:tc>
          <w:tcPr>
            <w:tcW w:w="6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457C6AC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9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4B63F8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7A105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  <w:jc w:val="center"/>
        </w:trPr>
        <w:tc>
          <w:tcPr>
            <w:tcW w:w="2138" w:type="dxa"/>
            <w:tcBorders>
              <w:left w:val="single" w:color="000000" w:sz="6" w:space="0"/>
            </w:tcBorders>
            <w:noWrap w:val="0"/>
            <w:vAlign w:val="center"/>
          </w:tcPr>
          <w:p ns2:paraId="256239D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风险单元边界外 500 m范围内防护目标情况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1997" w:type="dxa"/>
            <w:noWrap w:val="0"/>
            <w:vAlign w:val="center"/>
          </w:tcPr>
          <w:p ns2:paraId="54515E9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无防护目标</w:t>
            </w:r>
          </w:p>
        </w:tc>
        <w:tc>
          <w:tcPr>
            <w:tcW w:w="2338" w:type="dxa"/>
            <w:noWrap w:val="0"/>
            <w:vAlign w:val="center"/>
          </w:tcPr>
          <w:p ns2:paraId="7842B2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仅涉及 1~2 个一般防护目标中的三类防护目标</w:t>
            </w:r>
          </w:p>
        </w:tc>
        <w:tc>
          <w:tcPr>
            <w:tcW w:w="1808" w:type="dxa"/>
            <w:noWrap w:val="0"/>
            <w:vAlign w:val="center"/>
          </w:tcPr>
          <w:p ns2:paraId="5FA8E1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涉及防护目标的其他情况</w:t>
            </w:r>
          </w:p>
        </w:tc>
        <w:tc>
          <w:tcPr>
            <w:tcW w:w="667" w:type="dxa"/>
            <w:tcBorders>
              <w:right w:val="single" w:color="000000" w:sz="6" w:space="0"/>
            </w:tcBorders>
            <w:noWrap w:val="0"/>
            <w:vAlign w:val="center"/>
          </w:tcPr>
          <w:p ns2:paraId="5BA5099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9" w:type="dxa"/>
            <w:tcBorders>
              <w:right w:val="single" w:color="000000" w:sz="6" w:space="0"/>
            </w:tcBorders>
            <w:noWrap w:val="0"/>
            <w:vAlign w:val="center"/>
          </w:tcPr>
          <w:p ns2:paraId="3293AD8A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6AADB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2138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EE6048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风险单元化学品固有危险性等级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62BC33E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014ECA6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0939A5B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I</w:t>
            </w:r>
          </w:p>
        </w:tc>
        <w:tc>
          <w:tcPr>
            <w:tcW w:w="6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67BC82F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9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706611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</w:tbl>
    <w:p ns2:paraId="7EDD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420" w:lineRule="exact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=</w:t>
      </w:r>
      <w:r>
        <w:rPr>
          <w:rFonts w:hint="eastAsia" w:ascii="仿宋" w:hAnsi="仿宋" w:eastAsia="微软雅黑" w:cs="仿宋"/>
          <w:snapToGrid w:val="0"/>
          <w:color w:val="000000"/>
          <w:spacing w:val="11"/>
          <w:kern w:val="0"/>
          <w:sz w:val="28"/>
          <w:szCs w:val="28"/>
          <w:lang w:val="en-US" w:eastAsia="en-US" w:bidi="ar-SA"/>
          <w:b w:val="1"/>
          <w:bCs w:val="1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………………(A. 3)</w:t>
      </w:r>
    </w:p>
    <w:p ns2:paraId="3FC4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4103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雷电灾害事故后果严重性;</w:t>
      </w:r>
    </w:p>
    <w:p ns2:paraId="1659A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风险单元现场人数最大值分值;</w:t>
      </w:r>
    </w:p>
    <w:p ns2:paraId="3B918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风险单元边界外 500 m范围内防护目标情况分值;</w:t>
      </w:r>
    </w:p>
    <w:p ns2:paraId="3A86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风险单元化学品固有危险性等级分值。</w:t>
      </w:r>
    </w:p>
    <w:p ns2:paraId="0A93EE06">
      <w:pPr>
        <w:pStyle w:val="6"/>
        <w:spacing w:before="226" w:line="360" w:lineRule="auto"/>
        <w:ind w:right="15" w:firstLine="643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注：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S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— 风险单元化学品固有危险性等级赋值：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化学品固有危险性等级确定按表 A. 6 进行化学品固有危险性等级评价因子赋值, 再按公式(A. 4)计算化学品固有危险性分值, 最后按表 A. 7 划分为 I 、Ⅱ 、Ⅲ三个等级 。</w:t>
      </w:r>
    </w:p>
    <w:p ns2:paraId="5D68C442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6 化学品固有危险性评价因子赋值</w:t>
      </w:r>
    </w:p>
    <w:p ns2:paraId="4389C176">
      <w:pPr>
        <w:spacing w:line="201" w:lineRule="exact"/>
      </w:pPr>
    </w:p>
    <w:tbl>
      <w:tblPr>
        <w:tblStyle w:val="15"/>
        <w:tblW w:w="98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2175"/>
        <w:gridCol w:w="1994"/>
        <w:gridCol w:w="1997"/>
        <w:gridCol w:w="767"/>
        <w:gridCol w:w="767"/>
      </w:tblGrid>
      <w:tr ns2:paraId="6FEAE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2187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502E3261">
            <w:pPr>
              <w:pStyle w:val="14"/>
              <w:spacing w:before="272" w:line="48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评价因子</w:t>
            </w:r>
          </w:p>
        </w:tc>
        <w:tc>
          <w:tcPr>
            <w:tcW w:w="6166" w:type="dxa"/>
            <w:gridSpan w:val="3"/>
            <w:tcBorders>
              <w:top w:val="single" w:color="000000" w:sz="6" w:space="0"/>
            </w:tcBorders>
            <w:noWrap w:val="0"/>
            <w:vAlign w:val="top"/>
          </w:tcPr>
          <w:p ns2:paraId="2919EE7F">
            <w:pPr>
              <w:pStyle w:val="14"/>
              <w:spacing w:before="93" w:line="184" w:lineRule="auto"/>
              <w:ind w:left="2893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赋值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top"/>
          </w:tcPr>
          <w:p ns2:paraId="7D6521D6">
            <w:pPr>
              <w:spacing w:before="278" w:line="238" w:lineRule="auto"/>
              <w:ind w:left="277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Mn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08E467D4">
            <w:pPr>
              <w:spacing w:before="278" w:line="238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分值</w:t>
            </w:r>
          </w:p>
        </w:tc>
      </w:tr>
      <w:tr ns2:paraId="1CC15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187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6CFC34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top"/>
          </w:tcPr>
          <w:p ns2:paraId="43F6712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top"/>
          </w:tcPr>
          <w:p ns2:paraId="69B601B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2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top"/>
          </w:tcPr>
          <w:p ns2:paraId="63AB9F7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3</w:t>
            </w:r>
          </w:p>
        </w:tc>
        <w:tc>
          <w:tcPr>
            <w:tcW w:w="7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D60467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767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F91FDF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ns2:paraId="76B50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2187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271758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火灾危险性类别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a</w:t>
            </w:r>
          </w:p>
        </w:tc>
        <w:tc>
          <w:tcPr>
            <w:tcW w:w="2175" w:type="dxa"/>
            <w:tcBorders>
              <w:top w:val="single" w:color="000000" w:sz="6" w:space="0"/>
            </w:tcBorders>
            <w:noWrap w:val="0"/>
            <w:vAlign w:val="center"/>
          </w:tcPr>
          <w:p ns2:paraId="742D79C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丁、戊类及其他</w:t>
            </w:r>
          </w:p>
        </w:tc>
        <w:tc>
          <w:tcPr>
            <w:tcW w:w="1994" w:type="dxa"/>
            <w:tcBorders>
              <w:top w:val="single" w:color="000000" w:sz="6" w:space="0"/>
            </w:tcBorders>
            <w:noWrap w:val="0"/>
            <w:vAlign w:val="center"/>
          </w:tcPr>
          <w:p ns2:paraId="02045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乙、丙类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6F7DC58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甲类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291C32C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0AE8494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  <w:tr ns2:paraId="0944E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2F45090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化学品急性毒性危害类别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2175" w:type="dxa"/>
            <w:noWrap w:val="0"/>
            <w:vAlign w:val="center"/>
          </w:tcPr>
          <w:p ns2:paraId="6BF6FF4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类别4、类别5及其他</w:t>
            </w:r>
          </w:p>
        </w:tc>
        <w:tc>
          <w:tcPr>
            <w:tcW w:w="1994" w:type="dxa"/>
            <w:noWrap w:val="0"/>
            <w:vAlign w:val="center"/>
          </w:tcPr>
          <w:p ns2:paraId="2023B81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类别2、类别3</w:t>
            </w:r>
          </w:p>
        </w:tc>
        <w:tc>
          <w:tcPr>
            <w:tcW w:w="1997" w:type="dxa"/>
            <w:noWrap w:val="0"/>
            <w:vAlign w:val="center"/>
          </w:tcPr>
          <w:p ns2:paraId="1C097C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类别1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03B8C1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59C63262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</w:tr>
      <w:tr ns2:paraId="0A01A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1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0543675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危险工艺和操作</w:t>
            </w:r>
          </w:p>
        </w:tc>
        <w:tc>
          <w:tcPr>
            <w:tcW w:w="2175" w:type="dxa"/>
            <w:noWrap w:val="0"/>
            <w:vAlign w:val="center"/>
          </w:tcPr>
          <w:p ns2:paraId="43AB835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不涉及危险化工 工艺和金属有机物合成反应(包括格氏反应), 且采用连续、间歇或半连续操作</w:t>
            </w:r>
          </w:p>
        </w:tc>
        <w:tc>
          <w:tcPr>
            <w:tcW w:w="1994" w:type="dxa"/>
            <w:noWrap w:val="0"/>
            <w:vAlign w:val="center"/>
          </w:tcPr>
          <w:p ns2:paraId="74D8DA1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涉及危险工艺和金属有机物合成反应(包括格氏反 应), 且采用连续操作</w:t>
            </w:r>
          </w:p>
        </w:tc>
        <w:tc>
          <w:tcPr>
            <w:tcW w:w="1997" w:type="dxa"/>
            <w:noWrap w:val="0"/>
            <w:vAlign w:val="center"/>
          </w:tcPr>
          <w:p ns2:paraId="1DCF1D4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涉及危险工艺或金属有机物合成反应(包括格氏反 应),且采用间歇或半连续操作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18C78C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473B0BC3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4CD2C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2187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41880A8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重大危险源等级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c</w:t>
            </w: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center"/>
          </w:tcPr>
          <w:p ns2:paraId="6831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非危险化学品重大危险源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center"/>
          </w:tcPr>
          <w:p ns2:paraId="223A1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三级 、四级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2B280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二级 、一级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27CB9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AD6D7F0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</w:tbl>
    <w:p ns2:paraId="6A334B1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5" w:line="176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2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</w:t>
      </w:r>
      <w:r>
        <w:rPr>
          <w:rFonts w:hint="eastAsia" w:cs="仿宋" w:ascii="仿宋" w:hAnsi="仿宋" w:eastAsia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=3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  ………………(A. 4)</w:t>
      </w:r>
    </w:p>
    <w:p ns2:paraId="4A37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6343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化学品固有危险性分值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570A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火灾危险性类别分值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244C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化学品急性毒性危害类别分值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7840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危险工艺和操作分值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6F327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重大危险源等级分值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。</w:t>
      </w:r>
    </w:p>
    <w:p ns2:paraId="5C46E0D7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表A. 7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化学品固有危险性分级</w:t>
      </w:r>
    </w:p>
    <w:p ns2:paraId="11F3A21A">
      <w:pPr>
        <w:spacing w:line="211" w:lineRule="exact"/>
      </w:pPr>
    </w:p>
    <w:tbl>
      <w:tblPr>
        <w:tblStyle w:val="15"/>
        <w:tblW w:w="903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24"/>
      </w:tblGrid>
      <w:tr ns2:paraId="15E78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  <w:jc w:val="center"/>
        </w:trPr>
        <w:tc>
          <w:tcPr>
            <w:tcW w:w="4515" w:type="dxa"/>
            <w:tcBorders>
              <w:right w:val="single" w:color="000000" w:sz="2" w:space="0"/>
            </w:tcBorders>
            <w:noWrap w:val="0"/>
            <w:vAlign w:val="center"/>
          </w:tcPr>
          <w:p ns2:paraId="3EF517C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化学品固有危险性分值</w:t>
            </w:r>
          </w:p>
        </w:tc>
        <w:tc>
          <w:tcPr>
            <w:tcW w:w="4524" w:type="dxa"/>
            <w:tcBorders>
              <w:left w:val="single" w:color="000000" w:sz="2" w:space="0"/>
            </w:tcBorders>
            <w:noWrap w:val="0"/>
            <w:vAlign w:val="center"/>
          </w:tcPr>
          <w:p ns2:paraId="0053F20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化学品固有危险性等级</w:t>
            </w:r>
          </w:p>
        </w:tc>
      </w:tr>
      <w:tr ns2:paraId="04768D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4515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69A4CB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4524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5439B1B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</w:tr>
      <w:tr ns2:paraId="7654EE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451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5744E1B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16EED2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</w:tr>
      <w:tr ns2:paraId="1D770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4515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760F93F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center"/>
          </w:tcPr>
          <w:p ns2:paraId="6CD1DF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I</w:t>
            </w:r>
          </w:p>
        </w:tc>
      </w:tr>
    </w:tbl>
    <w:p ns2:paraId="5CCBA3C5">
      <w:pPr>
        <w:rPr>
          <w:rFonts w:ascii="Arial"/>
          <w:sz w:val="21"/>
        </w:rPr>
      </w:pPr>
    </w:p>
    <w:p ns2:paraId="5567705F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413" w:lineRule="auto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3、气象灾害（防雷）防御重点单位防雷安全风险等级（R）</w:t>
      </w:r>
    </w:p>
    <w:p ns2:paraId="23B71D17">
      <w:pPr>
        <w:rPr>
          <w:rFonts w:ascii="Arial" w:hAnsi="Arial" w:eastAsia="Arial" w:cs="Arial"/>
          <w:sz w:val="21"/>
          <w:szCs w:val="21"/>
        </w:rPr>
      </w:pPr>
    </w:p>
    <w:p ns2:paraId="31228EBB">
      <w:p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根据雷电灾害事故发生可能性(L)和雷电灾害事故后果严重性(S),按照下列公式计算出该公司防雷安全风险值(R)。</w:t>
      </w:r>
    </w:p>
    <w:p ns2:paraId="722F8D32">
      <w:pPr>
        <w:spacing w:line="360" w:lineRule="auto"/>
        <w:jc w:val="center"/>
        <w:rPr>
          <w:rFonts w:hint="default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</w:pPr>
      <w:r>
        <w:rPr>
          <w:rFonts w:hint="eastAsia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R=L×S=</w:t>
      </w:r>
      <w:r>
        <w:rPr>
          <w:rFonts w:hint="eastAsia" w:ascii="仿宋" w:hAnsi="仿宋" w:eastAsia="微软雅黑" w:cs="仿宋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1×3=3</w:t>
      </w:r>
    </w:p>
    <w:p ns2:paraId="4743742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经综合评定，对照下列“风险评估指标危险等级表”，判定该公司存在：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较高气象（雷电）灾害风险。</w:t>
      </w:r>
    </w:p>
    <w:p ns2:paraId="7920C6B3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表A. 8  风险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评估指标危险等级</w:t>
      </w:r>
    </w:p>
    <w:p ns2:paraId="41E7FA52">
      <w:pPr>
        <w:spacing w:line="208" w:lineRule="exact"/>
      </w:pPr>
    </w:p>
    <w:tbl>
      <w:tblPr>
        <w:tblStyle w:val="15"/>
        <w:tblW w:w="923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1"/>
        <w:gridCol w:w="3062"/>
        <w:gridCol w:w="3106"/>
      </w:tblGrid>
      <w:tr ns2:paraId="6CA11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6B41DA8F">
            <w:pPr>
              <w:spacing w:before="92" w:line="183" w:lineRule="auto"/>
              <w:ind w:left="117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危险等级</w:t>
            </w:r>
          </w:p>
        </w:tc>
        <w:tc>
          <w:tcPr>
            <w:tcW w:w="3062" w:type="dxa"/>
            <w:tcBorders>
              <w:top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DA44955">
            <w:pPr>
              <w:pStyle w:val="14"/>
              <w:spacing w:before="155" w:line="102" w:lineRule="exact"/>
              <w:ind w:left="1489"/>
              <w:rPr>
                <w:rFonts w:hint="eastAsia" w:eastAsia="微软雅黑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position w:val="1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310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5F87881D">
            <w:pPr>
              <w:spacing w:before="92" w:line="182" w:lineRule="auto"/>
              <w:ind w:left="138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说明</w:t>
            </w:r>
          </w:p>
        </w:tc>
      </w:tr>
      <w:tr ns2:paraId="1D5B5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top"/>
          </w:tcPr>
          <w:p ns2:paraId="7C9966F9">
            <w:pPr>
              <w:spacing w:before="86" w:line="183" w:lineRule="auto"/>
              <w:ind w:left="139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position w:val="-1"/>
                <w:sz w:val="21"/>
                <w:szCs w:val="21"/>
              </w:rPr>
              <w:t>I</w:t>
            </w:r>
            <w:r>
              <w:rPr>
                <w:rFonts w:ascii="微软雅黑" w:hAnsi="微软雅黑" w:eastAsia="微软雅黑" w:cs="微软雅黑"/>
                <w:spacing w:val="21"/>
                <w:w w:val="101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1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tcBorders>
              <w:top w:val="single" w:color="000000" w:sz="6" w:space="0"/>
            </w:tcBorders>
            <w:noWrap w:val="0"/>
            <w:vAlign w:val="top"/>
          </w:tcPr>
          <w:p ns2:paraId="6583ABBC">
            <w:pPr>
              <w:pStyle w:val="14"/>
              <w:spacing w:before="75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0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3BBF5B72">
            <w:pPr>
              <w:spacing w:before="86" w:line="184" w:lineRule="auto"/>
              <w:ind w:left="1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4"/>
                <w:sz w:val="21"/>
                <w:szCs w:val="21"/>
              </w:rPr>
              <w:t>低风险</w:t>
            </w:r>
          </w:p>
        </w:tc>
      </w:tr>
      <w:tr ns2:paraId="2226A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5E3DBDDD">
            <w:pPr>
              <w:spacing w:before="97" w:line="183" w:lineRule="auto"/>
              <w:ind w:left="139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7"/>
                <w:position w:val="-1"/>
                <w:sz w:val="21"/>
                <w:szCs w:val="21"/>
              </w:rPr>
              <w:t>Ⅱ</w:t>
            </w:r>
            <w:r>
              <w:rPr>
                <w:rFonts w:ascii="微软雅黑" w:hAnsi="微软雅黑" w:eastAsia="微软雅黑" w:cs="微软雅黑"/>
                <w:spacing w:val="-27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noWrap w:val="0"/>
            <w:vAlign w:val="top"/>
          </w:tcPr>
          <w:p ns2:paraId="549C19B1">
            <w:pPr>
              <w:pStyle w:val="14"/>
              <w:spacing w:before="86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9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4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7A1FAFAD">
            <w:pPr>
              <w:spacing w:before="97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较低风险</w:t>
            </w:r>
          </w:p>
        </w:tc>
      </w:tr>
      <w:tr ns2:paraId="25B5F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6A28CEFF">
            <w:pPr>
              <w:spacing w:before="98" w:line="183" w:lineRule="auto"/>
              <w:ind w:left="138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Ⅲ级</w:t>
            </w:r>
          </w:p>
        </w:tc>
        <w:tc>
          <w:tcPr>
            <w:tcW w:w="3062" w:type="dxa"/>
            <w:noWrap w:val="0"/>
            <w:vAlign w:val="top"/>
          </w:tcPr>
          <w:p ns2:paraId="1A755A6F">
            <w:pPr>
              <w:pStyle w:val="14"/>
              <w:spacing w:before="87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2"/>
                <w:sz w:val="21"/>
                <w:szCs w:val="21"/>
              </w:rPr>
              <w:t>6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4A960D35">
            <w:pPr>
              <w:spacing w:before="99" w:line="183" w:lineRule="auto"/>
              <w:ind w:left="121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中等风险</w:t>
            </w:r>
          </w:p>
        </w:tc>
      </w:tr>
      <w:tr ns2:paraId="49C8B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79FE2815">
            <w:pPr>
              <w:spacing w:before="100" w:line="183" w:lineRule="auto"/>
              <w:ind w:left="137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4"/>
                <w:sz w:val="21"/>
                <w:szCs w:val="21"/>
              </w:rPr>
              <w:t>Ⅳ级</w:t>
            </w:r>
          </w:p>
        </w:tc>
        <w:tc>
          <w:tcPr>
            <w:tcW w:w="3062" w:type="dxa"/>
            <w:noWrap w:val="0"/>
            <w:vAlign w:val="top"/>
          </w:tcPr>
          <w:p ns2:paraId="28D79409">
            <w:pPr>
              <w:pStyle w:val="14"/>
              <w:spacing w:before="89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[</w:t>
            </w:r>
            <w:r>
              <w:rPr>
                <w:spacing w:val="-3"/>
                <w:sz w:val="21"/>
                <w:szCs w:val="21"/>
              </w:rPr>
              <w:t>6</w:t>
            </w:r>
            <w:r>
              <w:rPr>
                <w:spacing w:val="7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8</w:t>
            </w: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0A49D81B">
            <w:pPr>
              <w:spacing w:before="100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较高风险</w:t>
            </w:r>
          </w:p>
        </w:tc>
      </w:tr>
      <w:tr ns2:paraId="6B2BB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5D3F00DB">
            <w:pPr>
              <w:spacing w:before="101" w:line="183" w:lineRule="auto"/>
              <w:ind w:left="137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26"/>
                <w:sz w:val="21"/>
                <w:szCs w:val="21"/>
              </w:rPr>
              <w:t>V级</w:t>
            </w:r>
          </w:p>
        </w:tc>
        <w:tc>
          <w:tcPr>
            <w:tcW w:w="3062" w:type="dxa"/>
            <w:tcBorders>
              <w:bottom w:val="single" w:color="000000" w:sz="6" w:space="0"/>
            </w:tcBorders>
            <w:noWrap w:val="0"/>
            <w:vAlign w:val="top"/>
          </w:tcPr>
          <w:p ns2:paraId="2A5A0C96">
            <w:pPr>
              <w:pStyle w:val="14"/>
              <w:spacing w:before="90" w:line="178" w:lineRule="auto"/>
              <w:ind w:left="127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[</w:t>
            </w:r>
            <w:r>
              <w:rPr>
                <w:spacing w:val="-1"/>
                <w:sz w:val="21"/>
                <w:szCs w:val="21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1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1"/>
                <w:sz w:val="21"/>
                <w:szCs w:val="21"/>
              </w:rPr>
              <w:t>10</w:t>
            </w: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]</w:t>
            </w:r>
          </w:p>
        </w:tc>
        <w:tc>
          <w:tcPr>
            <w:tcW w:w="3106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32918D3F">
            <w:pPr>
              <w:spacing w:before="101" w:line="184" w:lineRule="auto"/>
              <w:ind w:left="129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3"/>
                <w:sz w:val="21"/>
                <w:szCs w:val="21"/>
              </w:rPr>
              <w:t>高风险</w:t>
            </w:r>
          </w:p>
        </w:tc>
      </w:tr>
      <w:tr ns2:paraId="42D32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9239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top"/>
          </w:tcPr>
          <w:p ns2:paraId="7BB3EB8F">
            <w:pPr>
              <w:pStyle w:val="14"/>
              <w:spacing w:before="146" w:line="161" w:lineRule="auto"/>
              <w:ind w:left="47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  <w:i/>
                <w:iCs/>
                <w:spacing w:val="20"/>
                <w:position w:val="-2"/>
                <w:sz w:val="21"/>
                <w:szCs w:val="21"/>
                <w:lang w:val="en-US" w:eastAsia="zh-CN"/>
              </w:rPr>
              <w:t>R</w:t>
            </w:r>
            <w:r>
              <w:rPr>
                <w:rFonts w:ascii="微软雅黑" w:hAnsi="微软雅黑" w:eastAsia="微软雅黑" w:cs="微软雅黑"/>
                <w:spacing w:val="20"/>
                <w:sz w:val="21"/>
                <w:szCs w:val="21"/>
              </w:rPr>
              <w:t>值与对应风险(用色标表示)的关系如下:</w:t>
            </w:r>
          </w:p>
        </w:tc>
      </w:tr>
      <w:tr ns2:paraId="1E345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923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7FE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综合评估（R）及对应风险</w:t>
            </w:r>
          </w:p>
          <w:p ns2:paraId="79E67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drawing>
                <ns4:inline distT="0" distB="0" distL="114300" distR="114300">
                  <ns4:extent cx="2562225" cy="861060"/>
                  <ns4:effectExtent l="0" t="0" r="3175" b="2540"/>
                  <ns4:docPr id="1" name="图片 20"/>
                  <ns4:cNvGraphicFramePr>
                    <ns5:graphicFrameLocks noChangeAspect="1"/>
                  </ns4:cNvGraphicFramePr>
                  <ns5:graphic>
                    <ns5:graphicData uri="http://schemas.openxmlformats.org/drawingml/2006/picture">
                      <ns6:pic>
                        <ns6:nvPicPr>
                          <ns6:cNvPr id="1" name="图片 20"/>
                          <ns6:cNvPicPr>
                            <ns5:picLocks noChangeAspect="1"/>
                          </ns6:cNvPicPr>
                        </ns6:nvPicPr>
                        <ns6:blipFill>
                          <ns5:blip ns3:embed="rId10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562225" cy="8610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4:inline>
              </w:drawing>
            </w:r>
          </w:p>
        </w:tc>
      </w:tr>
    </w:tbl>
    <w:p ns2:paraId="55990535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9C3C7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E4CDAE8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sectPr>
          <w:footerReference ns3:id="rId5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0033718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附件3: 气象灾害防御（防雷）重点单位隐患排查表</w:t>
      </w:r>
    </w:p>
    <w:p ns2:paraId="0EC144D9"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气象灾害防御（防雷）重点单位隐患排查表</w:t>
      </w:r>
    </w:p>
    <w:tbl>
      <w:tblPr>
        <w:tblStyle w:val="10"/>
        <w:tblW w:w="10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524"/>
        <w:gridCol w:w="3152"/>
        <w:gridCol w:w="1212"/>
        <w:gridCol w:w="1325"/>
        <w:gridCol w:w="2801"/>
      </w:tblGrid>
      <w:tr ns2:paraId="04F5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  <w:jc w:val="center"/>
        </w:trPr>
        <w:tc>
          <w:tcPr>
            <w:tcW w:w="1301" w:type="dxa"/>
            <w:noWrap w:val="0"/>
            <w:vAlign w:val="center"/>
          </w:tcPr>
          <w:p ns2:paraId="4A234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分类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0E65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项目内容</w:t>
            </w:r>
          </w:p>
        </w:tc>
        <w:tc>
          <w:tcPr>
            <w:tcW w:w="1212" w:type="dxa"/>
            <w:noWrap w:val="0"/>
            <w:vAlign w:val="center"/>
          </w:tcPr>
          <w:p ns2:paraId="6B13B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标准依据</w:t>
            </w:r>
          </w:p>
        </w:tc>
        <w:tc>
          <w:tcPr>
            <w:tcW w:w="1325" w:type="dxa"/>
            <w:noWrap w:val="0"/>
            <w:vAlign w:val="center"/>
          </w:tcPr>
          <w:p ns2:paraId="5D734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判定结果</w:t>
            </w:r>
          </w:p>
        </w:tc>
        <w:tc>
          <w:tcPr>
            <w:tcW w:w="2801" w:type="dxa"/>
            <w:noWrap w:val="0"/>
            <w:vAlign w:val="center"/>
          </w:tcPr>
          <w:p ns2:paraId="290A6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隐患具体描述</w:t>
            </w:r>
          </w:p>
        </w:tc>
      </w:tr>
      <w:tr ns2:paraId="5A0E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41E7F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气象灾害防御（防雷）安全管理情况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3FE7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1、是否建立气象（雷电）灾害预警信息接收和响应机制，并正常运行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5ADE7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《防雷安全重点单位雷电灾害防御工作指南</w:t>
            </w:r>
          </w:p>
          <w:p ns2:paraId="0453E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》QX/T 694—2023:</w:t>
            </w:r>
          </w:p>
          <w:p ns2:paraId="434934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5、防雷管理 5.1、5.2、5.3、5.4、5.5。</w:t>
            </w:r>
          </w:p>
          <w:p ns2:paraId="52F9DD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6.5、雷电灾害风险隐患排查分级治理 6.5.1、6.5.2、6.5.3、</w:t>
            </w:r>
          </w:p>
        </w:tc>
        <w:tc>
          <w:tcPr>
            <w:tcW w:w="1325" w:type="dxa"/>
            <w:noWrap w:val="0"/>
            <w:vAlign w:val="center"/>
          </w:tcPr>
          <w:p ns2:paraId="0B285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DB9AD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628C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50854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55A2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2、是否建立气象（雷电）灾害安全管理工作机构，配备有专（兼）管理人员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41A56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F9562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06B7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538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3BBCD3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E883A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3、是否建立健全气象灾害（防雷）安全工作责任制和安全管理制度，并定期召开防御能力分析会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61844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43A4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926C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6F4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159AA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46969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4、是否制定有气象（雷电）灾害应急预案，并定期组织演练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DF2CB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938A3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A9F7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A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0140C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24DC9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5、是否建立有必备的气象（雷电）灾害应急物资储备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C3B9D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0A83D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C06A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999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B4FD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84F99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6、是否接入“市气象局气象安全管理监察平台”，并按要求开展每季度自查自报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977B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9F96E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B8FB8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1F1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476A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AFA2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7、接收到预警信息后，是否能有效组织应急联动与灾害处置，并及时报送灾情情况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51626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AD3A2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1EA3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998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5D365C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A1B4E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制定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有气象灾害防御（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安全教育培训计划,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并有针对性地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组织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气象灾害（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安全知识培训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135C2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A40ED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0F692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C93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4E4CD6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1225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9、是否将气象灾害（防雷）安全保障投入，列入安全生产经费保障计划中，并落实到位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01F36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AC1DB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A3D45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74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116A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FD16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10、是否建立有气象灾害防御（防雷）安全工作档案，并保存完整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7BD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A0074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2ABE8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D0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5C9595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1F4178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11、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满足 GB50057 中的间隔距离要求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37BDC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《建筑物防雷设计规范》</w:t>
            </w:r>
          </w:p>
          <w:p ns2:paraId="60A8F02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GB50057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-2022：</w:t>
            </w:r>
          </w:p>
          <w:p ns2:paraId="06803BA2">
            <w:pPr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4.2，4.3，4.4</w:t>
            </w:r>
          </w:p>
        </w:tc>
        <w:tc>
          <w:tcPr>
            <w:tcW w:w="1325" w:type="dxa"/>
            <w:noWrap w:val="0"/>
            <w:vAlign w:val="center"/>
          </w:tcPr>
          <w:p ns2:paraId="1F68E2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23B3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634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0E32C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CAE32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12、是否存在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7283A60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E0A437D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B3FD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409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27160D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3B67A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13、一、二级配电箱及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电气、仪表及信息系统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是否按相关标准规范要求配置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电涌保护器（SPD）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1CBEE41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458D223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01844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14C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8E6E9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06E27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14、是否按要求，定期对雷电防护装置进行检测，对存在的隐患及时整改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58DE78DF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建筑物雷电防护装置检测技术规范</w:t>
            </w:r>
          </w:p>
          <w:p ns2:paraId="69DAD8D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》GB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T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21431-2023</w:t>
            </w:r>
          </w:p>
        </w:tc>
        <w:tc>
          <w:tcPr>
            <w:tcW w:w="1325" w:type="dxa"/>
            <w:noWrap w:val="0"/>
            <w:vAlign w:val="center"/>
          </w:tcPr>
          <w:p ns2:paraId="5EC9B3F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4C1A2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F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6B9F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02CF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15、是否定期对雷电防护装备开展巡查、排查，并落实整改措施形成闭环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09F423D1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2909C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6672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A5F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E288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948D8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16、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防雷设计审查意见或防雷施工图审查意见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0D05A82A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06522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703998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D4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F9F9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1933A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17、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取得竣工验收合格报告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4444678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773AA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ECF2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2E7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noWrap w:val="0"/>
            <w:vAlign w:val="center"/>
          </w:tcPr>
          <w:p ns2:paraId="3A9DF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3D44E6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对人员密集场所且具有雷击风险的户外区域、具有爆炸和火灾危险环境的露天生产设备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设置护栏、警告牌等防雷安全标志</w:t>
            </w:r>
          </w:p>
        </w:tc>
        <w:tc>
          <w:tcPr>
            <w:tcW w:w="1212" w:type="dxa"/>
            <w:noWrap w:val="0"/>
            <w:vAlign w:val="center"/>
          </w:tcPr>
          <w:p ns2:paraId="5F7F994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0C65E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55C6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1F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FE7C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415A55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19、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来，是否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16FD3DA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EF97A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3917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FB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45D8C7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BE02F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20、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遭受过雷电灾害,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未向气象主管机构上报灾害情况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0C5547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49C8E9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85A2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292A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  <w:jc w:val="center"/>
        </w:trPr>
        <w:tc>
          <w:tcPr>
            <w:tcW w:w="10315" w:type="dxa"/>
            <w:gridSpan w:val="6"/>
            <w:noWrap w:val="0"/>
            <w:vAlign w:val="top"/>
          </w:tcPr>
          <w:p ns2:paraId="16548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其它：</w:t>
            </w:r>
          </w:p>
        </w:tc>
      </w:tr>
      <w:tr ns2:paraId="2893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6717C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核查人员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357FC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</w:p>
        </w:tc>
      </w:tr>
      <w:tr ns2:paraId="786C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01E71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被检单位</w:t>
            </w:r>
          </w:p>
          <w:p ns2:paraId="6A203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（签字</w:t>
            </w:r>
            <w:r>
              <w:rPr>
                <w:rFonts w:hint="default" w:ascii="仿宋_GB2312" w:hAnsi="仿宋_GB2312" w:eastAsia="仿宋_GB2312" w:cs="仿宋_GB2312"/>
                <w:sz w:val="24"/>
                <w:lang w:val="en" w:eastAsia="zh-CN"/>
              </w:rPr>
              <w:t>/</w:t>
            </w:r>
            <w:r>
              <w:rPr>
                <w:rFonts w:hint="eastAsia" w:ascii="仿宋_GB2312" w:hAnsi="仿宋_GB2312" w:eastAsia="仿宋_GB2312" w:cs="仿宋_GB2312"/>
                <w:sz w:val="24"/>
                <w:lang w:val="en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）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09735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</w:tr>
    </w:tbl>
    <w:p ns2:paraId="62E30E4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sz w:val="40"/>
          <w:szCs w:val="22"/>
          <w:lang w:val="en-US" w:eastAsia="zh-CN"/>
        </w:rPr>
        <w:sectPr>
          <w:pgSz w:w="11905" w:h="16836"/>
          <w:pgMar w:top="1655" w:right="1327" w:bottom="1400" w:left="1327" w:header="1356" w:footer="1225" w:gutter="0"/>
          <w:paperSrc/>
          <w:pgNumType w:fmt="decimal"/>
          <w:cols w:space="720" w:num="1"/>
          <w:rtlGutter w:val="0"/>
          <w:docGrid w:linePitch="0" w:charSpace="0"/>
        </w:sectPr>
      </w:pPr>
    </w:p>
    <w:p ns2:paraId="59D4F0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附件4：现场检查与核对照片</w:t>
      </w:r>
    </w:p>
    <w:p ns2:paraId="6600F8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ns2:paraId="33594A4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1、防雷检测报告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ns2:paraId="09E8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2" w:hRule="atLeast"/>
        </w:trPr>
        <w:tc>
          <w:tcPr>
            <w:tcW w:w="8520" w:type="dxa"/>
            <w:noWrap w:val="0"/>
            <w:vAlign w:val="top"/>
          </w:tcPr>
          <w:p ns2:paraId="0A920D73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5E81D2E9">
      <w:pPr>
        <w:rPr>
          <w:color w:val="auto"/>
        </w:rPr>
      </w:pPr>
    </w:p>
    <w:p ns2:paraId="396832C3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2、单位营业执照</w:t>
      </w:r>
    </w:p>
    <w:tbl>
      <w:tblPr>
        <w:tblStyle w:val="10"/>
        <w:tblW w:w="8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1"/>
      </w:tblGrid>
      <w:tr ns2:paraId="6D88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2" w:hRule="atLeast"/>
        </w:trPr>
        <w:tc>
          <w:tcPr>
            <w:tcW w:w="8351" w:type="dxa"/>
            <w:noWrap w:val="0"/>
            <w:vAlign w:val="top"/>
          </w:tcPr>
          <w:p ns2:paraId="23423262">
            <w:pPr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6ED6C75C">
      <w:pPr>
        <w:rPr>
          <w:rFonts w:ascii="宋体" w:hAnsi="宋体" w:cs="宋体"/>
          <w:color w:val="auto"/>
          <w:sz w:val="36"/>
          <w:szCs w:val="36"/>
        </w:rPr>
      </w:pPr>
    </w:p>
    <w:p ns2:paraId="7B08CC6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3、现场照片</w:t>
      </w:r>
    </w:p>
    <w:tbl>
      <w:tblPr>
        <w:tblStyle w:val="10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309"/>
      </w:tblGrid>
      <w:tr ns2:paraId="284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218CEEDF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1423A3EC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</w:tr>
      <w:tr ns2:paraId="08D5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09B5472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公司</w:t>
            </w:r>
            <w:r>
              <w:rPr>
                <w:rFonts w:hint="eastAsia" w:ascii="宋体" w:hAnsi="宋体" w:cs="宋体"/>
                <w:color w:val="auto"/>
                <w:sz w:val="32"/>
                <w:szCs w:val="32"/>
                <w:lang w:eastAsia="zh-CN"/>
              </w:rPr>
              <w:t>门面照</w:t>
            </w:r>
          </w:p>
        </w:tc>
        <w:tc>
          <w:tcPr>
            <w:tcW w:w="4309" w:type="dxa"/>
            <w:noWrap w:val="0"/>
            <w:vAlign w:val="center"/>
          </w:tcPr>
          <w:p ns2:paraId="5AB880BB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</w:t>
            </w:r>
          </w:p>
        </w:tc>
      </w:tr>
      <w:tr ns2:paraId="2485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1EABCDF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56B064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</w:p>
        </w:tc>
      </w:tr>
      <w:tr ns2:paraId="47AB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1314A740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  <w:tc>
          <w:tcPr>
            <w:tcW w:w="4309" w:type="dxa"/>
            <w:noWrap w:val="0"/>
            <w:vAlign w:val="center"/>
          </w:tcPr>
          <w:p ns2:paraId="6B5686A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</w:tr>
      <w:tr ns2:paraId="06A2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651CA282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2C12780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</w:tr>
      <w:tr ns2:paraId="3CC6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23890D34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应急物资</w:t>
            </w:r>
          </w:p>
        </w:tc>
        <w:tc>
          <w:tcPr>
            <w:tcW w:w="4309" w:type="dxa"/>
            <w:noWrap w:val="0"/>
            <w:vAlign w:val="center"/>
          </w:tcPr>
          <w:p ns2:paraId="6692DF1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主要风险点部位</w:t>
            </w:r>
          </w:p>
        </w:tc>
      </w:tr>
      <w:tr ns2:paraId="1C8C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0E8C5B49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68F18F45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</w:tr>
      <w:tr ns2:paraId="1F06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4309" w:type="dxa"/>
            <w:noWrap w:val="0"/>
            <w:vAlign w:val="center"/>
          </w:tcPr>
          <w:p ns2:paraId="246945F5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企业自查自报</w:t>
            </w:r>
          </w:p>
        </w:tc>
        <w:tc>
          <w:tcPr>
            <w:tcW w:w="4309" w:type="dxa"/>
            <w:noWrap w:val="0"/>
            <w:vAlign w:val="center"/>
          </w:tcPr>
          <w:p ns2:paraId="3147C807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雷电监测设备</w:t>
            </w:r>
          </w:p>
        </w:tc>
      </w:tr>
    </w:tbl>
    <w:p ns2:paraId="7703C0AC">
      <w:pPr>
        <w:jc w:val="center"/>
        <w:rPr>
          <w:rFonts w:hint="eastAsia" w:ascii="宋体" w:hAnsi="宋体" w:eastAsia="宋体" w:cs="宋体"/>
          <w:color w:val="auto"/>
          <w:sz w:val="36"/>
          <w:szCs w:val="36"/>
          <w:lang w:eastAsia="zh-CN"/>
        </w:rPr>
        <w:sectPr>
          <w:footerReference ns3:id="rId6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ns2:paraId="588537C9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4、气象灾害防御主体责任承诺书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ns2:paraId="2588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5" w:hRule="atLeast"/>
          <w:jc w:val="center"/>
        </w:trPr>
        <w:tc>
          <w:tcPr>
            <w:tcW w:w="8522" w:type="dxa"/>
            <w:noWrap w:val="0"/>
            <w:vAlign w:val="top"/>
          </w:tcPr>
          <w:p ns2:paraId="791754E9">
            <w:pPr>
              <w:rPr>
                <w:rFonts w:hint="eastAsia" w:ascii="方正小标宋简体" w:hAnsi="宋体" w:eastAsia="方正小标宋简体" w:cs="宋体"/>
                <w:color w:val="auto"/>
                <w:sz w:val="52"/>
                <w:szCs w:val="52"/>
                <w:lang w:eastAsia="zh-CN"/>
              </w:rPr>
            </w:pPr>
          </w:p>
        </w:tc>
      </w:tr>
    </w:tbl>
    <w:p ns2:paraId="1D28540A">
      <w:pPr>
        <w:rPr>
          <w:color w:val="auto"/>
        </w:rPr>
      </w:pPr>
    </w:p>
    <w:p ns2:paraId="6F0F13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1905" w:h="16836"/>
          <w:pgMar w:top="1654" w:right="1324" w:bottom="1401" w:left="1324" w:header="1356" w:footer="1224" w:gutter="0"/>
          <w:pgNumType w:fmt="decimal"/>
          <w:cols w:space="720" w:num="1"/>
        </w:sectPr>
      </w:pPr>
    </w:p>
    <w:p ns2:paraId="24DAB1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附件5：气象灾害防御（防雷）安全重点单位“重点部位”风险分类分级管控清单</w:t>
      </w:r>
    </w:p>
    <w:p ns2:paraId="3A58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1" w:beforeLines="50" w:line="360" w:lineRule="auto"/>
        <w:jc w:val="center"/>
        <w:textAlignment w:val="auto"/>
        <w:rPr>
          <w:rFonts w:hint="eastAsia" w:ascii="黑体" w:hAnsi="黑体" w:eastAsia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气象灾害防御（防雷）安全重点单位“重点部位”风险分类分级管控清单</w:t>
      </w:r>
    </w:p>
    <w:p ns2:paraId="79318161"/>
    <w:tbl>
      <w:tblPr>
        <w:tblStyle w:val="9"/>
        <w:tblW w:w="14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26"/>
        <w:gridCol w:w="2256"/>
        <w:gridCol w:w="2016"/>
        <w:gridCol w:w="1390"/>
        <w:gridCol w:w="1275"/>
        <w:gridCol w:w="5670"/>
      </w:tblGrid>
      <w:tr ns2:paraId="6C10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04" w:type="dxa"/>
            <w:noWrap w:val="0"/>
            <w:vAlign w:val="center"/>
          </w:tcPr>
          <w:p ns2:paraId="20955BDD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序号</w:t>
            </w:r>
          </w:p>
        </w:tc>
        <w:tc>
          <w:tcPr>
            <w:tcW w:w="1426" w:type="dxa"/>
            <w:noWrap w:val="0"/>
            <w:vAlign w:val="center"/>
          </w:tcPr>
          <w:p ns2:paraId="0B7AFC1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场所</w:t>
            </w:r>
          </w:p>
        </w:tc>
        <w:tc>
          <w:tcPr>
            <w:tcW w:w="2256" w:type="dxa"/>
            <w:noWrap w:val="0"/>
            <w:vAlign w:val="center"/>
          </w:tcPr>
          <w:p ns2:paraId="274390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风险描述</w:t>
            </w:r>
          </w:p>
        </w:tc>
        <w:tc>
          <w:tcPr>
            <w:tcW w:w="2016" w:type="dxa"/>
            <w:noWrap w:val="0"/>
            <w:vAlign w:val="center"/>
          </w:tcPr>
          <w:p ns2:paraId="654D00E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可能导致的事故类型</w:t>
            </w:r>
          </w:p>
        </w:tc>
        <w:tc>
          <w:tcPr>
            <w:tcW w:w="1390" w:type="dxa"/>
            <w:noWrap w:val="0"/>
            <w:vAlign w:val="center"/>
          </w:tcPr>
          <w:p ns2:paraId="3E0ACE11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风险等级</w:t>
            </w:r>
          </w:p>
        </w:tc>
        <w:tc>
          <w:tcPr>
            <w:tcW w:w="1275" w:type="dxa"/>
            <w:noWrap w:val="0"/>
            <w:vAlign w:val="center"/>
          </w:tcPr>
          <w:p ns2:paraId="5BA4114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标示颜色</w:t>
            </w:r>
          </w:p>
        </w:tc>
        <w:tc>
          <w:tcPr>
            <w:tcW w:w="5670" w:type="dxa"/>
            <w:noWrap w:val="0"/>
            <w:vAlign w:val="center"/>
          </w:tcPr>
          <w:p ns2:paraId="12B8927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管控措施</w:t>
            </w:r>
          </w:p>
        </w:tc>
      </w:tr>
      <w:tr ns2:paraId="1758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6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18F4F7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BD536A9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气罐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</w:p>
          <w:p ns2:paraId="32515CB2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（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）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CE2B9CD">
            <w:pPr>
              <w:jc w:val="left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作业时，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罐车及卸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管接头泄漏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，遭遇雷击。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45498738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176CB37C">
            <w:pPr>
              <w:jc w:val="center"/>
              <w:rPr>
                <w:rFonts w:hint="eastAsia" w:ascii="仿宋_GB2312" w:eastAsia="仿宋_GB2312"/>
                <w:color w:val="FF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较</w:t>
            </w:r>
            <w:r>
              <w:rPr>
                <w:rFonts w:hint="eastAsia" w:ascii="仿宋_GB2312" w:eastAsia="仿宋_GB2312"/>
                <w:color w:val="FF0000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1302893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4F5C9E3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前车辆停稳、熄火、静置。</w:t>
            </w:r>
          </w:p>
          <w:p ns2:paraId="2FBF26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前应连接静电接地夹。</w:t>
            </w:r>
          </w:p>
          <w:p ns2:paraId="20B8373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时周边进行隔离，禁止其他人员或车间进入。</w:t>
            </w:r>
          </w:p>
          <w:p ns2:paraId="235D83B8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</w:t>
            </w:r>
          </w:p>
          <w:p ns2:paraId="583A358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2AAEA4A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08AE828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7.现场配备灭火器、消防砂等应急物资。</w:t>
            </w:r>
          </w:p>
          <w:p ns2:paraId="43B62C0D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66C1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232B02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A0B2EF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区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58346C7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液化石油气</w:t>
            </w:r>
            <w:r>
              <w:rPr>
                <w:rFonts w:hint="eastAsia" w:ascii="仿宋_GB2312" w:eastAsia="仿宋_GB2312"/>
                <w:sz w:val="24"/>
              </w:rPr>
              <w:t>泄露遭遇雷击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0AEB2C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7F4EE9D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较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4D269DE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3EF9FFC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机设置设置拉断阀、截切阀。</w:t>
            </w:r>
          </w:p>
          <w:p ns2:paraId="58A14F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气机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端部位设置防撞栏，如加装金属防撞要加装接地措施。</w:t>
            </w:r>
          </w:p>
          <w:p ns2:paraId="5DDFFEA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3.设置油气回收装置。</w:t>
            </w:r>
          </w:p>
          <w:p ns2:paraId="5DB0731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4.定期安全教育培训。</w:t>
            </w:r>
          </w:p>
          <w:p ns2:paraId="0C389B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4B1F38C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4C76060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7.现场配备灭火器、消防砂、灭火毯等应急物资。</w:t>
            </w:r>
          </w:p>
          <w:p ns2:paraId="09051DA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3418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2F94076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28E42E2B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2894DA9A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6B88185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791B632F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2D19296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2A497FA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28B2C4F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2D2D622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499D2E9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1B9A1CB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1471318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6E0B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6B9534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EB8A0B9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储罐房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D44880F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水淹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DE35E2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F9C6C29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AA5B5F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753170C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5517444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3E67324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31B378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2F28DE5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68A2DEA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725E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B0CCDA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719806A1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站周边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597E8E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遇到暴雨，山体水土流失发生坍塌，对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加气</w:t>
            </w:r>
            <w:r>
              <w:rPr>
                <w:rFonts w:hint="eastAsia" w:ascii="仿宋_GB2312" w:eastAsia="仿宋_GB2312"/>
                <w:sz w:val="24"/>
              </w:rPr>
              <w:t>站的设备设施造成损坏，甚至造成人员伤亡。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CD04B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坍塌、物体打击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D239644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796B42B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DDB102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1.设置防护措施、警示标志等。</w:t>
            </w:r>
          </w:p>
          <w:p ns2:paraId="594AB2A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2.定期进行巡查，发现异常报相关部门检测。</w:t>
            </w:r>
          </w:p>
          <w:p ns2:paraId="76C9167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3.收到气象灾害预警时，设置警戒线，禁止人员靠近。</w:t>
            </w:r>
          </w:p>
          <w:p ns2:paraId="425982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4.定期开展应急演练。</w:t>
            </w:r>
          </w:p>
        </w:tc>
      </w:tr>
      <w:tr ns2:paraId="2B79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1C5C1A7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6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0D29D00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办公楼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93768A3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电气线路老化、过载、人员抽烟、纸张堆放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BE03C4F">
            <w:pPr>
              <w:jc w:val="lef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火灾、触电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62C0DB4D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0070C0"/>
            <w:noWrap w:val="0"/>
            <w:vAlign w:val="center"/>
          </w:tcPr>
          <w:p ns2:paraId="7C152F2B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3F7FC3FE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1.定期检查电气线路。</w:t>
            </w:r>
          </w:p>
          <w:p ns2:paraId="70B2E2E6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2.纸张不摆放在电气设备旁。</w:t>
            </w:r>
          </w:p>
          <w:p ns2:paraId="09DE7E80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3.禁止人员抽烟。</w:t>
            </w:r>
          </w:p>
        </w:tc>
      </w:tr>
      <w:tr ns2:paraId="529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31580100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0FB7E3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1C04DF4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3381B73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833412F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4689EBC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7440DA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11CD2025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025DA310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0C577C23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126D03C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4BC9ED7A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  <w:tr ns2:paraId="7935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AA98426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181D65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2"/>
                <w:sz w:val="24"/>
                <w:szCs w:val="24"/>
                <w:lang w:val="en-US" w:eastAsia="zh-CN" w:bidi="ar-SA"/>
              </w:rPr>
              <w:t>候车厅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019C1D1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69C5B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0FDE54D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4874CB"/>
            <w:noWrap w:val="0"/>
            <w:vAlign w:val="center"/>
          </w:tcPr>
          <w:p ns2:paraId="1302C922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5112EE0B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6B56F567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705D63F2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1798C251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73ECC3F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7625090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</w:tbl>
    <w:p ns2:paraId="3E4F28AB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DBA3FE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FEE73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F1CDB7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930BBF5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1C6F080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8D6AE59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C2B86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附件6：风险四色图</w:t>
      </w:r>
    </w:p>
    <w:p ns2:paraId="047E5A7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风险四色图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4"/>
      </w:tblGrid>
      <w:tr ns2:paraId="7501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8" w:hRule="atLeast"/>
        </w:trPr>
        <w:tc>
          <w:tcPr>
            <w:tcW w:w="14174" w:type="dxa"/>
            <w:noWrap w:val="0"/>
            <w:vAlign w:val="top"/>
          </w:tcPr>
          <w:p ns2:paraId="72E10187">
            <w:pPr>
              <w:pStyle w:val="14"/>
              <w:numPr>
                <w:ilvl w:val="0"/>
                <w:numId w:val="0"/>
              </w:numPr>
              <w:spacing w:before="143" w:line="184" w:lineRule="auto"/>
              <w:jc w:val="center"/>
              <w:rPr>
                <w:rFonts w:hint="default" w:ascii="黑体" w:hAnsi="黑体" w:eastAsia="黑体" w:cs="黑体"/>
                <w:b/>
                <w:bCs/>
                <w:kern w:val="2"/>
                <w:sz w:val="40"/>
                <w:szCs w:val="48"/>
                <w:vertAlign w:val="baseline"/>
                <w:lang w:val="en-US" w:eastAsia="zh-CN" w:bidi="ar-SA"/>
              </w:rPr>
            </w:pPr>
          </w:p>
        </w:tc>
      </w:tr>
    </w:tbl>
    <w:p ns2:paraId="35773B9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黑体" w:hAnsi="黑体" w:eastAsia="黑体" w:cs="宋体"/>
          <w:sz w:val="44"/>
          <w:szCs w:val="44"/>
          <w:lang w:val="en-US" w:eastAsia="zh-CN"/>
        </w:rPr>
      </w:pPr>
      <w:bookmarkStart w:id="0" w:name="_Toc15529"/>
      <w:bookmarkStart w:id="1" w:name="_Toc2427"/>
      <w:r>
        <w:rPr>
          <w:rFonts w:hint="eastAsia" w:cs="Times New Roman"/>
          <w:b/>
          <w:sz w:val="32"/>
          <w:szCs w:val="20"/>
          <w:lang w:val="en-US" w:eastAsia="zh-CN"/>
        </w:rPr>
        <w:t>附件7：气象灾害防御（防雷）重点单位安全隐患排查及整改措施记录</w:t>
      </w:r>
    </w:p>
    <w:p ns2:paraId="0B7466D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黑体" w:hAnsi="黑体" w:eastAsia="黑体" w:cs="宋体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气象灾害防御（防雷）重点单位安全隐患排查及整改措施记录</w:t>
      </w:r>
      <w:bookmarkEnd w:id="0"/>
      <w:bookmarkEnd w:id="1"/>
    </w:p>
    <w:p ns2:paraId="705445B3">
      <w:pPr>
        <w:snapToGrid w:val="0"/>
        <w:jc w:val="center"/>
        <w:rPr>
          <w:rFonts w:ascii="黑体" w:eastAsia="黑体"/>
          <w:b/>
          <w:bCs/>
          <w:sz w:val="22"/>
          <w:szCs w:val="48"/>
        </w:rPr>
      </w:pPr>
    </w:p>
    <w:tbl>
      <w:tblPr>
        <w:tblStyle w:val="9"/>
        <w:tblW w:w="137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559"/>
        <w:gridCol w:w="3385"/>
        <w:gridCol w:w="3600"/>
        <w:gridCol w:w="3457"/>
        <w:gridCol w:w="852"/>
      </w:tblGrid>
      <w:tr ns2:paraId="0951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tblHeader/>
          <w:jc w:val="center"/>
        </w:trPr>
        <w:tc>
          <w:tcPr>
            <w:tcW w:w="881" w:type="dxa"/>
            <w:noWrap w:val="0"/>
            <w:vAlign w:val="center"/>
          </w:tcPr>
          <w:p ns2:paraId="44E4CD1F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559" w:type="dxa"/>
            <w:noWrap w:val="0"/>
            <w:vAlign w:val="center"/>
          </w:tcPr>
          <w:p ns2:paraId="168FB520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区域</w:t>
            </w:r>
          </w:p>
        </w:tc>
        <w:tc>
          <w:tcPr>
            <w:tcW w:w="3385" w:type="dxa"/>
            <w:noWrap w:val="0"/>
            <w:vAlign w:val="center"/>
          </w:tcPr>
          <w:p ns2:paraId="46052E58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隐患描述与整改措施</w:t>
            </w:r>
          </w:p>
        </w:tc>
        <w:tc>
          <w:tcPr>
            <w:tcW w:w="3600" w:type="dxa"/>
            <w:noWrap w:val="0"/>
            <w:vAlign w:val="center"/>
          </w:tcPr>
          <w:p ns2:paraId="3DEA458A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隐患整改前照片</w:t>
            </w:r>
          </w:p>
        </w:tc>
        <w:tc>
          <w:tcPr>
            <w:tcW w:w="3457" w:type="dxa"/>
            <w:noWrap w:val="0"/>
            <w:vAlign w:val="center"/>
          </w:tcPr>
          <w:p ns2:paraId="77D8E64D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隐患整改后照片</w:t>
            </w:r>
          </w:p>
        </w:tc>
        <w:tc>
          <w:tcPr>
            <w:tcW w:w="852" w:type="dxa"/>
            <w:noWrap w:val="0"/>
            <w:vAlign w:val="center"/>
          </w:tcPr>
          <w:p ns2:paraId="524D910E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</w:tr>
      <w:tr ns2:paraId="4A95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  <w:jc w:val="center"/>
        </w:trPr>
        <w:tc>
          <w:tcPr>
            <w:tcW w:w="881" w:type="dxa"/>
            <w:noWrap w:val="0"/>
            <w:vAlign w:val="center"/>
          </w:tcPr>
          <w:p ns2:paraId="6DA01FD2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noWrap w:val="0"/>
            <w:vAlign w:val="center"/>
          </w:tcPr>
          <w:p ns2:paraId="0450E66D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342C934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隐患描述：未见气象灾害防御工作制度</w:t>
            </w:r>
          </w:p>
          <w:p ns2:paraId="7585413D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整改措施：建立健全气象灾害防御工作制度</w:t>
            </w:r>
          </w:p>
        </w:tc>
        <w:tc>
          <w:tcPr>
            <w:tcW w:w="3600" w:type="dxa"/>
            <w:noWrap w:val="0"/>
            <w:vAlign w:val="center"/>
          </w:tcPr>
          <w:p ns2:paraId="3F4524B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4B026F4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A0DA70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E95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2" w:hRule="atLeast"/>
          <w:jc w:val="center"/>
        </w:trPr>
        <w:tc>
          <w:tcPr>
            <w:tcW w:w="881" w:type="dxa"/>
            <w:noWrap w:val="0"/>
            <w:vAlign w:val="center"/>
          </w:tcPr>
          <w:p ns2:paraId="7C9B3B04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noWrap w:val="0"/>
            <w:vAlign w:val="center"/>
          </w:tcPr>
          <w:p ns2:paraId="4B0248DC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0B9747E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隐患描述：未进行自查自报</w:t>
            </w:r>
          </w:p>
          <w:p ns2:paraId="1F46DD0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整改措施：应定期进行“气象安全监察平台”自查自报</w:t>
            </w:r>
          </w:p>
        </w:tc>
        <w:tc>
          <w:tcPr>
            <w:tcW w:w="3600" w:type="dxa"/>
            <w:noWrap w:val="0"/>
            <w:vAlign w:val="center"/>
          </w:tcPr>
          <w:p ns2:paraId="4E9880DA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DA14953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5EF7B21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27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atLeast"/>
          <w:jc w:val="center"/>
        </w:trPr>
        <w:tc>
          <w:tcPr>
            <w:tcW w:w="881" w:type="dxa"/>
            <w:noWrap w:val="0"/>
            <w:vAlign w:val="center"/>
          </w:tcPr>
          <w:p ns2:paraId="297882F5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3</w:t>
            </w:r>
          </w:p>
        </w:tc>
        <w:tc>
          <w:tcPr>
            <w:tcW w:w="1559" w:type="dxa"/>
            <w:noWrap w:val="0"/>
            <w:vAlign w:val="center"/>
          </w:tcPr>
          <w:p ns2:paraId="58D1AD1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2ACBD58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隐患描述：未见气象灾害应急预案</w:t>
            </w:r>
          </w:p>
          <w:p ns2:paraId="59F9705C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整改措施：建立健全气象灾害应急预案</w:t>
            </w:r>
          </w:p>
        </w:tc>
        <w:tc>
          <w:tcPr>
            <w:tcW w:w="3600" w:type="dxa"/>
            <w:noWrap w:val="0"/>
            <w:vAlign w:val="center"/>
          </w:tcPr>
          <w:p ns2:paraId="2A00D84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7A643B0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D73747C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0764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881" w:type="dxa"/>
            <w:noWrap w:val="0"/>
            <w:vAlign w:val="center"/>
          </w:tcPr>
          <w:p ns2:paraId="2A9163A6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4</w:t>
            </w:r>
          </w:p>
        </w:tc>
        <w:tc>
          <w:tcPr>
            <w:tcW w:w="1559" w:type="dxa"/>
            <w:noWrap w:val="0"/>
            <w:vAlign w:val="center"/>
          </w:tcPr>
          <w:p ns2:paraId="6A244D8F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605250F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隐患描述：未开展气象灾害培训</w:t>
            </w:r>
          </w:p>
          <w:p ns2:paraId="16FAAF1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整改措施：应定期开展气象灾害培训</w:t>
            </w:r>
          </w:p>
        </w:tc>
        <w:tc>
          <w:tcPr>
            <w:tcW w:w="3600" w:type="dxa"/>
            <w:noWrap w:val="0"/>
            <w:vAlign w:val="center"/>
          </w:tcPr>
          <w:p ns2:paraId="5C35BBBA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6B097E68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B846A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EF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0" w:hRule="atLeast"/>
          <w:jc w:val="center"/>
        </w:trPr>
        <w:tc>
          <w:tcPr>
            <w:tcW w:w="881" w:type="dxa"/>
            <w:noWrap w:val="0"/>
            <w:vAlign w:val="center"/>
          </w:tcPr>
          <w:p ns2:paraId="10717582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59" w:type="dxa"/>
            <w:noWrap w:val="0"/>
            <w:vAlign w:val="center"/>
          </w:tcPr>
          <w:p ns2:paraId="07DA2145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6A00E881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隐患描述：未开展气象灾害应急演练</w:t>
            </w:r>
          </w:p>
          <w:p ns2:paraId="4F3F373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整改措施：应定期开展气象灾害应急演练</w:t>
            </w:r>
          </w:p>
        </w:tc>
        <w:tc>
          <w:tcPr>
            <w:tcW w:w="3600" w:type="dxa"/>
            <w:noWrap w:val="0"/>
            <w:vAlign w:val="center"/>
          </w:tcPr>
          <w:p ns2:paraId="01D421C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3852C8C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235285D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2CDD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  <w:jc w:val="center"/>
        </w:trPr>
        <w:tc>
          <w:tcPr>
            <w:tcW w:w="881" w:type="dxa"/>
            <w:noWrap w:val="0"/>
            <w:vAlign w:val="center"/>
          </w:tcPr>
          <w:p ns2:paraId="7D99F394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59" w:type="dxa"/>
            <w:noWrap w:val="0"/>
            <w:vAlign w:val="center"/>
          </w:tcPr>
          <w:p ns2:paraId="65947502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48400CD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隐患描述：未开展气象灾害防御设施日常巡查</w:t>
            </w:r>
          </w:p>
          <w:p ns2:paraId="2A3FCB7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整改措施：应定期开展气象灾害防御设施巡查并记录</w:t>
            </w:r>
          </w:p>
        </w:tc>
        <w:tc>
          <w:tcPr>
            <w:tcW w:w="3600" w:type="dxa"/>
            <w:noWrap w:val="0"/>
            <w:vAlign w:val="center"/>
          </w:tcPr>
          <w:p ns2:paraId="19DDA5B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5C786F55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23C02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192E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atLeast"/>
          <w:jc w:val="center"/>
        </w:trPr>
        <w:tc>
          <w:tcPr>
            <w:tcW w:w="881" w:type="dxa"/>
            <w:noWrap w:val="0"/>
            <w:vAlign w:val="center"/>
          </w:tcPr>
          <w:p ns2:paraId="2A3116FF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559" w:type="dxa"/>
            <w:noWrap w:val="0"/>
            <w:vAlign w:val="center"/>
          </w:tcPr>
          <w:p ns2:paraId="35BD4921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1AF20E8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隐患描述：气象灾害防御档案资料不齐全</w:t>
            </w:r>
          </w:p>
          <w:p ns2:paraId="0A75A2AD">
            <w:pPr>
              <w:spacing w:line="0" w:lineRule="atLeast"/>
              <w:rPr>
                <w:rFonts w:hint="eastAsia"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整改措施：建立健全气象灾害防御档案并将资料补充完善</w:t>
            </w:r>
          </w:p>
        </w:tc>
        <w:tc>
          <w:tcPr>
            <w:tcW w:w="3600" w:type="dxa"/>
            <w:noWrap w:val="0"/>
            <w:vAlign w:val="center"/>
          </w:tcPr>
          <w:p ns2:paraId="3CDC946C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32FF20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137B84E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5CAF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  <w:jc w:val="center"/>
        </w:trPr>
        <w:tc>
          <w:tcPr>
            <w:tcW w:w="881" w:type="dxa"/>
            <w:noWrap w:val="0"/>
            <w:vAlign w:val="center"/>
          </w:tcPr>
          <w:p ns2:paraId="684856A5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59" w:type="dxa"/>
            <w:noWrap w:val="0"/>
            <w:vAlign w:val="center"/>
          </w:tcPr>
          <w:p ns2:paraId="387D2CC4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15A1FA8D">
            <w:pPr>
              <w:spacing w:line="0" w:lineRule="atLeast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隐患描述：未配备应急物资/应急物资配备不齐全</w:t>
            </w:r>
          </w:p>
          <w:p ns2:paraId="3B6F942B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整改措施：按要求配备应急物资（防汛沙袋，三防应急物资等）</w:t>
            </w:r>
          </w:p>
        </w:tc>
        <w:tc>
          <w:tcPr>
            <w:tcW w:w="3600" w:type="dxa"/>
            <w:noWrap w:val="0"/>
            <w:vAlign w:val="center"/>
          </w:tcPr>
          <w:p ns2:paraId="12C719BE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6720013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6C36C3C2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B00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atLeast"/>
          <w:jc w:val="center"/>
        </w:trPr>
        <w:tc>
          <w:tcPr>
            <w:tcW w:w="881" w:type="dxa"/>
            <w:noWrap w:val="0"/>
            <w:vAlign w:val="center"/>
          </w:tcPr>
          <w:p ns2:paraId="35CFAEB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559" w:type="dxa"/>
            <w:noWrap w:val="0"/>
            <w:vAlign w:val="center"/>
          </w:tcPr>
          <w:p ns2:paraId="783FED37">
            <w:pPr>
              <w:jc w:val="center"/>
              <w:rPr>
                <w:rFonts w:hint="default" w:eastAsia="宋体" w:cs="等线"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现场/文件</w:t>
            </w:r>
          </w:p>
        </w:tc>
        <w:tc>
          <w:tcPr>
            <w:tcW w:w="3385" w:type="dxa"/>
            <w:noWrap w:val="0"/>
            <w:vAlign w:val="center"/>
          </w:tcPr>
          <w:p ns2:paraId="21C752C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隐患描述：未定期开展防雷检测</w:t>
            </w:r>
          </w:p>
          <w:p ns2:paraId="7E6A63D9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整改措施：按要求应定期开展防雷检测并出示报告</w:t>
            </w:r>
          </w:p>
        </w:tc>
        <w:tc>
          <w:tcPr>
            <w:tcW w:w="3600" w:type="dxa"/>
            <w:noWrap w:val="0"/>
            <w:vAlign w:val="center"/>
          </w:tcPr>
          <w:p ns2:paraId="37C6BE9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3A63C92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29062988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F1A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881" w:type="dxa"/>
            <w:noWrap w:val="0"/>
            <w:vAlign w:val="center"/>
          </w:tcPr>
          <w:p ns2:paraId="5E9316A4">
            <w:pPr>
              <w:jc w:val="center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559" w:type="dxa"/>
            <w:noWrap w:val="0"/>
            <w:vAlign w:val="center"/>
          </w:tcPr>
          <w:p ns2:paraId="6EB95A79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30D1ABC7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</w:t>
            </w:r>
          </w:p>
          <w:p ns2:paraId="549F3162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</w:t>
            </w:r>
          </w:p>
        </w:tc>
        <w:tc>
          <w:tcPr>
            <w:tcW w:w="3600" w:type="dxa"/>
            <w:noWrap w:val="0"/>
            <w:vAlign w:val="center"/>
          </w:tcPr>
          <w:p ns2:paraId="632CAAB0">
            <w:pPr>
              <w:jc w:val="center"/>
              <w:rPr>
                <w:rFonts w:cs="等线"/>
                <w:bCs/>
                <w:sz w:val="24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078CA244">
            <w:pPr>
              <w:jc w:val="center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5095DFE">
            <w:pPr>
              <w:jc w:val="center"/>
              <w:rPr>
                <w:rFonts w:cs="等线"/>
                <w:bCs/>
                <w:sz w:val="24"/>
              </w:rPr>
            </w:pPr>
          </w:p>
        </w:tc>
      </w:tr>
    </w:tbl>
    <w:p ns2:paraId="44F5BD14"/>
    <w:p ns2:paraId="024D73D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eastAsia" w:cs="Times New Roman"/>
          <w:b/>
          <w:sz w:val="32"/>
          <w:szCs w:val="20"/>
          <w:lang w:val="en-US" w:eastAsia="zh-CN"/>
        </w:rPr>
        <w:sectPr>
          <w:headerReference ns3:id="rId7" w:type="default"/>
          <w:footerReference ns3:id="rId8" w:type="default"/>
          <w:pgSz w:w="16838" w:h="11906" w:orient="landscape"/>
          <w:pgMar w:top="1803" w:right="1440" w:bottom="1803" w:left="1440" w:header="851" w:footer="992" w:gutter="0"/>
          <w:paperSrc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9" w:charSpace="0"/>
        </w:sectPr>
      </w:pPr>
    </w:p>
    <w:p ns2:paraId="0FAB446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附件8：气象灾害防御（防雷）重点单位安全隐患复查记录</w:t>
      </w:r>
    </w:p>
    <w:p ns2:paraId="713B409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宋体" w:hAnsi="宋体" w:cs="宋体"/>
          <w:b/>
          <w:bCs/>
          <w:sz w:val="10"/>
          <w:szCs w:val="10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气象安全隐患复查记录</w:t>
      </w:r>
    </w:p>
    <w:tbl>
      <w:tblPr>
        <w:tblStyle w:val="10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6536"/>
      </w:tblGrid>
      <w:tr ns2:paraId="10A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983" w:type="dxa"/>
            <w:noWrap w:val="0"/>
            <w:vAlign w:val="center"/>
          </w:tcPr>
          <w:p ns2:paraId="6548A54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单位名称</w:t>
            </w:r>
          </w:p>
        </w:tc>
        <w:tc>
          <w:tcPr>
            <w:tcW w:w="6536" w:type="dxa"/>
            <w:noWrap w:val="0"/>
            <w:vAlign w:val="center"/>
          </w:tcPr>
          <w:p ns2:paraId="53DC2787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65C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983" w:type="dxa"/>
            <w:noWrap w:val="0"/>
            <w:vAlign w:val="center"/>
          </w:tcPr>
          <w:p ns2:paraId="783D62F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地    址</w:t>
            </w:r>
          </w:p>
        </w:tc>
        <w:tc>
          <w:tcPr>
            <w:tcW w:w="6536" w:type="dxa"/>
            <w:noWrap w:val="0"/>
            <w:vAlign w:val="center"/>
          </w:tcPr>
          <w:p ns2:paraId="08B78268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A52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983" w:type="dxa"/>
            <w:noWrap w:val="0"/>
            <w:vAlign w:val="center"/>
          </w:tcPr>
          <w:p ns2:paraId="7EACEAB1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负 责 人</w:t>
            </w:r>
          </w:p>
          <w:p ns2:paraId="7C242D69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（及电话）</w:t>
            </w:r>
          </w:p>
        </w:tc>
        <w:tc>
          <w:tcPr>
            <w:tcW w:w="6536" w:type="dxa"/>
            <w:noWrap w:val="0"/>
            <w:vAlign w:val="center"/>
          </w:tcPr>
          <w:p ns2:paraId="42A77B8F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71EE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6" w:hRule="atLeast"/>
        </w:trPr>
        <w:tc>
          <w:tcPr>
            <w:tcW w:w="1983" w:type="dxa"/>
            <w:noWrap w:val="0"/>
            <w:vAlign w:val="center"/>
          </w:tcPr>
          <w:p ns2:paraId="65E3A79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隐患内容</w:t>
            </w:r>
          </w:p>
        </w:tc>
        <w:tc>
          <w:tcPr>
            <w:tcW w:w="6536" w:type="dxa"/>
            <w:noWrap w:val="0"/>
            <w:vAlign w:val="center"/>
          </w:tcPr>
          <w:p ns2:paraId="4F4024CB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1、制度内容不齐全，未及时更新；</w:t>
            </w:r>
          </w:p>
          <w:p ns2:paraId="047B5BEF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2、气象灾害应急预案未更新；</w:t>
            </w:r>
          </w:p>
          <w:p ns2:paraId="054F651A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3、气象安全巡查记录未更新；</w:t>
            </w:r>
          </w:p>
          <w:p ns2:paraId="2790A606">
            <w:pPr>
              <w:spacing w:line="0" w:lineRule="atLeast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4、站房顶部接闪带部分断裂。</w:t>
            </w:r>
          </w:p>
        </w:tc>
      </w:tr>
      <w:tr ns2:paraId="46A2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3" w:type="dxa"/>
            <w:noWrap w:val="0"/>
            <w:vAlign w:val="center"/>
          </w:tcPr>
          <w:p ns2:paraId="3237AEF5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复查情况</w:t>
            </w:r>
          </w:p>
        </w:tc>
        <w:tc>
          <w:tcPr>
            <w:tcW w:w="6536" w:type="dxa"/>
            <w:noWrap w:val="0"/>
            <w:vAlign w:val="center"/>
          </w:tcPr>
          <w:p ns2:paraId="4FB21AFF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已完成整改，符合要求。</w:t>
            </w:r>
          </w:p>
          <w:p ns2:paraId="0E40229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未完成整改，不符合要求。</w:t>
            </w:r>
          </w:p>
          <w:p ns2:paraId="1FF521F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部分完成整改，其他正在整改中。</w:t>
            </w:r>
          </w:p>
        </w:tc>
      </w:tr>
      <w:tr ns2:paraId="0760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983" w:type="dxa"/>
            <w:noWrap w:val="0"/>
            <w:vAlign w:val="center"/>
          </w:tcPr>
          <w:p ns2:paraId="480E11A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6536" w:type="dxa"/>
            <w:noWrap w:val="0"/>
            <w:vAlign w:val="center"/>
          </w:tcPr>
          <w:p ns2:paraId="616CBD2E">
            <w:pPr>
              <w:spacing w:line="0" w:lineRule="atLeast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B32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983" w:type="dxa"/>
            <w:noWrap w:val="0"/>
            <w:vAlign w:val="center"/>
          </w:tcPr>
          <w:p ns2:paraId="49E5768B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复查人员</w:t>
            </w:r>
          </w:p>
          <w:p ns2:paraId="04E22C1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（姓名、日期）</w:t>
            </w:r>
          </w:p>
        </w:tc>
        <w:tc>
          <w:tcPr>
            <w:tcW w:w="6536" w:type="dxa"/>
            <w:noWrap w:val="0"/>
            <w:vAlign w:val="center"/>
          </w:tcPr>
          <w:p ns2:paraId="172C8F46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202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年 </w:t>
            </w:r>
            <w:r>
              <w:rPr>
                <w:rFonts w:ascii="仿宋_GB2312" w:hAnsi="宋体" w:eastAsia="仿宋_GB2312" w:cs="宋体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月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日</w:t>
            </w:r>
          </w:p>
        </w:tc>
      </w:tr>
    </w:tbl>
    <w:p ns2:paraId="68F7D2E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6F578">
    <w:pPr>
      <w:spacing w:line="216" w:lineRule="auto"/>
      <w:ind w:left="148"/>
      <w:rPr>
        <w:rFonts w:ascii="Arial" w:hAnsi="Arial" w:eastAsia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F56CD">
    <w:pPr>
      <w:spacing w:line="216" w:lineRule="auto"/>
      <w:ind w:left="148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44F2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QSiza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D44F2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90C2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0CD6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ZZvO9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cMycsDfz84/v55+/zr2/s&#10;Z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llm87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B0CD6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                   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3681E">
    <w:pPr>
      <w:spacing w:line="216" w:lineRule="auto"/>
      <w:ind w:left="9029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835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rKrll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67835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43C72">
    <w:pPr>
      <w:spacing w:before="54" w:line="241" w:lineRule="auto"/>
      <w:rPr>
        <w:rFonts w:ascii="Arial" w:hAnsi="Arial" w:eastAsia="Arial" w:cs="Arial"/>
        <w:sz w:val="19"/>
        <w:szCs w:val="1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BF45">
    <w:pPr>
      <w:spacing w:before="54" w:line="241" w:lineRule="auto"/>
      <w:ind w:right="20"/>
      <w:jc w:val="center"/>
      <w:rPr>
        <w:rFonts w:ascii="Arial" w:hAnsi="Arial" w:eastAsia="Arial" w:cs="Arial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B8ED"/>
    <w:multiLevelType w:val="singleLevel"/>
    <w:tmpl w:val="EB9DB8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48F26B"/>
    <w:multiLevelType w:val="singleLevel"/>
    <w:tmpl w:val="1948F2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hyphenationZone w:val="360"/>
  <w:drawingGridVerticalSpacing w:val="159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44C3B"/>
    <w:rsid w:val="001C6D02"/>
    <w:rsid w:val="064F49ED"/>
    <w:rsid w:val="07F97353"/>
    <w:rsid w:val="08907C6B"/>
    <w:rsid w:val="0CEC4CFA"/>
    <w:rsid w:val="0D933D59"/>
    <w:rsid w:val="12F731AE"/>
    <w:rsid w:val="13765233"/>
    <w:rsid w:val="17551F9E"/>
    <w:rsid w:val="1FE66D9C"/>
    <w:rsid w:val="24AE0D27"/>
    <w:rsid w:val="2C55425C"/>
    <w:rsid w:val="319677F1"/>
    <w:rsid w:val="323A2FB9"/>
    <w:rsid w:val="36EC7A30"/>
    <w:rsid w:val="378A2E2C"/>
    <w:rsid w:val="3A900CF2"/>
    <w:rsid w:val="3D8A7CC2"/>
    <w:rsid w:val="3E630A5B"/>
    <w:rsid w:val="4952068F"/>
    <w:rsid w:val="4970227E"/>
    <w:rsid w:val="4C3D1DB0"/>
    <w:rsid w:val="4E134968"/>
    <w:rsid w:val="58F44C3B"/>
    <w:rsid w:val="5DDB6408"/>
    <w:rsid w:val="5E8D242E"/>
    <w:rsid w:val="62797F9D"/>
    <w:rsid w:val="631B5A25"/>
    <w:rsid w:val="640E2967"/>
    <w:rsid w:val="66014531"/>
    <w:rsid w:val="66C13CC1"/>
    <w:rsid w:val="687D22F9"/>
    <w:rsid w:val="6C8E2897"/>
    <w:rsid w:val="6C90660F"/>
    <w:rsid w:val="6DEC55B4"/>
    <w:rsid w:val="700C2451"/>
    <w:rsid w:val="747F58E7"/>
    <w:rsid w:val="7A0D5743"/>
    <w:rsid w:val="7C6668FD"/>
    <w:rsid w:val="7D5A6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paragraph" w:customStyle="1" w:styleId="14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15">
    <w:name w:val="Table Normal"/>
    <w:unhideWhenUsed/>
    <w:qFormat/>
    <w:uiPriority w:val="0"/>
    <w:tblPr>
      <w:tblStyle w:val="9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3383</Words>
  <Characters>3562</Characters>
  <Lines>0</Lines>
  <Paragraphs>0</Paragraphs>
  <TotalTime>0</TotalTime>
  <ScaleCrop>false</ScaleCrop>
  <LinksUpToDate>false</LinksUpToDate>
  <CharactersWithSpaces>3861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2025-11-05T06:47:00Z</dcterms:created>
  <dc:creator>黄云研究院13924587868</dc:creator>
  <cp:lastModifiedBy>跳虫</cp:lastModifiedBy>
  <dcterms:modified xsi:type="dcterms:W3CDTF">2026-07-20T02:40:21Z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2082329991994D11A217B83AE0513775_13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